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-2783840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-1746250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hanging="439"/>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255270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180340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13,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40" w:firstLine="345"/>
        <w:spacing w:after="0" w:line="259" w:lineRule="auto"/>
        <w:rPr>
          <w:sz w:val="20"/>
          <w:szCs w:val="20"/>
          <w:color w:val="auto"/>
        </w:rPr>
      </w:pPr>
      <w:r>
        <w:rPr>
          <w:rFonts w:ascii="Arial" w:cs="Arial" w:eastAsia="Arial" w:hAnsi="Arial"/>
          <w:sz w:val="18"/>
          <w:szCs w:val="18"/>
          <w:color w:val="auto"/>
        </w:rPr>
        <w:t>You are invited to attend the 2013 annual meeting of stockholders of SL Green Realty Corp., a Maryland corporation, which will be held on Thursday, June 13, 2013, at 10:00 a.m., local time, at The Grand Hyatt New York, 109 East 42nd Street at Grand Central Terminal, New York, New York. At the annual meeting, stockholders will be asked to consider and vote upon the following proposals:</w:t>
      </w:r>
    </w:p>
    <w:p>
      <w:pPr>
        <w:spacing w:after="0" w:line="194"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 directors to serve on our Board of Directors for a three-year term and until their successors are duly elected and qualify;</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as disclosed in these materials;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Third Amended and Restated 2005 Stock Option and Incentive Plan;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2013.</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March 28, 2013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Stockholder Meeting to be Held on June 13, 2013.</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2012 Annual Report to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10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13"/>
          </w:tcPr>
          <w:p>
            <w:pPr>
              <w:jc w:val="center"/>
              <w:ind w:right="342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ANNUAL MEETING</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What is the Notice of Internet Availability of Proxy Materials that I received in the mail this year instead of a full set of</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proxy materials?</w:t>
              </w:r>
            </w:hyperlink>
          </w:p>
        </w:tc>
        <w:tc>
          <w:tcPr>
            <w:tcW w:w="400" w:type="dxa"/>
            <w:vAlign w:val="bottom"/>
            <w:gridSpan w:val="2"/>
          </w:tcPr>
          <w:p>
            <w:pPr>
              <w:spacing w:after="0"/>
              <w:rPr>
                <w:sz w:val="17"/>
                <w:szCs w:val="17"/>
                <w:color w:val="auto"/>
              </w:rPr>
            </w:pPr>
          </w:p>
        </w:tc>
        <w:tc>
          <w:tcPr>
            <w:tcW w:w="1320" w:type="dxa"/>
            <w:vAlign w:val="bottom"/>
            <w:gridSpan w:val="3"/>
          </w:tcPr>
          <w:p>
            <w:pPr>
              <w:jc w:val="right"/>
              <w:ind w:right="11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1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Who is entitled to vote at the annual meeting?</w:t>
              </w:r>
            </w:hyperlink>
          </w:p>
        </w:tc>
        <w:tc>
          <w:tcPr>
            <w:tcW w:w="5540" w:type="dxa"/>
            <w:vAlign w:val="bottom"/>
            <w:gridSpan w:val="1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What is the purpose of the annual meeting?</w:t>
              </w:r>
            </w:hyperlink>
          </w:p>
        </w:tc>
        <w:tc>
          <w:tcPr>
            <w:tcW w:w="180" w:type="dxa"/>
            <w:vAlign w:val="bottom"/>
            <w:gridSpan w:val="2"/>
          </w:tcPr>
          <w:p>
            <w:pPr>
              <w:spacing w:after="0"/>
              <w:rPr>
                <w:sz w:val="24"/>
                <w:szCs w:val="24"/>
                <w:color w:val="auto"/>
              </w:rPr>
            </w:pPr>
          </w:p>
        </w:tc>
        <w:tc>
          <w:tcPr>
            <w:tcW w:w="5540" w:type="dxa"/>
            <w:vAlign w:val="bottom"/>
            <w:gridSpan w:val="1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9"/>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What constitutes a quorum?</w:t>
              </w:r>
            </w:hyperlink>
          </w:p>
        </w:tc>
        <w:tc>
          <w:tcPr>
            <w:tcW w:w="1080" w:type="dxa"/>
            <w:vAlign w:val="bottom"/>
            <w:gridSpan w:val="4"/>
          </w:tcPr>
          <w:p>
            <w:pPr>
              <w:spacing w:after="0"/>
              <w:rPr>
                <w:sz w:val="24"/>
                <w:szCs w:val="24"/>
                <w:color w:val="auto"/>
              </w:rPr>
            </w:pPr>
          </w:p>
        </w:tc>
        <w:tc>
          <w:tcPr>
            <w:tcW w:w="5720" w:type="dxa"/>
            <w:vAlign w:val="bottom"/>
            <w:gridSpan w:val="1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What vote is required to approve each proposal?</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Can I change my vote after I submit my proxy card?</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How do I vote?</w:t>
              </w:r>
            </w:hyperlink>
          </w:p>
        </w:tc>
        <w:tc>
          <w:tcPr>
            <w:tcW w:w="2580" w:type="dxa"/>
            <w:vAlign w:val="bottom"/>
            <w:gridSpan w:val="15"/>
          </w:tcPr>
          <w:p>
            <w:pPr>
              <w:spacing w:after="0"/>
              <w:rPr>
                <w:sz w:val="24"/>
                <w:szCs w:val="24"/>
                <w:color w:val="auto"/>
              </w:rPr>
            </w:pPr>
          </w:p>
        </w:tc>
        <w:tc>
          <w:tcPr>
            <w:tcW w:w="5100" w:type="dxa"/>
            <w:vAlign w:val="bottom"/>
            <w:gridSpan w:val="1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How is my vote counted?</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How does the Board recommend that I vote on each of the proposals?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What other information should I review before voting?</w:t>
              </w:r>
            </w:hyperlink>
          </w:p>
        </w:tc>
        <w:tc>
          <w:tcPr>
            <w:tcW w:w="388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6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Who is soliciting my proxy?</w:t>
              </w:r>
            </w:hyperlink>
          </w:p>
        </w:tc>
        <w:tc>
          <w:tcPr>
            <w:tcW w:w="4920" w:type="dxa"/>
            <w:vAlign w:val="bottom"/>
            <w:gridSpan w:val="11"/>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21"/>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How do I change how I receive proxy materials in the future?</w:t>
              </w:r>
            </w:hyperlink>
          </w:p>
        </w:tc>
        <w:tc>
          <w:tcPr>
            <w:tcW w:w="444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gridSpan w:val="25"/>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What should I do if I received more than one Notice of Internet Availability of Proxy Materials?</w:t>
              </w:r>
            </w:hyperlink>
          </w:p>
        </w:tc>
        <w:tc>
          <w:tcPr>
            <w:tcW w:w="202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gridSpan w:val="16"/>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PROPOSAL 1: ELECTION OF DIRECTORS</w:t>
              </w:r>
            </w:hyperlink>
          </w:p>
        </w:tc>
        <w:tc>
          <w:tcPr>
            <w:tcW w:w="5680" w:type="dxa"/>
            <w:vAlign w:val="bottom"/>
            <w:gridSpan w:val="1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Regarding the Nominees and the Continuing Directors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1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Class I Nominees—Terms Will Expire in 2016</w:t>
              </w:r>
            </w:hyperlink>
          </w:p>
        </w:tc>
        <w:tc>
          <w:tcPr>
            <w:tcW w:w="1420" w:type="dxa"/>
            <w:vAlign w:val="bottom"/>
            <w:gridSpan w:val="6"/>
          </w:tcPr>
          <w:p>
            <w:pPr>
              <w:spacing w:after="0"/>
              <w:rPr>
                <w:sz w:val="24"/>
                <w:szCs w:val="24"/>
                <w:color w:val="auto"/>
              </w:rPr>
            </w:pPr>
          </w:p>
        </w:tc>
        <w:tc>
          <w:tcPr>
            <w:tcW w:w="4060" w:type="dxa"/>
            <w:vAlign w:val="bottom"/>
            <w:gridSpan w:val="8"/>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4">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Class III Continuing Directors—Terms Will Expire in 2015</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5">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500" w:type="dxa"/>
            <w:vAlign w:val="bottom"/>
            <w:tcBorders>
              <w:left w:val="single" w:sz="8" w:color="0000EE"/>
            </w:tcBorders>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gridSpan w:val="2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Class II Continuing Directors—Terms Will Expire in 2014</w:t>
              </w:r>
            </w:hyperlink>
          </w:p>
        </w:tc>
        <w:tc>
          <w:tcPr>
            <w:tcW w:w="4640" w:type="dxa"/>
            <w:vAlign w:val="bottom"/>
            <w:gridSpan w:val="10"/>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5">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40" w:type="dxa"/>
            <w:vAlign w:val="bottom"/>
            <w:gridSpan w:val="24"/>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Biographical Information Regarding Executive Officers Who Are Not Directors</w:t>
              </w:r>
            </w:hyperlink>
          </w:p>
        </w:tc>
        <w:tc>
          <w:tcPr>
            <w:tcW w:w="3140" w:type="dxa"/>
            <w:vAlign w:val="bottom"/>
            <w:gridSpan w:val="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6">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40" w:type="dxa"/>
            <w:vAlign w:val="bottom"/>
            <w:gridSpan w:val="1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The Board and its Committees</w:t>
              </w:r>
            </w:hyperlink>
          </w:p>
        </w:tc>
        <w:tc>
          <w:tcPr>
            <w:tcW w:w="3480" w:type="dxa"/>
            <w:vAlign w:val="bottom"/>
            <w:gridSpan w:val="13"/>
          </w:tcPr>
          <w:p>
            <w:pPr>
              <w:spacing w:after="0"/>
              <w:rPr>
                <w:sz w:val="24"/>
                <w:szCs w:val="24"/>
                <w:color w:val="auto"/>
              </w:rPr>
            </w:pPr>
          </w:p>
        </w:tc>
        <w:tc>
          <w:tcPr>
            <w:tcW w:w="31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Director Compensation</w:t>
              </w:r>
            </w:hyperlink>
          </w:p>
        </w:tc>
        <w:tc>
          <w:tcPr>
            <w:tcW w:w="7120" w:type="dxa"/>
            <w:vAlign w:val="bottom"/>
            <w:gridSpan w:val="2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PROPOSAL 2: ADVISORY VOTE ON THE COMPENSATION OF OUR NAMED EXECUTIVE OFFICERS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14</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760" w:type="dxa"/>
            <w:vAlign w:val="bottom"/>
            <w:gridSpan w:val="1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6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PROPOSAL 3: APPROVAL OF OUR THIRD AMENDED AND RESTATED 2005 STOCK OPTION AND INCENTIVE</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80" w:type="dxa"/>
            <w:vAlign w:val="bottom"/>
            <w:gridSpan w:val="3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PLAN</w:t>
              </w:r>
            </w:hyperlink>
          </w:p>
        </w:tc>
        <w:tc>
          <w:tcPr>
            <w:tcW w:w="1320" w:type="dxa"/>
            <w:vAlign w:val="bottom"/>
            <w:gridSpan w:val="3"/>
          </w:tcPr>
          <w:p>
            <w:pPr>
              <w:jc w:val="right"/>
              <w:ind w:right="1140"/>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760" w:type="dxa"/>
            <w:vAlign w:val="bottom"/>
            <w:gridSpan w:val="1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Summary of Material Amendments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760" w:type="dxa"/>
            <w:vAlign w:val="bottom"/>
            <w:gridSpan w:val="1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Summary of the Provisions of Our Third Amended and Restated 2005 Stock Option and Incentive Plan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17</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Administration</w:t>
              </w:r>
            </w:hyperlink>
          </w:p>
        </w:tc>
        <w:tc>
          <w:tcPr>
            <w:tcW w:w="6160" w:type="dxa"/>
            <w:vAlign w:val="bottom"/>
            <w:tcBorders>
              <w:top w:val="single" w:sz="8" w:color="0000EE"/>
            </w:tcBorders>
            <w:gridSpan w:val="23"/>
          </w:tcPr>
          <w:p>
            <w:pPr>
              <w:spacing w:after="0"/>
              <w:rPr>
                <w:sz w:val="24"/>
                <w:szCs w:val="24"/>
                <w:color w:val="auto"/>
              </w:rPr>
            </w:pPr>
          </w:p>
        </w:tc>
        <w:tc>
          <w:tcPr>
            <w:tcW w:w="15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Available Shares</w:t>
              </w:r>
            </w:hyperlink>
          </w:p>
        </w:tc>
        <w:tc>
          <w:tcPr>
            <w:tcW w:w="7580" w:type="dxa"/>
            <w:vAlign w:val="bottom"/>
            <w:gridSpan w:val="2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Awards Under the Plan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9"/>
          </w:tcPr>
          <w:p>
            <w:pPr>
              <w:jc w:val="center"/>
              <w:ind w:right="4340"/>
              <w:spacing w:after="0"/>
              <w:rPr>
                <w:sz w:val="20"/>
                <w:szCs w:val="20"/>
                <w:color w:val="auto"/>
              </w:rPr>
            </w:pPr>
            <w:r>
              <w:rPr>
                <w:rFonts w:ascii="Arial" w:cs="Arial" w:eastAsia="Arial" w:hAnsi="Arial"/>
                <w:sz w:val="18"/>
                <w:szCs w:val="18"/>
                <w:color w:val="auto"/>
              </w:rPr>
              <w:t>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0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Adjustments in General; Certain Change in Control Provisions</w:t>
              </w:r>
            </w:hyperlink>
          </w:p>
        </w:tc>
        <w:tc>
          <w:tcPr>
            <w:tcW w:w="436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Tax Withholding</w:t>
              </w:r>
            </w:hyperlink>
          </w:p>
        </w:tc>
        <w:tc>
          <w:tcPr>
            <w:tcW w:w="7580" w:type="dxa"/>
            <w:vAlign w:val="bottom"/>
            <w:gridSpan w:val="2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Amendment and Termination</w:t>
              </w:r>
            </w:hyperlink>
          </w:p>
        </w:tc>
        <w:tc>
          <w:tcPr>
            <w:tcW w:w="6700" w:type="dxa"/>
            <w:vAlign w:val="bottom"/>
            <w:gridSpan w:val="2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Repricing</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bottom w:val="single" w:sz="8" w:color="0000EE"/>
            </w:tcBorders>
            <w:gridSpan w:val="24"/>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53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New Plan Benefits</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PROPOSAL 4: RATIFICATION OF APPOINTMENT OF INDEPENDENT REGISTERED PUBLIC ACCOUNTING</w:t>
              </w:r>
            </w:hyperlink>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FIRM</w:t>
              </w:r>
            </w:hyperlink>
          </w:p>
        </w:tc>
        <w:tc>
          <w:tcPr>
            <w:tcW w:w="8340" w:type="dxa"/>
            <w:vAlign w:val="bottom"/>
            <w:gridSpan w:val="29"/>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23</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Fee Disclosure</w:t>
              </w:r>
            </w:hyperlink>
          </w:p>
        </w:tc>
        <w:tc>
          <w:tcPr>
            <w:tcW w:w="7720" w:type="dxa"/>
            <w:vAlign w:val="bottom"/>
            <w:gridSpan w:val="2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23</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Pre-Approval Policies and Procedures of our Audit Committee</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AUDIT COMMITTEE REPORT</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25</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4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CORPORATE GOVERNANCE MATTERS</w:t>
              </w:r>
            </w:hyperlink>
          </w:p>
        </w:tc>
        <w:tc>
          <w:tcPr>
            <w:tcW w:w="582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Governance Principles</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Director Independence</w:t>
              </w:r>
            </w:hyperlink>
          </w:p>
        </w:tc>
        <w:tc>
          <w:tcPr>
            <w:tcW w:w="7160" w:type="dxa"/>
            <w:vAlign w:val="bottom"/>
            <w:gridSpan w:val="2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Code of Ethics</w:t>
              </w:r>
            </w:hyperlink>
          </w:p>
        </w:tc>
        <w:tc>
          <w:tcPr>
            <w:tcW w:w="7720" w:type="dxa"/>
            <w:vAlign w:val="bottom"/>
            <w:gridSpan w:val="2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Audit Committee Financial Expert</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Communications with the Board</w:t>
              </w:r>
            </w:hyperlink>
          </w:p>
        </w:tc>
        <w:tc>
          <w:tcPr>
            <w:tcW w:w="140" w:type="dxa"/>
            <w:vAlign w:val="bottom"/>
            <w:tcBorders>
              <w:top w:val="single" w:sz="8" w:color="0000EE"/>
            </w:tcBorders>
            <w:gridSpan w:val="2"/>
          </w:tcPr>
          <w:p>
            <w:pPr>
              <w:spacing w:after="0"/>
              <w:rPr>
                <w:sz w:val="24"/>
                <w:szCs w:val="24"/>
                <w:color w:val="auto"/>
              </w:rPr>
            </w:pPr>
          </w:p>
        </w:tc>
        <w:tc>
          <w:tcPr>
            <w:tcW w:w="634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Whistleblowing and Whistleblower Protection Policy</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Director Attendance at Annual Meetings</w:t>
              </w:r>
            </w:hyperlink>
          </w:p>
        </w:tc>
        <w:tc>
          <w:tcPr>
            <w:tcW w:w="880" w:type="dxa"/>
            <w:vAlign w:val="bottom"/>
            <w:tcBorders>
              <w:top w:val="single" w:sz="8" w:color="0000EE"/>
            </w:tcBorders>
            <w:gridSpan w:val="6"/>
          </w:tcPr>
          <w:p>
            <w:pPr>
              <w:spacing w:after="0"/>
              <w:rPr>
                <w:sz w:val="24"/>
                <w:szCs w:val="24"/>
                <w:color w:val="auto"/>
              </w:rPr>
            </w:pPr>
          </w:p>
        </w:tc>
        <w:tc>
          <w:tcPr>
            <w:tcW w:w="502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Identification of Director Candidates</w:t>
              </w:r>
            </w:hyperlink>
          </w:p>
        </w:tc>
        <w:tc>
          <w:tcPr>
            <w:tcW w:w="6180" w:type="dxa"/>
            <w:vAlign w:val="bottom"/>
            <w:gridSpan w:val="1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Executive Sessions of Non-Management Directors</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29</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Borders>
              <w:top w:val="single" w:sz="8" w:color="0000EE"/>
            </w:tcBorders>
            <w:gridSpan w:val="2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Disclosure Committee</w:t>
              </w:r>
            </w:hyperlink>
          </w:p>
        </w:tc>
        <w:tc>
          <w:tcPr>
            <w:tcW w:w="5220" w:type="dxa"/>
            <w:vAlign w:val="bottom"/>
            <w:gridSpan w:val="5"/>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29</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Policy on Majority Voting</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Board Leadership Structure</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Borders>
              <w:top w:val="single" w:sz="8" w:color="0000EE"/>
            </w:tcBorders>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Oversight</w:t>
              </w:r>
            </w:hyperlink>
          </w:p>
        </w:tc>
        <w:tc>
          <w:tcPr>
            <w:tcW w:w="6840" w:type="dxa"/>
            <w:vAlign w:val="bottom"/>
            <w:gridSpan w:val="21"/>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Clawback Policy</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EXECUTIVE COMPENSATION</w:t>
              </w:r>
            </w:hyperlink>
          </w:p>
        </w:tc>
        <w:tc>
          <w:tcPr>
            <w:tcW w:w="6560" w:type="dxa"/>
            <w:vAlign w:val="bottom"/>
            <w:gridSpan w:val="1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32</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Compensation Discussion and Analysis</w:t>
              </w:r>
            </w:hyperlink>
          </w:p>
        </w:tc>
        <w:tc>
          <w:tcPr>
            <w:tcW w:w="5980" w:type="dxa"/>
            <w:vAlign w:val="bottom"/>
            <w:gridSpan w:val="11"/>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32</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Compensation Committee Report</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50</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Borders>
              <w:top w:val="single" w:sz="8" w:color="0000EE"/>
            </w:tcBorders>
            <w:gridSpan w:val="15"/>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Summary Compensation Table</w:t>
              </w:r>
            </w:hyperlink>
          </w:p>
        </w:tc>
        <w:tc>
          <w:tcPr>
            <w:tcW w:w="6420" w:type="dxa"/>
            <w:vAlign w:val="bottom"/>
            <w:gridSpan w:val="15"/>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1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2012 Grants of Plan-Based Awards</w:t>
              </w:r>
            </w:hyperlink>
          </w:p>
        </w:tc>
        <w:tc>
          <w:tcPr>
            <w:tcW w:w="6300" w:type="dxa"/>
            <w:vAlign w:val="bottom"/>
            <w:gridSpan w:val="1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53</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Outstanding Equity Awards at Fiscal Year-End 2012</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54</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Borders>
              <w:top w:val="single" w:sz="8" w:color="0000EE"/>
            </w:tcBorders>
            <w:gridSpan w:val="2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2012 Option Exercises and Stock Vested</w:t>
              </w:r>
            </w:hyperlink>
          </w:p>
        </w:tc>
        <w:tc>
          <w:tcPr>
            <w:tcW w:w="5100" w:type="dxa"/>
            <w:vAlign w:val="bottom"/>
            <w:gridSpan w:val="4"/>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20"/>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3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SL Green Realty Corp. 2010 Notional Unit Plan</w:t>
              </w:r>
            </w:hyperlink>
          </w:p>
        </w:tc>
        <w:tc>
          <w:tcPr>
            <w:tcW w:w="1320" w:type="dxa"/>
            <w:vAlign w:val="bottom"/>
            <w:gridSpan w:val="2"/>
          </w:tcPr>
          <w:p>
            <w:pPr>
              <w:jc w:val="right"/>
              <w:ind w:right="1140"/>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55</w:t>
              </w:r>
            </w:hyperlink>
          </w:p>
        </w:tc>
      </w:tr>
      <w:tr>
        <w:trPr>
          <w:trHeight w:val="45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20" w:type="dxa"/>
            <w:vAlign w:val="bottom"/>
            <w:gridSpan w:val="3"/>
          </w:tcPr>
          <w:p>
            <w:pPr>
              <w:ind w:left="580"/>
              <w:spacing w:after="0"/>
              <w:rPr>
                <w:sz w:val="20"/>
                <w:szCs w:val="20"/>
                <w:color w:val="auto"/>
              </w:rPr>
            </w:pPr>
            <w:r>
              <w:rPr>
                <w:rFonts w:ascii="Arial" w:cs="Arial" w:eastAsia="Arial" w:hAnsi="Arial"/>
                <w:sz w:val="18"/>
                <w:szCs w:val="18"/>
                <w:color w:val="auto"/>
              </w:rPr>
              <w:t>ii</w:t>
            </w: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762"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10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r>
      <w:tr>
        <w:trPr>
          <w:trHeight w:val="41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SL Green Realty Corp. 2011 Outperformance Plan</w:t>
              </w:r>
            </w:hyperlink>
          </w:p>
        </w:tc>
        <w:tc>
          <w:tcPr>
            <w:tcW w:w="18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56</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Borders>
              <w:top w:val="single" w:sz="8" w:color="0000EE"/>
            </w:tcBorders>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Equity Compensation Plan Table</w:t>
              </w:r>
            </w:hyperlink>
          </w:p>
        </w:tc>
        <w:tc>
          <w:tcPr>
            <w:tcW w:w="5220" w:type="dxa"/>
            <w:vAlign w:val="bottom"/>
            <w:gridSpan w:val="9"/>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57</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Retirement Benefits</w:t>
              </w:r>
            </w:hyperlink>
          </w:p>
        </w:tc>
        <w:tc>
          <w:tcPr>
            <w:tcW w:w="900" w:type="dxa"/>
            <w:vAlign w:val="bottom"/>
            <w:tcBorders>
              <w:top w:val="single" w:sz="8" w:color="0000EE"/>
            </w:tcBorders>
            <w:gridSpan w:val="4"/>
          </w:tcPr>
          <w:p>
            <w:pPr>
              <w:spacing w:after="0"/>
              <w:rPr>
                <w:sz w:val="24"/>
                <w:szCs w:val="24"/>
                <w:color w:val="auto"/>
              </w:rPr>
            </w:pPr>
          </w:p>
        </w:tc>
        <w:tc>
          <w:tcPr>
            <w:tcW w:w="646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57</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Potential Payments Upon Termination or Change-in-Control</w:t>
              </w:r>
            </w:hyperlink>
          </w:p>
        </w:tc>
        <w:tc>
          <w:tcPr>
            <w:tcW w:w="45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57</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Compensation Committee Interlocks and Insider Participation</w:t>
              </w:r>
            </w:hyperlink>
          </w:p>
        </w:tc>
        <w:tc>
          <w:tcPr>
            <w:tcW w:w="180" w:type="dxa"/>
            <w:vAlign w:val="bottom"/>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SECURITY OWNERSHIP OF CERTAIN BENEFICIAL OWNERS AND MANAGEMENT</w:t>
              </w:r>
            </w:hyperlink>
          </w:p>
        </w:tc>
        <w:tc>
          <w:tcPr>
            <w:tcW w:w="23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73</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Section 16(a) Beneficial Ownership Reporting Compliance</w:t>
              </w:r>
            </w:hyperlink>
          </w:p>
        </w:tc>
        <w:tc>
          <w:tcPr>
            <w:tcW w:w="180" w:type="dxa"/>
            <w:vAlign w:val="bottom"/>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LEGAL PROCEEDINGS</w:t>
              </w:r>
            </w:hyperlink>
          </w:p>
        </w:tc>
        <w:tc>
          <w:tcPr>
            <w:tcW w:w="7120" w:type="dxa"/>
            <w:vAlign w:val="bottom"/>
            <w:gridSpan w:val="1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74</w:t>
              </w:r>
            </w:hyperlink>
          </w:p>
        </w:tc>
      </w:tr>
      <w:tr>
        <w:trPr>
          <w:trHeight w:val="412"/>
        </w:trPr>
        <w:tc>
          <w:tcPr>
            <w:tcW w:w="1140" w:type="dxa"/>
            <w:vAlign w:val="bottom"/>
          </w:tcPr>
          <w:p>
            <w:pPr>
              <w:spacing w:after="0"/>
              <w:rPr>
                <w:sz w:val="24"/>
                <w:szCs w:val="24"/>
                <w:color w:val="auto"/>
              </w:rPr>
            </w:pPr>
          </w:p>
        </w:tc>
        <w:tc>
          <w:tcPr>
            <w:tcW w:w="534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CERTAIN RELATIONSHIPS AND RELATED PARTY TRANSACTIONS</w:t>
              </w:r>
            </w:hyperlink>
          </w:p>
        </w:tc>
        <w:tc>
          <w:tcPr>
            <w:tcW w:w="3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Policies and Procedures With Respect to Related Party Transactions</w:t>
              </w:r>
            </w:hyperlink>
          </w:p>
        </w:tc>
        <w:tc>
          <w:tcPr>
            <w:tcW w:w="180" w:type="dxa"/>
            <w:vAlign w:val="bottom"/>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Cleaning/Security/Messenger and Restoration Services</w:t>
              </w:r>
            </w:hyperlink>
          </w:p>
        </w:tc>
        <w:tc>
          <w:tcPr>
            <w:tcW w:w="900" w:type="dxa"/>
            <w:vAlign w:val="bottom"/>
            <w:tcBorders>
              <w:top w:val="single" w:sz="8" w:color="0000EE"/>
            </w:tcBorders>
            <w:gridSpan w:val="4"/>
          </w:tcPr>
          <w:p>
            <w:pPr>
              <w:spacing w:after="0"/>
              <w:rPr>
                <w:sz w:val="24"/>
                <w:szCs w:val="24"/>
                <w:color w:val="auto"/>
              </w:rPr>
            </w:pPr>
          </w:p>
        </w:tc>
        <w:tc>
          <w:tcPr>
            <w:tcW w:w="40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Management Fees</w:t>
              </w:r>
            </w:hyperlink>
          </w:p>
        </w:tc>
        <w:tc>
          <w:tcPr>
            <w:tcW w:w="7480" w:type="dxa"/>
            <w:vAlign w:val="bottom"/>
            <w:gridSpan w:val="1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75</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Leases</w:t>
              </w:r>
            </w:hyperlink>
          </w:p>
        </w:tc>
        <w:tc>
          <w:tcPr>
            <w:tcW w:w="180" w:type="dxa"/>
            <w:vAlign w:val="bottom"/>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Marketing Services</w:t>
              </w:r>
            </w:hyperlink>
          </w:p>
        </w:tc>
        <w:tc>
          <w:tcPr>
            <w:tcW w:w="7400" w:type="dxa"/>
            <w:vAlign w:val="bottom"/>
            <w:gridSpan w:val="1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w:t>
              </w:r>
            </w:hyperlink>
          </w:p>
        </w:tc>
        <w:tc>
          <w:tcPr>
            <w:tcW w:w="180" w:type="dxa"/>
            <w:vAlign w:val="bottom"/>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Gramercy Property Trust Inc.</w:t>
              </w:r>
            </w:hyperlink>
          </w:p>
        </w:tc>
        <w:tc>
          <w:tcPr>
            <w:tcW w:w="6660" w:type="dxa"/>
            <w:vAlign w:val="bottom"/>
            <w:gridSpan w:val="1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r>
      <w:tr>
        <w:trPr>
          <w:trHeight w:val="412"/>
        </w:trPr>
        <w:tc>
          <w:tcPr>
            <w:tcW w:w="114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OTHER MATTERS</w:t>
              </w:r>
            </w:hyperlink>
          </w:p>
        </w:tc>
        <w:tc>
          <w:tcPr>
            <w:tcW w:w="7520" w:type="dxa"/>
            <w:vAlign w:val="bottom"/>
            <w:gridSpan w:val="1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Solicitation of Proxies</w:t>
              </w:r>
            </w:hyperlink>
          </w:p>
        </w:tc>
        <w:tc>
          <w:tcPr>
            <w:tcW w:w="7200" w:type="dxa"/>
            <w:vAlign w:val="bottom"/>
            <w:gridSpan w:val="1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Stockholder Proposals</w:t>
              </w:r>
            </w:hyperlink>
          </w:p>
        </w:tc>
        <w:tc>
          <w:tcPr>
            <w:tcW w:w="180" w:type="dxa"/>
            <w:vAlign w:val="bottom"/>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Householding of Proxy Materials</w:t>
              </w:r>
            </w:hyperlink>
          </w:p>
        </w:tc>
        <w:tc>
          <w:tcPr>
            <w:tcW w:w="642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79</w:t>
              </w:r>
            </w:hyperlink>
          </w:p>
        </w:tc>
      </w:tr>
      <w:tr>
        <w:trPr>
          <w:trHeight w:val="41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Matters</w:t>
              </w:r>
            </w:hyperlink>
          </w:p>
        </w:tc>
        <w:tc>
          <w:tcPr>
            <w:tcW w:w="180" w:type="dxa"/>
            <w:vAlign w:val="bottom"/>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80</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380" w:type="dxa"/>
            <w:vAlign w:val="bottom"/>
            <w:gridSpan w:val="1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54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APPENDIX A: THIRD AMENDED AND RESTATED 2005 STOCK OPTION AND INCENTIVE PLAN</w:t>
              </w:r>
            </w:hyperlink>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35" w:lineRule="exact"/>
        <w:rPr>
          <w:sz w:val="20"/>
          <w:szCs w:val="20"/>
          <w:color w:val="auto"/>
        </w:rPr>
      </w:pPr>
    </w:p>
    <w:p>
      <w:pPr>
        <w:ind w:left="5640" w:right="2980" w:hanging="4491"/>
        <w:spacing w:after="0" w:line="519"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APPENDIX B: INFORMATION REGARDING CERTAIN FINANCIAL MEASURES</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10170-1881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OUR 2013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13, 2013</w:t>
      </w:r>
    </w:p>
    <w:p>
      <w:pPr>
        <w:spacing w:after="0" w:line="219"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2013 annual meeting of stockholders to be held on Thursday, June 13, 2013, at 10:00 a.m., local time, at The Grand Hyatt New York, 109 East 42nd Street at Grand Central Terminal, New York, New York, or at any postponement or adjournment of the annual meeting. 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on or about April 26, 2013.</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Notice of Internet Availabilit</w:t>
      </w:r>
      <w:r>
        <w:rPr>
          <w:rFonts w:ascii="Arial" w:cs="Arial" w:eastAsia="Arial" w:hAnsi="Arial"/>
          <w:sz w:val="16"/>
          <w:szCs w:val="16"/>
          <w:color w:val="auto"/>
        </w:rPr>
        <w:t>y</w:t>
      </w:r>
      <w:r>
        <w:rPr>
          <w:rFonts w:ascii="Arial" w:cs="Arial" w:eastAsia="Arial" w:hAnsi="Arial"/>
          <w:sz w:val="16"/>
          <w:szCs w:val="16"/>
          <w:b w:val="1"/>
          <w:bCs w:val="1"/>
          <w:color w:val="auto"/>
        </w:rPr>
        <w:t xml:space="preserve"> of Proxy Materials that I received in the mail this year instead of a full set of proxy materials?</w:t>
      </w:r>
    </w:p>
    <w:p>
      <w:pPr>
        <w:spacing w:after="0" w:line="25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accordance with rules adopted by the Securities and Exchange Commission, or SEC, we may furnish proxy materials, including this proxy statement and our 2012 annual report to stockholders, by providing access to these documents on the Internet instead of mailing a printed copy of our proxy materials to our stockholders. In accordance with such rules, most of our stockholders already have received a Notice of Internet Availability of Proxy Materials, or the Notice, which provides a website address with instructions for accessing our proxy materials, including this proxy statement, and for requesting printed copies of the proxy materials by mail or electronically by e-mail.</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you would like to receive a paper or an e-mail copy of our proxy materials for the 2013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March 28, 2013,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two Class I directors to serve on our Board of Directors for a three-year term and until their successors are duly elected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qualify;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an advisory vote on executive compensation as disclosed in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approval of our Third Amended and Restated 2005 Stock Option and Incentive Plan;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4: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2013.</w:t>
      </w:r>
    </w:p>
    <w:p>
      <w:pPr>
        <w:spacing w:after="0" w:line="186"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91,552,922 shares outstanding and entitled to vote at the annual meeting.</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Each share of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respect of Proposal 1, a plurality of all of the votes cast at the annual meeting at which a quorum is present is required for the election of directors. In addition, our Policy on Majority Voting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 Broker non-votes with respect to Proposal 1 are not counted as votes cast, and therefore, will have no effect on the election of directors.</w:t>
      </w:r>
    </w:p>
    <w:p>
      <w:pPr>
        <w:spacing w:after="0" w:line="172"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 majority of all of the votes cast at the annual meeting at which a quorum is present is required for approval of each of Proposals 2, 3 and 4, provided, in the case of Proposal 3, that the total vote cast on such Proposal represents more than 50% in interest of all shares entitled to vote on the Proposal.</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respect of Proposal 2, abstentions and broker non-votes are not counted as votes cast, and therefore, will have no effect on this vote. This vote is advisory and non-binding on the Board of Directors, the Compensation Committee and the Company.</w:t>
      </w:r>
    </w:p>
    <w:p>
      <w:pPr>
        <w:spacing w:after="0" w:line="186"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In respect of Proposal 3, abstentions will be treated as votes cast and will have the same effect as votes against the proposal. Broker non-votes will not be treated as votes cast and, if holders of more than 50% in interest of all shares entitled to vote on Proposal 3 cast votes, will have no effect on the result of the vote.</w:t>
      </w:r>
    </w:p>
    <w:p>
      <w:pPr>
        <w:spacing w:after="0" w:line="11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respect of Proposal 4, abstentions do not constitute votes "for" or "against" and will not be counted as "votes cast." Therefore, abstentions will have no effect on Proposal 4. There will not be any broker non-votes with respect to Proposal 4, because Proposal 4 is a routine matter on which brokers are permitted to vote without instructions from the beneficial owner.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Voting in Person at the Annual Meeting. </w:t>
      </w:r>
      <w:r>
        <w:rPr>
          <w:rFonts w:ascii="Arial" w:cs="Arial" w:eastAsia="Arial" w:hAnsi="Arial"/>
          <w:sz w:val="16"/>
          <w:szCs w:val="16"/>
          <w:color w:val="auto"/>
        </w:rPr>
        <w:t>If you hold your shares in your own name as a holder of record with our transfer agent, Computershare, and attend</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61"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i w:val="1"/>
          <w:iCs w:val="1"/>
          <w:color w:val="auto"/>
        </w:rPr>
        <w:t>Voting by Proxy.</w:t>
      </w:r>
      <w:r>
        <w:rPr>
          <w:sz w:val="20"/>
          <w:szCs w:val="20"/>
          <w:color w:val="auto"/>
        </w:rPr>
        <w:tab/>
      </w:r>
      <w:r>
        <w:rPr>
          <w:rFonts w:ascii="Arial" w:cs="Arial" w:eastAsia="Arial" w:hAnsi="Arial"/>
          <w:sz w:val="15"/>
          <w:szCs w:val="15"/>
          <w:color w:val="auto"/>
        </w:rPr>
        <w:t>You should submit your proxy or voting instructions as soon as possible.</w:t>
      </w:r>
    </w:p>
    <w:p>
      <w:pPr>
        <w:spacing w:after="0" w:line="219"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 Internet or by mail. The</w:t>
      </w:r>
      <w:r>
        <w:rPr>
          <w:rFonts w:ascii="Arial" w:cs="Arial" w:eastAsia="Arial" w:hAnsi="Arial"/>
          <w:sz w:val="16"/>
          <w:szCs w:val="16"/>
          <w:b w:val="1"/>
          <w:bCs w:val="1"/>
          <w:color w:val="auto"/>
        </w:rPr>
        <w:t xml:space="preserve"> </w:t>
      </w:r>
      <w:r>
        <w:rPr>
          <w:rFonts w:ascii="Arial" w:cs="Arial" w:eastAsia="Arial" w:hAnsi="Arial"/>
          <w:sz w:val="16"/>
          <w:szCs w:val="16"/>
          <w:color w:val="auto"/>
        </w:rPr>
        <w:t>deadline for voting by telephone or electronically via the Internet is 11:59 p.m., Eastern Daylight Time, on June 12, 2013. If voting by mail, you must:</w:t>
      </w:r>
    </w:p>
    <w:p>
      <w:pPr>
        <w:spacing w:after="0" w:line="14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promptly mail the proxy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0"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b w:val="1"/>
          <w:b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Notice. The deadline for voting electronically via the Internet is 11:59 p.m., Eastern Daylight Time, on June 12, 2013.</w:t>
      </w:r>
    </w:p>
    <w:p>
      <w:pPr>
        <w:spacing w:after="0" w:line="128"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 xml:space="preserve">If you received an e-mail copy of this Proxy Statement. </w:t>
      </w:r>
      <w:r>
        <w:rPr>
          <w:rFonts w:ascii="Arial" w:cs="Arial" w:eastAsia="Arial" w:hAnsi="Arial"/>
          <w:sz w:val="16"/>
          <w:szCs w:val="16"/>
          <w:color w:val="auto"/>
        </w:rPr>
        <w:t>Please submit your proxy electronically via the Internet or telephonically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on the Proxy Card. The deadline for voting electronically via the Internet or telephonically is 11:59 p.m., Eastern Daylight Time, on June 12, 2013.</w:t>
      </w:r>
    </w:p>
    <w:p>
      <w:pPr>
        <w:spacing w:after="0" w:line="13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 directors named in this proxy statement, "for" advisory approval of the compensation of our named executive officers, "for" the approval our Third Amended and Restated 2005 Stock Option and Incentive Plan and "for" ratification of the appointment of Ernst &amp; Young LLP as our independent registered public accounting firm for the fiscal year ending December 31, 2013. It is not anticipated that any matters other than those set forth in this proxy statement will be presented at the annual meeting. If other matters are presented, proxies will be voted in accordance with the discretion of the proxy holders. In addition, since no stockholder proposals or nominations were received on a timely basis and not withdrawn, no such matters will be brought to a vote at the annual meeting.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33" w:lineRule="exact"/>
        <w:rPr>
          <w:sz w:val="20"/>
          <w:szCs w:val="20"/>
          <w:color w:val="auto"/>
        </w:rPr>
      </w:pPr>
    </w:p>
    <w:p>
      <w:pPr>
        <w:ind w:left="1080" w:right="320" w:hanging="532"/>
        <w:spacing w:after="0" w:line="27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Edwin Thomas Burton, III and Craig M. Hatkoff as Class I directors to serve on our Board of Directors for a</w:t>
      </w:r>
      <w:r>
        <w:rPr>
          <w:rFonts w:ascii="Arial" w:cs="Arial" w:eastAsia="Arial" w:hAnsi="Arial"/>
          <w:sz w:val="18"/>
          <w:szCs w:val="18"/>
          <w:b w:val="1"/>
          <w:bCs w:val="1"/>
          <w:color w:val="auto"/>
        </w:rPr>
        <w:t xml:space="preserve"> </w:t>
      </w:r>
      <w:r>
        <w:rPr>
          <w:rFonts w:ascii="Arial" w:cs="Arial" w:eastAsia="Arial" w:hAnsi="Arial"/>
          <w:sz w:val="18"/>
          <w:szCs w:val="18"/>
          <w:color w:val="auto"/>
        </w:rPr>
        <w:t>three-year term and until their successors are duly elected and qualify;</w:t>
      </w:r>
    </w:p>
    <w:p>
      <w:pPr>
        <w:spacing w:after="0" w:line="20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on an advisory basis, of the compensation of our executives;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approval of our Third Amended and Restated 2005 Stock Option and Incentive Plan; and</w:t>
      </w:r>
    </w:p>
    <w:p>
      <w:pPr>
        <w:spacing w:after="0" w:line="238" w:lineRule="exact"/>
        <w:rPr>
          <w:rFonts w:ascii="Arial" w:cs="Arial" w:eastAsia="Arial" w:hAnsi="Arial"/>
          <w:sz w:val="18"/>
          <w:szCs w:val="18"/>
          <w:color w:val="auto"/>
        </w:rPr>
      </w:pPr>
    </w:p>
    <w:p>
      <w:pPr>
        <w:ind w:left="1080" w:right="260" w:hanging="532"/>
        <w:spacing w:after="0" w:line="27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4</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Our 2012 annual report, including financial statements for the fiscal year ended December 31, 2012, is being made available to you along with this proxy statement. You may obtain, free of charge, copies of our 2012 annual report and our Annual Report on Form 10-K for the fiscal year ended December 31, 2012,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2012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ind w:right="360" w:firstLine="348"/>
        <w:spacing w:after="0" w:line="310" w:lineRule="auto"/>
        <w:rPr>
          <w:sz w:val="20"/>
          <w:szCs w:val="20"/>
          <w:color w:val="auto"/>
        </w:rPr>
      </w:pPr>
      <w:r>
        <w:rPr>
          <w:rFonts w:ascii="Arial" w:cs="Arial" w:eastAsia="Arial" w:hAnsi="Arial"/>
          <w:sz w:val="16"/>
          <w:szCs w:val="16"/>
          <w:b w:val="1"/>
          <w:bCs w:val="1"/>
          <w:color w:val="auto"/>
        </w:rPr>
        <w:t xml:space="preserve">This solicitation of proxies is made by and on behalf of the Board. </w:t>
      </w:r>
      <w:r>
        <w:rPr>
          <w:rFonts w:ascii="Arial" w:cs="Arial" w:eastAsia="Arial" w:hAnsi="Arial"/>
          <w:sz w:val="16"/>
          <w:szCs w:val="16"/>
          <w:color w:val="auto"/>
        </w:rPr>
        <w:t>We will pay the cost of the solicitation of proxies. We have retained MacKenzie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Inc. at an aggregate estimated cost of $12,500, plus out-of-pocket expenses, to assist in the solicitation of proxies. In addition to the solicitation of proxies by mail, our directors, officers and employees may solicit proxies personally or by telephone.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Notice of Internet Availability to sendmaterial@proxyvote.com, via the internet at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or by telephone at (800) 579-7639. Your election will remain in effect until you change it.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received more than one Notice of Internet Availability of Proxy Materials?</w:t>
      </w:r>
    </w:p>
    <w:p>
      <w:pPr>
        <w:spacing w:after="0" w:line="231"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9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Board of the Company currently consists of six members and is divided into three classes. Directors in each class serve for a term of three years or until their successors are duly elected and qualify. The term of directors of one class expires at each annual meeting of stockholders.</w:t>
      </w:r>
    </w:p>
    <w:p>
      <w:pPr>
        <w:spacing w:after="0" w:line="13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the annual meeting, two directors will be elected to serve until the 2016 annual meeting and until their successors are duly elected and qualify. The Board, upon the recommendation of the Nominating and Corporate Governance Committee, has nominated Edwin Thomas Burton, III and Craig M. Hatkoff for election to serve as its Class I directors. Messrs. Burton and Hatkoff currently are serving as Class I directors. Each of Messrs. Burton and Hatkoff have consented to being named in this proxy statement and to serve as a director if elected. However, if either of Messrs. Burton or Hatkoff is unable to accept election, proxies voted in favor of such nominee will be voted for the election of such other person as the Board nominates.</w:t>
      </w:r>
    </w:p>
    <w:p>
      <w:pPr>
        <w:spacing w:after="0" w:line="170"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plurality of all of the votes cast at the annual meeting at which a quorum is present in person or by proxy is required for the election of directors. Pursuant to our Policy on Majority Voting,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will treat broker non-votes as shares that are present and entitled to vote for purposes of determining the presence or absence of a quorum. Broker non-votes do not constitute a vote "for" or "withheld" and will not be counted as votes cast. Therefore, broker non-votes will have no effect on this proposal, assuming a quorum is present.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unanimously recommends a vote "FOR" the election of Messrs. Burton and Hatkoff.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Class I directors at the 2013 annual meeting and the continuing Class II and Class III directors whose terms expire at the annual meetings of stockholders in 2014 and 2015, respectively, based upon information furnished by each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Nominees (terms will expire in 2016)</w:t>
            </w: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Edwin Thomas Burton, III.</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M. Hatkoff</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60" w:type="dxa"/>
            <w:vAlign w:val="bottom"/>
            <w:gridSpan w:val="3"/>
          </w:tcPr>
          <w:p>
            <w:pPr>
              <w:ind w:left="1140"/>
              <w:spacing w:after="0"/>
              <w:rPr>
                <w:sz w:val="20"/>
                <w:szCs w:val="20"/>
                <w:color w:val="auto"/>
              </w:rPr>
            </w:pPr>
            <w:r>
              <w:rPr>
                <w:rFonts w:ascii="Arial" w:cs="Arial" w:eastAsia="Arial" w:hAnsi="Arial"/>
                <w:sz w:val="18"/>
                <w:szCs w:val="18"/>
                <w:b w:val="1"/>
                <w:bCs w:val="1"/>
                <w:color w:val="auto"/>
                <w:w w:val="92"/>
              </w:rPr>
              <w:t>Class III Continuing Directors (terms will expire in 2015)</w:t>
            </w: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 Alschuler, Jr.</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Stephen L. Green</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Class II Continuing Directors (terms will expire in 2014)</w:t>
            </w:r>
          </w:p>
        </w:tc>
        <w:tc>
          <w:tcPr>
            <w:tcW w:w="3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Marc Holliday</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20" w:type="dxa"/>
            <w:vAlign w:val="bottom"/>
          </w:tcPr>
          <w:p>
            <w:pPr>
              <w:jc w:val="right"/>
              <w:ind w:right="273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Nominees—Terms Will Expire in 2016</w:t>
      </w:r>
    </w:p>
    <w:p>
      <w:pPr>
        <w:spacing w:after="0" w:line="225"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and serves as Chairman of our Audit Committee and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Nominating and Corporate Governance Committees. Mr. Burton is a Professor of Economics at the University of Virginia, and has held teaching positions at York College, Rice University and Cornell University, and has written and lectured extensively in the field of Economics. Mr. Burton also serves as a member of the Board of Trustees of the Virginia Retirement System for state and local employees of the Commonwealth of Virginia,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served as a consultant to the 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has been designated by the Board as an Audit Committee Financial Expert. Mr. Burton is 70 years old.</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Craig M. Hatkoff </w:t>
      </w:r>
      <w:r>
        <w:rPr>
          <w:rFonts w:ascii="Arial" w:cs="Arial" w:eastAsia="Arial" w:hAnsi="Arial"/>
          <w:sz w:val="16"/>
          <w:szCs w:val="16"/>
          <w:color w:val="auto"/>
        </w:rPr>
        <w:t>has served as a member of our Board of Directors and as a member of our Nominating and Corporate Governance Committee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2011. Mr. Hatkoff has been active in commercial real estate and community development for more than two decades. He spent 11 years at Chemical Bank, as Co-Head of the real estate investment banking unit, and was a pioneer in commercial mortgage securitization. Mr. Hatkoff was a Co-Founder and Managing Partner of Victor Capital Group, L.P. until it was later acquired by Capital Trust, Inc., where he served as Vice-Chairman and Chairman of the Executive Committee. He left in 2000 to pursue other entrepreneurial and civic endeavors but served as a Director of Capital Trust, Inc. from 1996 until early 2010. Mr. Hatkoff is a co-founder of Tribeca Enterprises, a diversified company best known for New York City's annual Tribeca Film Festival. Mr. Hatkoff is also presently Chairman of Turtle Pond Publications, LLC, and serves on the boards of a number of non-profit organizations including the Tribeca Film Institute which he co-founded, the Desmond Tutu Peace Foundation, Richard Leakey's Wildlife Direct, the Child Mind Institute, The Rock and Roll Hall of Fame, Sesame Workshop, Scholastic's Alliance for Young Artists and Writers and the Borough of Manhattan Community College Foundation. Mr. Hatkoff is the founder of both the Disruptor Foundation and the Owen and Mzee Foundation. Mr. Hatkoff is also on the Board of Directors of Taubman Centers, Inc., where he has served since 2004. From 2002 to 2005, Mr. Hatkoff served as a trustee of the New York City School Construction Authority, the agency responsible for the construction of all public schools in New York City. Mr. Hatkoff's strong background in commercial real estate and real estate finance is well known and respected throughout the New York real estate industry. Mr. Hatkoff's deep understanding of the New York City real estate market matches well with SL Green's core investment and operational focus. Mr. Hatkoff is 59 years old.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Continuing Directors—Terms Will Expire in 2015</w:t>
      </w:r>
    </w:p>
    <w:p>
      <w:pPr>
        <w:spacing w:after="0" w:line="225" w:lineRule="exact"/>
        <w:rPr>
          <w:sz w:val="20"/>
          <w:szCs w:val="20"/>
          <w:color w:val="auto"/>
        </w:rPr>
      </w:pPr>
    </w:p>
    <w:p>
      <w:pPr>
        <w:ind w:right="160" w:firstLine="351"/>
        <w:spacing w:after="0" w:line="310" w:lineRule="auto"/>
        <w:rPr>
          <w:sz w:val="20"/>
          <w:szCs w:val="20"/>
          <w:color w:val="auto"/>
        </w:rPr>
      </w:pPr>
      <w:r>
        <w:rPr>
          <w:rFonts w:ascii="Arial" w:cs="Arial" w:eastAsia="Arial" w:hAnsi="Arial"/>
          <w:sz w:val="15"/>
          <w:szCs w:val="15"/>
          <w:b w:val="1"/>
          <w:bCs w:val="1"/>
          <w:color w:val="auto"/>
        </w:rPr>
        <w:t xml:space="preserve">John H. Alschuler, Jr. </w:t>
      </w:r>
      <w:r>
        <w:rPr>
          <w:rFonts w:ascii="Arial" w:cs="Arial" w:eastAsia="Arial" w:hAnsi="Arial"/>
          <w:sz w:val="15"/>
          <w:szCs w:val="15"/>
          <w:color w:val="auto"/>
        </w:rPr>
        <w:t>has served as one of our directors since 1997 and serves as Chairman of our Compensation Committee, as a member of our Audit,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and Nominating and Corporate Governance Committees and as our Lead Independent Director. 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as Chair of the Board of Directors of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 Mr. Alschuler is 65 years old.</w:t>
      </w:r>
    </w:p>
    <w:p>
      <w:pPr>
        <w:spacing w:after="0" w:line="15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has served as our Chairman and a member of the Board since 1997 and serves as the Chairman of our Executive Committee. Mr. Green</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4.0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75 years old.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Continuing Directors—Terms Will Expire in 2014</w:t>
      </w:r>
    </w:p>
    <w:p>
      <w:pPr>
        <w:spacing w:after="0" w:line="225"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Property Trust Inc. f/k/a/ Gramercy Capital Corp., or Gramercy, and has served in such capacity since 2004. In 2010, Mr. Holliday notified the Board of Directors of Gramercy that he would not stand for election as a director for a new term. However, Mr. Holliday agreed with the Board of Directors of Gramercy that he would remain as a director for an unspecified period of time following Gramercy's 2010 annual meeting. Mr. Holliday remains a director on that basis. In October 2008,</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Holliday stepped down from his positions of President and Chief Executive Officer of Gramercy, positions he had held since August 2004. Prior to joining the Company, Mr. Holliday was Managing Director and Head of Direct Originations for New York-based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a private real estate investment bank specializing in advisory services, investment management and debt and equity placements.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46 years old.</w:t>
      </w:r>
    </w:p>
    <w:p>
      <w:pPr>
        <w:spacing w:after="0" w:line="16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and serves as Chairman of our Nominating and Corporate Governance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and Compensation Committees. 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 Mr. Levy is 77 years old.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color w:val="auto"/>
        </w:rPr>
        <w:t xml:space="preserve">Andrew W. Mathias </w:t>
      </w:r>
      <w:r>
        <w:rPr>
          <w:rFonts w:ascii="Arial" w:cs="Arial" w:eastAsia="Arial" w:hAnsi="Arial"/>
          <w:sz w:val="18"/>
          <w:szCs w:val="18"/>
          <w:color w:val="auto"/>
        </w:rPr>
        <w:t>has served as our President since April 2007. Mr. Mathias is in charge of our equity and structured finance investments and oversees</w:t>
      </w:r>
      <w:r>
        <w:rPr>
          <w:rFonts w:ascii="Arial" w:cs="Arial" w:eastAsia="Arial" w:hAnsi="Arial"/>
          <w:sz w:val="18"/>
          <w:szCs w:val="18"/>
          <w:b w:val="1"/>
          <w:bCs w:val="1"/>
          <w:color w:val="auto"/>
        </w:rPr>
        <w:t xml:space="preserve"> </w:t>
      </w:r>
      <w:r>
        <w:rPr>
          <w:rFonts w:ascii="Arial" w:cs="Arial" w:eastAsia="Arial" w:hAnsi="Arial"/>
          <w:sz w:val="18"/>
          <w:szCs w:val="18"/>
          <w:color w:val="auto"/>
        </w:rPr>
        <w:t>our acquisitions and dispositions and our joint venture program. Mr. Mathias joined the Company in March 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 Mr. Mathias is 39 years old.</w:t>
      </w:r>
    </w:p>
    <w:p>
      <w:pPr>
        <w:spacing w:after="0" w:line="19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b w:val="1"/>
          <w:bCs w:val="1"/>
          <w:color w:val="auto"/>
        </w:rPr>
        <w:t xml:space="preserve">James Mead </w:t>
      </w:r>
      <w:r>
        <w:rPr>
          <w:rFonts w:ascii="Arial" w:cs="Arial" w:eastAsia="Arial" w:hAnsi="Arial"/>
          <w:sz w:val="16"/>
          <w:szCs w:val="16"/>
          <w:color w:val="auto"/>
        </w:rPr>
        <w:t>has served as our Chief Financial Officer since November 2010. As Chief Financial Officer Mr. Mead is responsible for our finance,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investor relations and administration. Before joining the Company, from November 2004 to March 2010, Mr. Mead was Executive Vice President and Chief Financial Officer of Strategic Hotels &amp; Resorts, Inc., a high-end hotel REIT with properties in the U.S., Mexico and Europe, where he directed strategic planning in conjunction with the CEO and board of directors of the company and was responsible for debt and equity financing activities, investor relations, accounting, and domestic and international tax. From April 1993 until October 1999 Mr. Mead was at the California-based apartment REIT Irvine Company Apartment Communities, Inc., where in addition to his responsibilities as Chief Financial Officer he was co-head of the company's property management division. Mr. Mead also worked as head of capital markets for The Irvine Company, a 150 year-old California land development company where he directed the initial public offering of Irvine Company Apartment Communities, Inc., an affiliate of The Irvine Company. Mr. Mead previously worked at JP Morgan in investment banking in New York. A graduate of Tulane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University, Mr. Mead holds an MBA from the University of Virginia's Colgate Darden School of Business Administration. Mr. Mead is 53 years old.</w:t>
      </w:r>
    </w:p>
    <w:p>
      <w:pPr>
        <w:spacing w:after="0" w:line="242"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has served as our Chief Legal Officer since April 2007 and as our General Counsel, Executive Vice President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Levine received a B.A. degree from the University of Vermont and a J.D. degree from Rutgers School of Law, where Mr. Levine was an Editor of the Law Review. Mr. Levine is 54 years old.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held five meetings during fiscal year 2012. Each of the directors then in office attended all of the Board meetings held during fiscal year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Two of our directors attended our 2012 annual meeting.</w:t>
      </w:r>
    </w:p>
    <w:p>
      <w:pPr>
        <w:spacing w:after="0" w:line="219"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2"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Jr.,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eight meetings during fiscal year 2012. Each of the committee members attended all of the meetings of our Audit Committee held during fiscal year 2012. Additional information regarding the functions performed by our Audit Committee is set forth in the "Audit Committee Report" included in this annual proxy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Compensation Committee consists of John H. Alschuler, Jr. (Chairman), Edwin Thomas Burton, III and John S. Levy,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whom is "independent" within the meaning of the rules of the NYSE. Each member of our Compensation Committee also is a "non-employee director," as defined in Section 16 of the Securities Exchange Act of 1934, as amended. Our Compensation Committee's primary purposes are to determine how the Company's Chief Executive Officer should be compensated; to administer the Company's employee benefit plans and executive compensation programs; to set policies and review management decisions regarding compensation of our executive officers other than its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 concerning executive compensation. Gressle &amp; McGinley LLC regularly participates in Compensation Committee meetings. See "Executive Compensation—Compensation Discussion and Analysis." Our Compensation Committee held four meetings during fiscal year 2012. Each of the committee members attended all of the Compensation Committee meetings held during fiscal year 2012.</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During fiscal year 2012, our Nominating and Corporate Governance Committee nominated two Class III directors who were elected at our 2012 annual meeting of stockholders and held three meetings during such fiscal year. Each of the committee members attended all of the Nominating and Corporate Governance Committee meetings held during fiscal year 2012.</w:t>
      </w:r>
    </w:p>
    <w:p>
      <w:pPr>
        <w:spacing w:after="0" w:line="166"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Subject to the supervision and oversight of the Board, our Executive Committee, which consists of Stephen L. Green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Marc Holliday and John H. Alschuler, Jr.,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2012, as all matters within its authority were approved by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2012.</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4"/>
              </w:rPr>
              <w:t>Fees Earned 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Awards(2)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354,758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16,984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425,002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347,417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298,646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60" w:hanging="531"/>
        <w:spacing w:after="0" w:line="278" w:lineRule="auto"/>
        <w:tabs>
          <w:tab w:leader="none" w:pos="1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2012 cash compensation and Mr. Alschuler and Mr. Hatkoff deferred $67,500 and $25,000, respectively, of their 2012 cash compensation pursuant to our Non-Employee Directors' Deferral Program. Deferred compensation can include annual fees, chairman fees and board and committee meeting fees and is credited in the form of phantom or restricted stock units. Mr. Burton received 1,209 units, Mr. Alschuler received 872 units, Mr. Levy received 1,124 and Mr. Hatkoff received 313 units in connection with 2012 cash compensation they elected to defer.</w:t>
      </w:r>
    </w:p>
    <w:p>
      <w:pPr>
        <w:spacing w:after="0" w:line="89" w:lineRule="exact"/>
        <w:rPr>
          <w:rFonts w:ascii="Arial" w:cs="Arial" w:eastAsia="Arial" w:hAnsi="Arial"/>
          <w:sz w:val="12"/>
          <w:szCs w:val="12"/>
          <w:color w:val="auto"/>
        </w:rPr>
      </w:pPr>
    </w:p>
    <w:p>
      <w:pPr>
        <w:ind w:left="1680" w:right="100" w:hanging="531"/>
        <w:spacing w:after="0" w:line="263" w:lineRule="auto"/>
        <w:tabs>
          <w:tab w:leader="none" w:pos="1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on the date of grant of shares of restricted stock or restricted stock units granted to the directors in 2012, excluding stock units credited in lieu of retainer and meeting fees. The assumptions used to calculate the value of stock awards are set forth under Note 13 of the Notes to Consolidated Financial Statements included in our Annual Report on Form 10-K for the year ended December 31, 2012, which was filed with the SEC on February 27, 2013. At December 31, 2012, the aggregate number of unvested stock awards, consisting of unvested phantom stock units or shares of restricted stock, held by our non-employee directors was as follows:</w:t>
      </w:r>
    </w:p>
    <w:p>
      <w:pPr>
        <w:spacing w:after="0" w:line="1"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4"/>
          <w:szCs w:val="14"/>
          <w:color w:val="auto"/>
        </w:rPr>
        <w:t>Mr. Burton—1,460; Mr. Alschuler—1,460; Mr. Levy—1,460; and Mr. Hatkoff—1,467.</w:t>
      </w:r>
    </w:p>
    <w:p>
      <w:pPr>
        <w:spacing w:after="0" w:line="110" w:lineRule="exact"/>
        <w:rPr>
          <w:rFonts w:ascii="Arial" w:cs="Arial" w:eastAsia="Arial" w:hAnsi="Arial"/>
          <w:sz w:val="12"/>
          <w:szCs w:val="12"/>
          <w:color w:val="auto"/>
        </w:rPr>
      </w:pPr>
    </w:p>
    <w:p>
      <w:pPr>
        <w:ind w:left="1680" w:hanging="531"/>
        <w:spacing w:after="0" w:line="230" w:lineRule="auto"/>
        <w:tabs>
          <w:tab w:leader="none" w:pos="1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of option awards granted to the directors in 2012. The assumptions used to calculate the value of stock awards are set forth under Note 2 of the Notes to Consolidated Financial Statements included in our Annual Report on Form 10-K for the year ended December 31, 2012, which was filed with the SEC on February 27, 2013. At December 31, 2012, the aggregate number of option awards held by our non-employee directors was as follows: Mr. Burton—18,000; Mr. Alschuler— 36,000; Mr. Levy—60,000; and Mr. Hatkoff—12,000.</w:t>
      </w:r>
    </w:p>
    <w:p>
      <w:pPr>
        <w:spacing w:after="0" w:line="112" w:lineRule="exact"/>
        <w:rPr>
          <w:rFonts w:ascii="Arial" w:cs="Arial" w:eastAsia="Arial" w:hAnsi="Arial"/>
          <w:sz w:val="14"/>
          <w:szCs w:val="14"/>
          <w:color w:val="auto"/>
        </w:rPr>
      </w:pPr>
    </w:p>
    <w:p>
      <w:pPr>
        <w:ind w:left="1680" w:hanging="531"/>
        <w:spacing w:after="0"/>
        <w:tabs>
          <w:tab w:leader="none" w:pos="1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value of dividends paid in 2012 on the phantom stock units held by each non-employee director.</w:t>
      </w:r>
    </w:p>
    <w:p>
      <w:pPr>
        <w:spacing w:after="0" w:line="20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During the fiscal year ended December 31, 2012, each non-employee director received an annual fee of $50,000 and our Lead Independent Director was entitled to receive an additional annual fee of $85,000. These annual fees were payable quarterly, half in stock and half in cash, unless a non-employee director elected to have the director fee paid 100% in stock or elected to defer all or part of the annual fee pursuant to our Non-Employee Directors' Deferral Program as described below. Each non-employee director also received $1,500 for each meeting of the Board or a committee of the Board that he attended. The meeting fees were paid in cash unless a non-employee director elected to defer all or part of the meeting fees pursuant to our Non-Employee Directors' Deferral Program. One of our non-employee directors who resides outside of New York was reimbursed for expenses of attending Board and committee meetings.</w:t>
      </w:r>
    </w:p>
    <w:p>
      <w:pPr>
        <w:spacing w:after="0" w:line="174"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$10,000, $7,500 and $5,000, respectively, which were payable in cash unless such Chairman elected to defer all or part of such fee pursuant to our Non-Employee Directors' Deferral Program. In addition, each member of our Audit Committee was entitled to receive a fee of $4,000 per meeting for any special meetings of the Audit Committee held independently of Board meetings. There were no special meetings of the Audit Committee held in 2012. The special meeting fees were paid in cash unless a director elected to defer all or part of the meeting fees pursuant to our Non-Employee Directors' Deferral Program. Each non-employee director also received as additional retainer fees an annual grant of options to purchase 6,000 shares of our common stock and an annual stock grant valued at $100,000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the grant date. The options were granted on the first business day in 2012, were fully vested upon grant and had a term of ten years from grant and an exercise price equal to the closing price of our common stock on the NYSE on the grant date. One third of the shares from each annual stock grant vest on each of the first three anniversaries of the grant date, subject to the non-employee director remaining a member of the Board on the vesting date. A non-employee director may elect to defer all or part of the annual stock grant pursuant to our Non-Employee Directors' Deferral Program. With the exception of Mr. Hatkoff, such grants were deferred for each non-employee director in 2012.</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Under our Non-Employee Directors' Deferral Program, our non-employee directors may elect to defer up to 100% of their annual fee, chairman fees, meeting fees and annual stock grant. At each director's election, fees deferred under the program may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82"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All stock and option grants made to our non-employee directors and settlements under our Non-Employee Directors' Deferral Program that are paid in shares of our common stock are made under our Second Amended and Restated 2005 Stock Option and Incentive Plan.</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For the fiscal year ending 2013, we have retained the same director compensation arrangements that were in place for 2012, except that we replaced the meeting fees paid for the annual Board retreat with a $5,000 fee for attending the retreat, we decided to postpone all fee payments to be made in phantom stock units and equity grants that otherwise would have been made pending the annual meeting and the results of the vote to approve our Third Amended and Restated 2005 Stock Option and Incentive Plan and we decided to pay the full amount of the annual fees for all non-employee directors, other than Mr. Alschuler, in cash, unless a director elected to defer all or part of such fees pursuant to our Non-Employee Directors' Deferral Program.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ADVISORY VOTE ON THE COMPENSATION OF OUR NAMED EXECUTIVE OFFICERS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accordance with the Dodd-Frank Wall Street Reform and Consumer Protection Act of 2010, our stockholders have the opportunity to vote to approve, on an advisory and non-binding basis, the compensation of our named executive officers. 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2017. Our executive compensation programs are described in detail in this proxy statement in the section titled "Compensation Discussion and Analysis" and the accompanying tables beginning on page 32. These programs are designed to attract and retain talented individuals who possess the skills and expertise necessary to lead, manage and grow the Company.</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Compensation Committee regularly reviews all elements of the compensation paid to our named executive officers. The Compensation Committee believes that the Company's present compensation programs, as presented in the Compensation Discussion and Analysis section and the accompanying tables and related narrative disclosure in this proxy statement, promote in the best manner possible our business objectives while aligning the interests of the named executive officers with our stockholders to ensure continued positive financial results, and that our industry-leading results support this conclusion. The Company has continued to deliver positive long-term results to our stockholders, despite the broad economic downturn of the last several years, and remains among the leaders in the REIT industry as well as the broader public stock market for total return to stockholders ("TRS") over the last decade, with the Company's TRS of approximately 223% for the ten-year period through December 31, 2012 significantly outperforming the MSCI REIT Index and S&amp;P 500 Index return of approximately 198% and 99%, respectively, over the same time period. The compensation programs for our named executives are a key ingredient in motivating our executives to continue to deliver such results.</w:t>
      </w:r>
    </w:p>
    <w:p>
      <w:pPr>
        <w:spacing w:after="0" w:line="174" w:lineRule="exact"/>
        <w:rPr>
          <w:sz w:val="20"/>
          <w:szCs w:val="20"/>
          <w:color w:val="auto"/>
        </w:rPr>
      </w:pPr>
    </w:p>
    <w:p>
      <w:pPr>
        <w:ind w:right="200" w:firstLine="341"/>
        <w:spacing w:after="0" w:line="284" w:lineRule="auto"/>
        <w:rPr>
          <w:sz w:val="20"/>
          <w:szCs w:val="20"/>
          <w:color w:val="auto"/>
        </w:rPr>
      </w:pPr>
      <w:r>
        <w:rPr>
          <w:rFonts w:ascii="Arial" w:cs="Arial" w:eastAsia="Arial" w:hAnsi="Arial"/>
          <w:sz w:val="16"/>
          <w:szCs w:val="16"/>
          <w:color w:val="auto"/>
        </w:rPr>
        <w:t>Additionally, in connection with finalizing our compensation decisions for 2012, we evaluated the degree of alignment between our Chief Executive Officer's 2012 Total Compensation and our corporate total shareholder return performance. This evaluation consisted of the following: (i) comparing our Chief Executive Officer's total compensation and our corporate total shareholder return performance over the past one- and three-year periods to the peer group,</w:t>
      </w:r>
    </w:p>
    <w:p>
      <w:pPr>
        <w:spacing w:after="0" w:line="1" w:lineRule="exact"/>
        <w:rPr>
          <w:sz w:val="20"/>
          <w:szCs w:val="20"/>
          <w:color w:val="auto"/>
        </w:rPr>
      </w:pPr>
    </w:p>
    <w:p>
      <w:pPr>
        <w:ind w:right="340" w:firstLine="8"/>
        <w:spacing w:after="0" w:line="302"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comparing our Chief Executive Officer's 2012 Total Compensation to the median total compensation of the peer group and (iii) comparing our Chief Executive Officer's Total Compensation over the past five years to our corporate total shareholder return performance. The results of this analysis, which is similar to the methodology used by Institutional Shareholder Services ("ISS"), indicate that our compensation program is well aligned with our performance.</w:t>
      </w:r>
    </w:p>
    <w:p>
      <w:pPr>
        <w:spacing w:after="0" w:line="163"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affirmative vote of a majority of all the votes cast at the Annual Meeting at which a quorum is present will be required to approve, on an advisory basis, the compensation of our named executive officers. The results of this advisory vote are not binding on the Compensation Committee, the Company or our Board of Directors. Nevertheless, the Board of Directors values input from our stockholders and will consider carefully the results of this vote when making future decisions concerning executive compensation.</w:t>
      </w:r>
    </w:p>
    <w:p>
      <w:pPr>
        <w:spacing w:after="0" w:line="191" w:lineRule="exact"/>
        <w:rPr>
          <w:sz w:val="20"/>
          <w:szCs w:val="20"/>
          <w:color w:val="auto"/>
        </w:rPr>
      </w:pPr>
    </w:p>
    <w:p>
      <w:pPr>
        <w:ind w:right="760" w:firstLine="351"/>
        <w:spacing w:after="0" w:line="339" w:lineRule="auto"/>
        <w:rPr>
          <w:sz w:val="20"/>
          <w:szCs w:val="20"/>
          <w:color w:val="auto"/>
        </w:rPr>
      </w:pPr>
      <w:r>
        <w:rPr>
          <w:rFonts w:ascii="Arial" w:cs="Arial" w:eastAsia="Arial" w:hAnsi="Arial"/>
          <w:sz w:val="16"/>
          <w:szCs w:val="16"/>
          <w:b w:val="1"/>
          <w:bCs w:val="1"/>
          <w:color w:val="auto"/>
        </w:rPr>
        <w:t>The Board unanimously recommends a vote "FOR" the approval of the compensation of our named executive officers, as disclosed in the Compensation Discussion and Analysis section and the accompanying compensation tables in this Proxy Statement.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3: APPROVAL OF OUR THIRD AMENDED AND RESTATED 2005 STOCK OPTION AND INCENTIVE PLAN</w:t>
      </w:r>
    </w:p>
    <w:p>
      <w:pPr>
        <w:spacing w:after="0" w:line="231"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At our annual meeting, the stockholders are being asked to vote on a proposal to approve the adoption of our Third Amended and Restated 2005 Stock Option and Incentive Plan (the "Third Amended 2005 Plan"), which was previously approved by our Compensation Committee on April 25, 2013 and by our Board of Directors on April 25, 2013.</w:t>
      </w:r>
    </w:p>
    <w:p>
      <w:pPr>
        <w:spacing w:after="0" w:line="19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the record date for the annual meeting, March 28, 2013, there were 91,552,922 shares of common stock outstanding and 2,535,674 operating partnership units outstanding. As of December 31, 2012, there were no fungible units (the "Fungible Units") available under our Second Amended and Restated 2005 Stock Option and Incentive Plan (the "Second Amended 2005 Plan"). The Fungible Units represent the baseline for the number of shares of common stock available for issuance under our Second Amended 2005 Plan from which, as described in more detail below, different types of awards are counted differently against the Fungible Unit limit.</w:t>
      </w:r>
    </w:p>
    <w:p>
      <w:pPr>
        <w:spacing w:after="0" w:line="197"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As of March 28, 2013, the number of securities to be issued upon the exercise of outstanding options, warrants and rights is equal to 3,529,418, which includes (i) 1,318,964 shares of common stock issuable upon the exercise of outstanding options (585,786 of which are vested and exercisable), (ii) 414,184 restricted stock units and 72,706 phantom stock units that may be settled in shares of common stock (372,454 of which are vested), (iii) 897,539 LTIP units that, upon the satisfaction of certain conditions, are convertible into common units, which may be presented to us for redemption and acquired by us for shares of our common stock (156,373 of which are vested) and (iv) shares of common stock reserved in connection with LTIP units issued pursuant to the 2011 Long-Term Outperformance Plan, all of which remain subject to performance-based vesting and a dollar value limitation on the number of LTIP units that may be earned based on our common stock price when the LTIP units are earned. The weighted average exercise price and term of these outstanding options is $76.81 and 4.45 years, respectively. In addition, an aggregate of 76,025 unvested shares of restricted common stock were outstanding as of March 28, 2013.</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following table sets forth information regarding historical awards granted and earned for the 2010 through 2012 period, and the corresponding burn rate, which is defined as the number of shares subject to stock awards granted (or, for awards subject to performance based vesting, earned) in a fiscal year divided by the weighted average common shares outstanding for that fiscal year, for each of the last three fiscal years: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Fiscal 2012</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Fiscal 2011</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Fiscal 2010</w:t>
            </w: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361,331</w:t>
            </w: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212,400</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180,250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Time-based full-value shares and units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382,434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135,333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377,425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full-value shares and units earned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391,583</w:t>
            </w:r>
          </w:p>
        </w:tc>
        <w:tc>
          <w:tcPr>
            <w:tcW w:w="1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94"/>
              </w:rPr>
              <w:t>Total time-based full-value awards granted and performance-based full-value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awards earned</w:t>
            </w:r>
          </w:p>
        </w:tc>
        <w:tc>
          <w:tcPr>
            <w:tcW w:w="920" w:type="dxa"/>
            <w:vAlign w:val="bottom"/>
          </w:tcPr>
          <w:p>
            <w:pPr>
              <w:jc w:val="right"/>
              <w:spacing w:after="0"/>
              <w:rPr>
                <w:sz w:val="20"/>
                <w:szCs w:val="20"/>
                <w:color w:val="auto"/>
              </w:rPr>
            </w:pPr>
            <w:r>
              <w:rPr>
                <w:rFonts w:ascii="Arial" w:cs="Arial" w:eastAsia="Arial" w:hAnsi="Arial"/>
                <w:sz w:val="18"/>
                <w:szCs w:val="18"/>
                <w:color w:val="auto"/>
              </w:rPr>
              <w:t>794,047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549,916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769,008</w:t>
            </w:r>
          </w:p>
        </w:tc>
        <w:tc>
          <w:tcPr>
            <w:tcW w:w="1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Full-Value Awards Granted/Earned(1)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1,985,118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1,374,790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1,922,520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Total Awards Granted/Earned(2)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2,346,449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1,587,190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2,102,770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during the fiscal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89,319,427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83,762,000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78,101,000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Annual Burn Rate</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Three-Year Average Burn Rate(3)</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line="233" w:lineRule="auto"/>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accordance with corporate governance policy updates published by ISS, Adjusted Full-Value Awards Granted/Earned represents the sum of time-based full-value awards granted during the year and performance-based full-value awards earned during the year, subject to a multiplier to be determined by ISS based on our recent historic stock price volatility. Based 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our recent historical stock price volatility we have utilized a full-value award multiplier of 2.5 for purposes of the calculating 2010-2012 average burn rate.</w:t>
      </w:r>
    </w:p>
    <w:p>
      <w:pPr>
        <w:spacing w:after="0" w:line="190"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Awards Granted/Earned represents the sum of Stock Options Granted and Adjusted Full-Value Awards Granted/Earned.</w:t>
      </w:r>
    </w:p>
    <w:p>
      <w:pPr>
        <w:spacing w:after="0" w:line="122" w:lineRule="exact"/>
        <w:rPr>
          <w:rFonts w:ascii="Arial" w:cs="Arial" w:eastAsia="Arial" w:hAnsi="Arial"/>
          <w:sz w:val="14"/>
          <w:szCs w:val="14"/>
          <w:color w:val="auto"/>
        </w:rPr>
      </w:pPr>
    </w:p>
    <w:p>
      <w:pPr>
        <w:ind w:left="1680" w:right="160" w:hanging="531"/>
        <w:spacing w:after="0" w:line="239" w:lineRule="auto"/>
        <w:tabs>
          <w:tab w:leader="none" w:pos="1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illustrated in the table above, the Company's three-year average burn rate for the 2010-2012 period was 2.4%, which is below the ISS industry category burn rate threshold of 3.25%.</w:t>
      </w:r>
    </w:p>
    <w:p>
      <w:pPr>
        <w:spacing w:after="0" w:line="19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Third Amended 2005 Plan increases the reserved Fungible Units under the plan by 6,400,000 Fungible Units and makes certain other changes, described below, to our Second Amended 2005 Plan. By increasing the reserved Fungible Units, we will be able to continue to use equity awards to attract, retain and motivate employees. We believe that having an equity plan in place with a sufficient number of shares is critical to our ability to attract, retain and motivate employees in a highly competitive marketplace and ensure that our executive compensation is structured in a manner that aligns the executives' interests with our success. Accordingly, we are seeking stockholder approval of the Third Amended 2005 Plan.</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Board unanimously recommends a vote "FOR" the approval of our Third Amended and Restated 2005 Stock Option and Incentive Plan.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Amendments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material amendments that are included in the Third Amended 2005 Plan:</w:t>
      </w:r>
    </w:p>
    <w:p>
      <w:pPr>
        <w:spacing w:after="0" w:line="239" w:lineRule="exact"/>
        <w:rPr>
          <w:sz w:val="20"/>
          <w:szCs w:val="20"/>
          <w:color w:val="auto"/>
        </w:rPr>
      </w:pPr>
    </w:p>
    <w:p>
      <w:pPr>
        <w:ind w:left="1080" w:right="16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maximum number of Fungible Units available under the Third Amended 2005 Plan will be increased by 6,400,000 Fungible Units from 10,730,000 Fungible Units to 17,130,000 Fungible Units. If the Third Amended 2005 Plan is approved by stockholders, the additional 6,400,000 Fungible Units will represent 2,318,840 shares of common stock that could be granted pursuant to full-value awards based on the 2.76 to 1 Fungible Unit-to-full value award conversion ratio in the Third Amended 2005 Plan. Based solely on the closing price of our common stock as reported on the NYSE on April 25, 2013, the maximum aggregate market value of those 2,318,840 shares of common stock is $205,565,166.</w:t>
      </w:r>
    </w:p>
    <w:p>
      <w:pPr>
        <w:spacing w:after="0" w:line="196" w:lineRule="exact"/>
        <w:rPr>
          <w:rFonts w:ascii="Arial" w:cs="Arial" w:eastAsia="Arial" w:hAnsi="Arial"/>
          <w:sz w:val="16"/>
          <w:szCs w:val="16"/>
          <w:color w:val="auto"/>
        </w:rPr>
      </w:pPr>
    </w:p>
    <w:p>
      <w:pPr>
        <w:ind w:left="1080" w:right="40" w:hanging="532"/>
        <w:spacing w:after="0" w:line="28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ratios governing the number of Fungible Units used by the different types of awards that may be granted under the Third Amended 2005 Plan will be changed for awards granted after the date the Third Amended 2005 Plan is approved. Under the Third Amended 2005 Plan, an award that delivers the full-value of the underlying shares ("Full-Value Award") granted after the effective date of the Third Amended 2005 Plan will be counted as 2.76 Fungible Units per share, as opposed to (i) 1.65 Fungible Units per share for such awards granted after the effective date of the Second Amended 2005 Plan and prior to the effective date of the Third Amended 2005 Plan, (ii) 2.0 Fungible Units per share for such awards that vested or were granted based on the achievement of certain performance goals prior to the effective date of the Second Amended 2005 Plan or (iii) 3.0 Fungible Units per share for all other such awards granted prior to the effective date of the Second Amended 2005 Plan. Additionally, stock options, stock appreciation rights and other awards granted after the effective date of the Third Amended 2005 Plan that do not deliver the full-value of the underlying shares and that expire five years from the date of grant will be counted as 0.77 Fungible Units per share, as opposed to 0.79 Fungible Units per share for such awards granted after the effective date of the Second Amended 2005 Plan and prior to the effective date of the Third Amended 2005 Plan and 0.70 Fungible Units per share for such awards granted prior to the effective date of the Second Amended 2005 Plan.</w:t>
      </w:r>
    </w:p>
    <w:p>
      <w:pPr>
        <w:spacing w:after="0" w:line="19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of the Third Amended 2005 Plan will be extended from its current expiration date until June 13, 2023, which is ten years from the date of the annual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Provisions of Our Third Amended and Restated 2005 Stock Option and Incentive Plan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summary of our Third Amended and Restated 2005 Stock Option and Incentive Plan, or the Third Amended 2005 Plan, is qualified in its entirety by the specific language of the plan, a copy of which is attached hereto as Appendix 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Compensation Committee has the authority to administer and interpret the Third Amended 2005 Plan, to authorize the granting of awards, to determine the eligibility of a person to receive an award, to determine the number of shares of common stock to be covered by each award, to determine the terms, provisions and conditions of each award, to prescribe the form of 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Nevertheless, grants to members of our Compensation Committee will be made and administered by our Board of Directors rather than our Compensation Committee. References below to our Compensation Committee include a reference to our Board of Directors for those awards with respect to which our Board of Directors is acting as administrator. Our Compensation Committee, in its discretion, may delegate to our Chief Executive Officer all or part of our Compensation Committee's authority and duties with respect to awards to be granted to our employees, subject to certain limitations and guidelines as provided by the Committee; however, our Compensation Committee may not delegate its authority and duties with respect to awards that have been, or will be, granted to certain of our officers.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w:t>
      </w:r>
    </w:p>
    <w:p>
      <w:pPr>
        <w:spacing w:after="0" w:line="231" w:lineRule="exact"/>
        <w:rPr>
          <w:sz w:val="20"/>
          <w:szCs w:val="20"/>
          <w:color w:val="auto"/>
        </w:rPr>
      </w:pPr>
    </w:p>
    <w:p>
      <w:pPr>
        <w:ind w:right="60" w:firstLine="351"/>
        <w:spacing w:after="0" w:line="307" w:lineRule="auto"/>
        <w:rPr>
          <w:sz w:val="20"/>
          <w:szCs w:val="20"/>
          <w:color w:val="auto"/>
        </w:rPr>
      </w:pPr>
      <w:r>
        <w:rPr>
          <w:rFonts w:ascii="Arial" w:cs="Arial" w:eastAsia="Arial" w:hAnsi="Arial"/>
          <w:sz w:val="15"/>
          <w:szCs w:val="15"/>
          <w:color w:val="auto"/>
        </w:rPr>
        <w:t>Subject to adjustments upon certain corporate transactions or events, awards with respect to up to a maximum of 17,130,000 Fungible Units (the "Fungible Pool Limit") may be granted under the Third Amended 2005 Plan, 6,400,000 of which will remain available for new awards. A Full-Value Award granted after the effective date of the Third Amended 2005 Plan will be counted as 2.76 Fungible Units per share subject to such award as opposed to 1.65 Fungible Units per share subject to such award for A Full-Value Award granted after the effective date of the Second Amended 2005 Plan and prior to the effective date of the Third Amended 2005 Plan. A Full-Value Award granted prior to the effective date of the Second Amended 2005 Plan that vested or was granted based on the achievement of certain performance goals will be counted as 2.0 Fungible Units per share subject to such award and all other Full-Value Awards granted prior to the effective date of the Second Amended 2005 Plan will be counted as 3.0 Fungible Units per share. Stock options, stock appreciation rights and other awards granted after the effective date of the Third Amended 2005 Plan that do not deliver the full-value of the underlying shares and expire five years from the date of grant will be counted as 0.77 Fungible Units per share. Such awards granted after the effective date of the Second Amended 2005 Plan and prior to the effective date of the Third Amended 2005 Plan will be counted as 0.79 Fungible Units per share and such awards granted prior to the effective date of the Second Amended 2005 Plan will be counted as 0.70 Fungible Units per share. All other awards will be counted as 1.0 Fungible Unit per share.</w:t>
      </w:r>
    </w:p>
    <w:p>
      <w:pPr>
        <w:spacing w:after="0" w:line="1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No award may be granted to any person who, assuming exercise of all options and payment of all awards held by such person, would own or be deemed to own more than 9.8% of the outstanding shares of our common stock. In addition, in any one year, no person may receive awards with respect to more than 700,000 shares of common stock, provided that this limit only applies to awards that are intended to qualify as "performance-based compensation" under Section 162(m) of the Code and the regulations promulgated thereunder.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an option or other award granted under the Third Amended 2005 Plan expires or terminates, the common stock subject to any portion of the award that expires or terminates without having been exercised or paid, as the case may be, will again become available for the issuance of additional awards by adding back Fungible Units to the Third Amended 2005 Plan using the same ratio that was in effect when the original awards were granted, except that the ratios for awards forfeited after the effective date of the Third Amended 2005 Plan shall not be less than the ratios in effect for such Awards as of the date of forfeiture. The following shares will not be added to the Fungible Units authorized for grant under the Third Amended 2005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Plan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 and other equity-based awards under the Third Amended 2005 Plan. Eligibility for awards under the Third Amended 2005 Plan generally is determined by our Compensation Committee. As of April 26, 2013, approximately 309 individuals are eligible to participate in the Third Amended 2005 Plan.</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terms of specific options, including whether options shall constitute "incentive stock options"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Section 422(b) of the Internal Revenue Code, will be determined by our Compensation Committee of our Board of Directors. The exercise price of an option will be determined by our Compensation Committee and reflected in the applicable award agreement. The exercise price may not be lower than 100% (110% in the case of an incentive stock option granted to a 10% stockholder, if permitted under the Third Amended 2005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 provided that, unless otherwise specified in an award agreement, options, whether or not otherwise exercisable, may be exercised if the grantee's service relationship is terminated on account of death or disability. Our Compensation Committee may also grant stock appreciation rights, which are options that permit the recipient to exercise the option without the payment of the exercise price and to receive shares of common stock with a fair market value equal to the excess of the fair market value of the shares with respect to which the option is being exercised over the exercise price of the option with respect to those shares. Any stock appreciation rights granted are subject to the same limitations as other options, including a maximum term of 10 years and an exercise price no lower than 100% of the fair market value of our common stock on the date of grant.</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restricted stock award is an award of shares of common stock that is subject to restrictions on transferability and such other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as our Board of Directors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 Section 10 of the Third Amended 2005 Plan (which is attached hereto as Appendix A),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will be forfeited. In addition, unless otherwise provided in an applicable award agreement, a participant granted restricted stock will have all the rights of a stockholder of our company, including the right to vote the shares and the right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receive any cash dividends currently. Dividends paid on all restricted stock will be at the same rate and on the same date as on shares of our common stock; provided that award recipients will be required to repay any cash dividends received on awards that are subject to performance-based vesting conditions unless and until such conditions have been met. Holders of restricted stock are prohibited from selling such shares until they vest.</w:t>
      </w:r>
    </w:p>
    <w:p>
      <w:pPr>
        <w:spacing w:after="0" w:line="16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i w:val="1"/>
          <w:iCs w:val="1"/>
          <w:color w:val="auto"/>
        </w:rPr>
        <w:t xml:space="preserve">Phantom Shares. </w:t>
      </w:r>
      <w:r>
        <w:rPr>
          <w:rFonts w:ascii="Arial" w:cs="Arial" w:eastAsia="Arial" w:hAnsi="Arial"/>
          <w:sz w:val="15"/>
          <w:szCs w:val="15"/>
          <w:color w:val="auto"/>
        </w:rPr>
        <w:t>Phantom shares will vest as provided in the applicable award agreement. A phantom share represents a right to receive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a share of our common stock, or, if provided by our Compensation Committee, the right to receive the fair market value of a share of our common stock in excess of a base value established by our Compensation Committee at the time of grant. Phantom shares generally may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under certain circumstances, may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16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A dividend equivalent is a right to receive (or have credited) the equivalent value (in cash or shares of common stock)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made on shares of common stock otherwise subject to an award (e.g., an award of phantom shares); provided, however, that a dividend equivalent right may not be granted in connection with an award of options or stock appreciation rights. Our Compensation Committee may provide that amounts payable in the ordinary course with respect to dividend equivalents will be converted into cash or additional shares of common stock. Our Compensation Committee will establish all other limitations and conditions of awards of dividend equivalents as it deems appropriate. A dividend equivalent granted with respect to an award subject to performance-based vesting conditions may not be payable unless and until such conditions have been met.</w:t>
      </w:r>
    </w:p>
    <w:p>
      <w:pPr>
        <w:spacing w:after="0" w:line="174"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i w:val="1"/>
          <w:iCs w:val="1"/>
          <w:color w:val="auto"/>
        </w:rPr>
        <w:t xml:space="preserve">Other Stock-Based Awards. </w:t>
      </w:r>
      <w:r>
        <w:rPr>
          <w:rFonts w:ascii="Arial" w:cs="Arial" w:eastAsia="Arial" w:hAnsi="Arial"/>
          <w:sz w:val="15"/>
          <w:szCs w:val="15"/>
          <w:color w:val="auto"/>
        </w:rPr>
        <w:t>The Third Amended 2005 Plan will authorize the granting of (i) other awards based upon the common stock, including shares</w:t>
      </w:r>
      <w:r>
        <w:rPr>
          <w:rFonts w:ascii="Arial" w:cs="Arial" w:eastAsia="Arial" w:hAnsi="Arial"/>
          <w:sz w:val="15"/>
          <w:szCs w:val="15"/>
          <w:i w:val="1"/>
          <w:iCs w:val="1"/>
          <w:color w:val="auto"/>
        </w:rPr>
        <w:t xml:space="preserve"> </w:t>
      </w:r>
      <w:r>
        <w:rPr>
          <w:rFonts w:ascii="Arial" w:cs="Arial" w:eastAsia="Arial" w:hAnsi="Arial"/>
          <w:sz w:val="15"/>
          <w:szCs w:val="15"/>
          <w:color w:val="auto"/>
        </w:rPr>
        <w:t>based upon certain conditions, convertible preferred shares, convertible debentures and other exchangeable or redeemable securities or equity interests, and stock appreciation rights, (ii)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such interest being subject to the Fungible Pool Limit and the other provisions of the Third Amended 2005 Plan, and (iii) awards valued by reference to book value, fair value or performance parameters relative to the company or any subsidiary or group of subsidiaries. Any awards subject to performance-based vesting conditions will not give the participant any right to receive cash dividends or dividend equivalent rights unless and until such conditions have been met.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in General; Certain Change in Control Provisions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the event of certain corporate reorganizations or other events, our Compensation Committee generally may make certain adjustments in its discretion to the manner in which the Third Amended 2005 Plan operates (including, for example, to the number of Fungible Units and shares of common stock available under the Third Amended 2005 Plan), and may otherwise take actions which, in its judgment, are necessary to preserve the rights of plan participants. Upon a change in control (as defined in the plan), our Compensation Committee generally may make such adjustments as it, in its discretion, determines are necessary or appropriate in light of the change in control, if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Compensation Committee determines that the adjustments do not have an adverse economic impact on the participants, and certain other special provisions may apply.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Withholding</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Participants under the Third Amended 2005 Plan are responsible for the payment of any federal, state or local taxes, including those that we are required by law to withhold upon any option exercise or vesting of other awards. Subject to approval by the Compensation Committee, participants may elect to have the minimum tax withholding obligations satisfied either by authorizing the Company to withhold shares of common stock to be issued pursuant to an option exercise or other award, or by transferring to the Company shares of common stock having a value up to the amount of such taxes. Alternatively, the Compensation Committee may provide in an award agreement that a participant is required to satisfy the minimum tax withholding obligation by having shares of common stock withheld by the Company from the shares of common stock otherwise to be received, or require a participant to do so, subject to the participant's ability to elect to satisfy such liability in cash.</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may grant awards under the Third Amended 2005 Plan until June 13, 2023, the 10th anniversary of the approval of the Third Amended 2005 Plan at the annual meeting. Our Board of Directors generally may amend our plan as it deems advisable, except that the Third Amended 2005 Plan may not be amended without stockholder approval if the absence of such approval would cause the Third Amended 2005 Plan to fail to comply with any applicable legal requirement or applicable stock exchange or similar rule and no amendment may adversely affect a participant with respect to an award previously granted unless such amendment is required in order to comply with applicable laws.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Except in certain circumstances regarding corporate transactions, without prior stockholder approval, neither the Board of Directors nor the Compensation Committee may reduce the option price of outstanding options or stock appreciation rights or cancel, exchange, substitute, buyout or surrender outstanding options or stock appreciation rights in exchange for cash, other awards or options or stock appreciation rights with an exercise price that is less than the exercise price of the original options or stock appreciation rights.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general, neither the grant nor the exercise of an incentive stock option will result in taxable income to an option holder or a deduction for us. To receive special tax treatment as an incentive stock option under the Internal Revenue Code as to shares acquired upon exercise of an incentive stock option, an option holder must not dispose of the shares either within two years after the incentive stock option is granted or within one year after the transfer of the shares to the option holder pursuant to exercise of the option. In addition, the option holder must be an employee of ours or of a qualified 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any gain resulting from the sale of common stock received upon the exercise of an incentive stock option to be treated as a capital gain to the option holder, but we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If the holding period rules noted above are not satisfied, certain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We generally will be entitled to a deduction for federal income tax purposes equal to the amount of such gain included by an option holder as ordinary income. Any excess of the amount realized upon such disposition over the fair market value at exercise generally will be long-term or short-term capital gain depending on the holding period involved. Notwithstanding the foregoing, if exercise of the option is permitted other than by cash payment of the exercise price, various special tax rules may apply.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No income will be recognized by an option holder at the time a non-qualified stock option is granted. Ordinary income generally will be recognized by an option holder, however, at the time a non-qualified stock option is exercised in an amount equal to the excess of the fair market value of the underlying common stock on the exercise date over the exercise price. We generally will be entitled to a deduction for federal income tax purposes in the same amount as the amount included in ordinary income by the option holder with respect to his or her non-qualified stock option. Gain or loss on a subsequent sale or other disposition of the shares acquired upon the exercise of a non-qualified stock option will be measured by the difference between the amount realized on the disposition and the tax basis of such shares, and generally will be long-term or short-term capital gain depending on the holding period involved. The tax basis of the shares acquired upon the exercise of any non-qualified stock option will be equal to the sum of the exercise price of the non-qualified stock option and the amount included in income with respect to the option. Notwithstanding the foregoing, in the event that exercise of the option is permitted other than by cash payment of the exercise price, various special tax rules may apply.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Unless a holder of restricted stock makes an "83(b) election" (as discussed below), there generally will be no tax consequences as a result of the grant of restricted stock until the restricted stock is no longer subject to a substantial risk of forfeiture or is transferable (free of the risk). Generally, when the restrictions are lifted, the holder will recognize ordinary income, and we will be entitled to a deduction for federal income tax purposes, equal to the difference between the fair market value of the stock at that time and the amount, if any, paid by the holder for the restricted stock. Subsequently realized changes in the value of the stock generally will be treated as long-term or short-term capital gain or loss, depending on the length of time the shares are held prior to their disposition. Unless an "83(b) election" is made (as discussed below), dividends on shares subject to restrictions generally will be considered compensation income. In general terms, if a holder makes an 83(b) election (under Section 83(b) of the Internal Revenue Code) upon the award of restricted stock, the holder will recognize ordinary income on the date of the award of restricted stock, and we will be entitled to a deduction, equal to (i) the fair market value of the restricted stock as though the stock were (A) not subject to a substantial risk of forfeiture or (B) transferable, minus (ii) the amount, if any, paid for the restricted stock. If an 83(b) election is made, generally there will be no tax consequences to the holder upon the lifting of restrictions, and all subsequent appreciation or depreciation in the restricted stock generally will be eligible for capital gains treatment.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Shares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phantom shares have been designed with the intention that there will be no tax consequences as a result of the granting of a phantom share until payment is made to the participant with respect to the phantom share. When payment is made, the participant generally will recognize ordinary income,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we generally will be entitled to a deduction, equal to the fair market value of the common stock and/or cash, as applicable, received upon payment.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225"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There generally will be no tax consequences as a result of the award of a dividend equivalent. When payment is made, the holder of the dividend equivalent generally will recognize ordinary income, and we generally will be entitled to a deduction, equal to the amount received in respect of the dividend equivalent.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Act of 1934, as amended</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Additional special tax rules may apply to those award holders who are subject to the rules set forth in Section 16 of the Securities Exchange Act of 1934, as amended.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The grants set forth in the table below have been allocated to each of the following individuals with respect to the additional shares to be reserved for issuance under the Third Amended 2005 Plan. Except as set forth below, the number of shares that may be granted to our executive officers, non-employee directors and other employees is indeterminable at this time, as such grants are subject to the discretion of our Compensation Committee.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tcPr>
          <w:p>
            <w:pPr>
              <w:jc w:val="center"/>
              <w:ind w:left="558"/>
              <w:spacing w:after="0"/>
              <w:rPr>
                <w:sz w:val="20"/>
                <w:szCs w:val="20"/>
                <w:color w:val="auto"/>
              </w:rPr>
            </w:pPr>
            <w:r>
              <w:rPr>
                <w:rFonts w:ascii="Arial" w:cs="Arial" w:eastAsia="Arial" w:hAnsi="Arial"/>
                <w:sz w:val="14"/>
                <w:szCs w:val="14"/>
                <w:b w:val="1"/>
                <w:bCs w:val="1"/>
                <w:color w:val="auto"/>
                <w:w w:val="89"/>
              </w:rPr>
              <w:t>Other Awards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left="498"/>
              <w:spacing w:after="0"/>
              <w:rPr>
                <w:sz w:val="20"/>
                <w:szCs w:val="20"/>
                <w:color w:val="auto"/>
              </w:rPr>
            </w:pPr>
            <w:r>
              <w:rPr>
                <w:rFonts w:ascii="Arial" w:cs="Arial" w:eastAsia="Arial" w:hAnsi="Arial"/>
                <w:sz w:val="14"/>
                <w:szCs w:val="14"/>
                <w:b w:val="1"/>
                <w:bCs w:val="1"/>
                <w:color w:val="auto"/>
                <w:w w:val="84"/>
              </w:rPr>
              <w:t>Stock Options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Under the Plan in Shares</w:t>
            </w:r>
          </w:p>
        </w:tc>
        <w:tc>
          <w:tcPr>
            <w:tcW w:w="2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Under the Plan in Shares</w:t>
            </w:r>
          </w:p>
        </w:tc>
      </w:tr>
      <w:tr>
        <w:trPr>
          <w:trHeight w:val="161"/>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Name of Executive or Group</w:t>
            </w:r>
          </w:p>
        </w:tc>
        <w:tc>
          <w:tcPr>
            <w:tcW w:w="1620" w:type="dxa"/>
            <w:vAlign w:val="bottom"/>
          </w:tcPr>
          <w:p>
            <w:pPr>
              <w:jc w:val="center"/>
              <w:ind w:left="558"/>
              <w:spacing w:after="0"/>
              <w:rPr>
                <w:sz w:val="20"/>
                <w:szCs w:val="20"/>
                <w:color w:val="auto"/>
              </w:rPr>
            </w:pPr>
            <w:r>
              <w:rPr>
                <w:rFonts w:ascii="Arial" w:cs="Arial" w:eastAsia="Arial" w:hAnsi="Arial"/>
                <w:sz w:val="14"/>
                <w:szCs w:val="14"/>
                <w:b w:val="1"/>
                <w:bCs w:val="1"/>
                <w:color w:val="auto"/>
                <w:w w:val="88"/>
              </w:rPr>
              <w:t>(Fungible Units)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(Fungible Units)</w:t>
            </w:r>
          </w:p>
        </w:tc>
      </w:tr>
      <w:tr>
        <w:trPr>
          <w:trHeight w:val="201"/>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Marc Holliday,</w:t>
            </w:r>
          </w:p>
        </w:tc>
        <w:tc>
          <w:tcPr>
            <w:tcW w:w="2740" w:type="dxa"/>
            <w:vAlign w:val="bottom"/>
            <w:gridSpan w:val="2"/>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59,312(1)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(163,701)</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620" w:type="dxa"/>
            <w:vAlign w:val="bottom"/>
          </w:tcPr>
          <w:p>
            <w:pPr>
              <w:jc w:val="right"/>
              <w:ind w:right="418"/>
              <w:spacing w:after="0"/>
              <w:rPr>
                <w:sz w:val="20"/>
                <w:szCs w:val="20"/>
                <w:color w:val="auto"/>
              </w:rPr>
            </w:pPr>
            <w:r>
              <w:rPr>
                <w:rFonts w:ascii="Arial" w:cs="Arial" w:eastAsia="Arial" w:hAnsi="Arial"/>
                <w:sz w:val="18"/>
                <w:szCs w:val="18"/>
                <w:color w:val="auto"/>
              </w:rPr>
              <w:t>35,587(1)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(98,220)</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w:t>
            </w: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28,997(1)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(80,032)</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James E. Mead,</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right"/>
              <w:ind w:right="418"/>
              <w:spacing w:after="0"/>
              <w:rPr>
                <w:sz w:val="20"/>
                <w:szCs w:val="20"/>
                <w:color w:val="auto"/>
              </w:rPr>
            </w:pPr>
            <w:r>
              <w:rPr>
                <w:rFonts w:ascii="Arial" w:cs="Arial" w:eastAsia="Arial" w:hAnsi="Arial"/>
                <w:sz w:val="18"/>
                <w:szCs w:val="18"/>
                <w:color w:val="auto"/>
              </w:rPr>
              <w:t>1,977(2)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Legal Officer and General Counsel</w:t>
            </w: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6,096(1)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1620" w:type="dxa"/>
            <w:vAlign w:val="bottom"/>
          </w:tcPr>
          <w:p>
            <w:pPr>
              <w:jc w:val="right"/>
              <w:ind w:right="218"/>
              <w:spacing w:after="0"/>
              <w:rPr>
                <w:sz w:val="20"/>
                <w:szCs w:val="20"/>
                <w:color w:val="auto"/>
              </w:rPr>
            </w:pPr>
            <w:r>
              <w:rPr>
                <w:rFonts w:ascii="Arial" w:cs="Arial" w:eastAsia="Arial" w:hAnsi="Arial"/>
                <w:sz w:val="18"/>
                <w:szCs w:val="18"/>
                <w:color w:val="auto"/>
              </w:rPr>
              <w:t>131,969(1)(2)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(364,235)</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group</w:t>
            </w: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7,024(3)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(19,386)</w:t>
            </w:r>
          </w:p>
        </w:tc>
        <w:tc>
          <w:tcPr>
            <w:tcW w:w="14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24,000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(24,000)</w:t>
            </w:r>
          </w:p>
        </w:tc>
      </w:tr>
      <w:tr>
        <w:trPr>
          <w:trHeight w:val="208"/>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w w:val="98"/>
              </w:rPr>
              <w:t>All current employees who are not executive officers, as a</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color w:val="auto"/>
              </w:rPr>
              <w:t>group</w:t>
            </w:r>
          </w:p>
        </w:tc>
        <w:tc>
          <w:tcPr>
            <w:tcW w:w="1620" w:type="dxa"/>
            <w:vAlign w:val="bottom"/>
          </w:tcPr>
          <w:p>
            <w:pPr>
              <w:jc w:val="right"/>
              <w:ind w:right="418"/>
              <w:spacing w:after="0"/>
              <w:rPr>
                <w:sz w:val="20"/>
                <w:szCs w:val="20"/>
                <w:color w:val="auto"/>
              </w:rPr>
            </w:pPr>
            <w:r>
              <w:rPr>
                <w:rFonts w:ascii="Arial" w:cs="Arial" w:eastAsia="Arial" w:hAnsi="Arial"/>
                <w:sz w:val="18"/>
                <w:szCs w:val="18"/>
                <w:color w:val="auto"/>
              </w:rPr>
              <w:t>42,445(2)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(117,148)</w:t>
            </w:r>
          </w:p>
        </w:tc>
        <w:tc>
          <w:tcPr>
            <w:tcW w:w="14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LTIP Units that we intend to issue as equity bonuses for 2012 if the Third Amended 2005 Plan is approved.</w:t>
      </w:r>
    </w:p>
    <w:p>
      <w:pPr>
        <w:spacing w:after="0" w:line="122" w:lineRule="exact"/>
        <w:rPr>
          <w:rFonts w:ascii="Arial" w:cs="Arial" w:eastAsia="Arial" w:hAnsi="Arial"/>
          <w:sz w:val="14"/>
          <w:szCs w:val="14"/>
          <w:color w:val="auto"/>
        </w:rPr>
      </w:pPr>
    </w:p>
    <w:p>
      <w:pPr>
        <w:ind w:left="1680" w:right="60" w:hanging="531"/>
        <w:spacing w:after="0" w:line="230"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previously granted restricted stock units that may be settled, at our option, in either shares of our common stock or an amount in cash equal to the fair market value of such shares. After reserving for other outstanding awards that may be settled in shares of our common stock, sufficient shares are not available currently under the Second Amended 2005 Plan for issuance upon settlement of these restricted stock units and, accordingly, we currently intend to settle them in cash. If the Third Amended 2005 Plan is approved, we intend to settle these restricted stock units in shares of our common stock.</w:t>
      </w:r>
    </w:p>
    <w:p>
      <w:pPr>
        <w:spacing w:after="0" w:line="112" w:lineRule="exact"/>
        <w:rPr>
          <w:rFonts w:ascii="Arial" w:cs="Arial" w:eastAsia="Arial" w:hAnsi="Arial"/>
          <w:sz w:val="14"/>
          <w:szCs w:val="14"/>
          <w:color w:val="auto"/>
        </w:rPr>
      </w:pPr>
    </w:p>
    <w:p>
      <w:pPr>
        <w:ind w:left="1680" w:hanging="531"/>
        <w:spacing w:after="0" w:line="233" w:lineRule="auto"/>
        <w:tabs>
          <w:tab w:leader="none" w:pos="1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number of shares of phantom stock and restricted stock that we intend to grant our non-employee directors, if the Third Amended 2005 Plan is approved, under our Non-Employee Directors' Deferral Program with respect to (i) retainer fees scheduled to be paid on or before the annual meeting, (ii) meeting fees earned prior to April 15, 2013 and (iii) the annual stock retainer of $100,000.</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RATIFICATION OF APPOINTMENT OF INDEPENDENT REGISTERED PUBLIC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ACCOUNTING FIRM</w:t>
      </w:r>
    </w:p>
    <w:p>
      <w:pPr>
        <w:spacing w:after="0" w:line="21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2013, subject to ratification by our stockholders.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2013 annual meeting. If the stockholders fail to ratify the appointment of Ernst &amp; Young LLP, the Audit Committee will reconsider the matter, taking into consideration the stockholder vote on the ratification and the advisability of appointing a new independent registered public accounting firm prior to the completion of the 2013 audit and may decide to retain Ernst &amp; Young LLP notwithstanding the vote.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all of the votes cast at the annual meeting at which a quorum is present is required for the ratification of the appointment of Ernst &amp;</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Young LLP as our independent registered public accounting firm for the fiscal year ending December 31, 2013. We will treat abstentions as shares that are present and entitled to vote for purposes of determining the presence or absence of a quorum. Abstentions do not constitute a vote "for" or "against" and will not be counted as "votes cast". Therefore, abstentions will have no effect on this proposal.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$3,231,689 in fiscal year 2012 and $2,944,980 in fiscal year 2011.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Fees for audit-related services totaled approximately $57,500 in both 2012 and 2011. The audit-related services principally include fees for operating expense audits and agreed-upon procedures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2012 or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other services not included above in 2012 or in 2011.</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2012 were pre-approved by our Audit Committee. Our Audit Committee may delegate to one or more of its members who is an Independent Director the authority to grant pre-approvals.</w:t>
      </w:r>
    </w:p>
    <w:p>
      <w:pPr>
        <w:spacing w:after="0" w:line="166"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our independent registered public accounting firm.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report of the Audit Committee of the Board regarding the responsibilities and functions of our Audit Committee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2012 with management, including a discussion of the quality, not just the acceptability, of the accounting principles, the reasonableness of significant judgments and the clarity of disclosures in the financial statements.</w:t>
      </w:r>
    </w:p>
    <w:p>
      <w:pPr>
        <w:spacing w:after="0" w:line="198"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U.S., their judgments as to the quality, not just the acceptability, of our accounting principles and such other matters as are required to be discussed with the Audit Committee under Statement on Auditing Standards No. 61, as adopted by the Public Company Accounting Oversight Board in Rule 3200T.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2012 for filing with the SEC.</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also has determined that our Audit Committee has at least one "audit committee financial expert," as defined in Item 401(h) of Securities and Exchange Commission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Our Audit Committee held eight meetings during fiscal year 2012 (including sessions with only Independent Directors attending after certain of these meetings). The members of our Audit Committee are not engaged professionally in the practice of auditing or accounting.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(U.S.), that the financial statements are presented in accordance with accounting principles generally accepted in the U.S. or that our registered public accounting firm is in fact "independent."</w:t>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Principles</w:t>
      </w:r>
    </w:p>
    <w:p>
      <w:pPr>
        <w:spacing w:after="0" w:line="231"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Board has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has adopted director independence standards that assist the Board in making its determinations with respect to the independence of directors.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John S. Levy and Craig M. Hatkoff. The Board has determined that Messrs. Green and Holliday, our two other directors, are not independent because they are also executive officers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Board has adopted a Code of Ethics that applies to our directors, executive officers and employees. The Code of Ethics is designed to assist our directors, executive officers and employees in complying with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Board has determined that Edwin T. Burton, III is our "audit committee financial expert," as defined in Item 401(h) of SEC Regulation S-K, and that he is "independent," as that term is used in Item 7(d)(3)(iv) of Schedule 14A under the Securities Exchange Act of 1934, as amended. Mr. Burton has agreed to serve as our audit committee financial expert.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Two of our directors attended the annual meeting of stockholders held on June 19, 2012.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has adopted a written policy on the criteria and process of identifying and reviewing director candidates.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the experience of other Board members, the candidate's industry knowledge and experience, the ability of a nominee to devote sufficient time to the affairs of the Company, any actual or potential 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20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"Stockholder Proposals" in this proxy statement and should provide the reasons supporting a candidate's recommendation, the candidate's qualifications and the candidate's written consent to being considered as a director nominee. No director candidates were recommended by our stockholders for election at the 2013 annual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the chair of the Board committee (other than the Executive Committee) having jurisdiction over the particular subject matter to be discussed at the particular session or portion of a session.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members are aware that should be considered for disclosure in our public SEC filings. Our Disclosure Committee reports to our Chief Executive Officer and Chief Financial Officer.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Board has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above, our Board currently is comprised of four independent and two employee directors. Mr. Green has served as Chairman of the Board since 1997 and serves as an executive officer, working in conjunction with Mr. Holliday, our Chief Executive Officer. The Board has appointed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suppliers, customers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16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To facilitate the role of the Independent Directors, the Board has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conducts an annual evaluation in order to determine whether it and its committees are functioning effectively. The annual evaluation includes the Independent Directors meeting separately with outside counsel to review the effectiveness of and to discuss possible improvements to the Company's corporate governance practices. As part of this annual self-evaluation, the Board evaluates whether the current leadership structure continues to be optimal for the Company and its stockholders. Our Governance Principles provide the flexibility for our Board to modify or continue our leadership structure in the future, as it deems appropriate.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the Compensation Committee considers the risks to the Company's stockholders and to achievement of our goals that may be inherent in the Company's compensation program.</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31"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Board has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Throughout this proxy statement, the individuals who served as our Chief Executive Officer and Chief Financial Officer during our 2012 fiscal year, as well as the other individuals included in the "Summary Compensation Table" beginning on page 51, are referred to as the "named executive officers," or our "executives."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quality, abilities and dedication of our named executive officers are critical factors that drive the long-term value of the Company. Therefore, one of the primary objectives of our Compensation Committee is to ensure that the Company provides a competitive and comprehensive compensation program that allows us to attract, retain and appropriately motivate a top-performing executive management team to achieve success in a highly-competitive New York City commercial real estate industry. The effectiveness of our compensation program is evidenced by the shoulder-to-shoulder alignment of management and stockholder interests that has been fostered over many years and which has contributed to our continued market-beating results as demonstrated by our total return to shareholders ("TRS") performance of approximately 223% for the ten-year period ended December 31, 2012 that significantly outperformed the MSCI REIT Index and S&amp;P 500 Index return of approximately 199% and 99%, respectively, over the same time period.</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to our industry-beating long-term market performance, in 2012 we continued to successfully execute our strategy of generating capital gains on a recurring and substantial basis, through operating and leasing activity, real estate investment activity, debt and preferred equity investment activity and financing and capital activity, and investing those gains into the continued growth of our business. This resulted in an increase in our annual revenues from $1.3 billion for 2011 to $1.4 billion in 2012 and in our annual operating income for the same periods from $702.4 million to $834.0 million. The Company generated approximately $121.3 million in gains resulting from the disposition of approximately $1.8 billion of investments.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had other significant achievements in 2012 as well, including (i) an increase in the quarterly dividend on our common stock by 32%, from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$0.25 per share to $0.33 per share, (ii) the renewal and expansion of Viacom's lease at 1515 Broadway, which the Company believes is the largest-ever New York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City office lease other than a few sale-leaseback arrangements, (iii) the execution of approximately 3.7 million square feet of office leases in Manhattan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(including the Viacom lease), representing the highest square footage of leases executed by us in a single year, at a mark-to-market of approximately 7.5% higher,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average, than the previously fully escalated rents on the same office spaces, (iv) the origination or acquisition of approximately $672.9 million in debt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equity investments (net of new discounts), inclusive of accretion of previous discounts and pay-in-kind interest, recording approximately $298.7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sales, repayments, participations and foreclosures, (v) achieving a combined same-store office occupancy rate in Manhattan of 93.8% as of year-end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93.0% as of year-end 2011, (vi) successfully executing a multi-faceted capital raising strategy which included closing on a new $1.6 billion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which refinanced, extended and expanded our previous 2011 revolving credit facility at a lower cost and issuing</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approximately $637.1 million in new debt, (vii) continuing execution of a prudent risk- and debt- management strategy, and (viii) demonstrating strong operating performance as evidenced by attaining full-year funds from operations ("FFO") of $5.28 per diluted share and combined same-store cash net operating income growth of approximately $27.6 million, or 4.8%, as compared to the prior year. Refer to pages 63-64 of the Company's Annual Report on Form 10-K for the year ended December 31, 2012 for a reconciliation of FFO to net income attributable to our common stockholders and information regarding our use of FFO. Refer to Appendix B to this proxy statement for a reconciliation of operating income and combined same-store cash net operating income for the years ended December 31, 2012 and 2011 and information regarding our use of these financial measures.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keeping with our strong pay-for-performance policy, the following actions were taken during or shortly after fiscal year 2012:</w:t>
      </w:r>
    </w:p>
    <w:p>
      <w:pPr>
        <w:spacing w:after="0" w:line="239" w:lineRule="exact"/>
        <w:rPr>
          <w:sz w:val="20"/>
          <w:szCs w:val="20"/>
          <w:color w:val="auto"/>
        </w:rPr>
      </w:pPr>
    </w:p>
    <w:p>
      <w:pPr>
        <w:ind w:left="1080" w:right="380" w:hanging="532"/>
        <w:spacing w:after="0" w:line="298"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direct annual compensation for 2012 was paid to our named executive officers in amounts that were slightly higher than 2011 levels, including increases of approximately 5% with respect to our Chief Executive Officer and our Chairman. Our Compensation Committee determined that keeping total direct annual compensation levels for 2012 only slightly higher than 2011 levels was appropriate despite our significant operating achievements for 2012, as highlighted above, in light of the continued challenging economic and business environment.</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2012 bonus awards for our named executive officers were slightly higher than 2011 levels.</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2012, in order to further align the interests of our named executive officers and our stockholders, we intend to provide the majority of our named executive officers' aggregate bonus for 2012 in the form of equity awards that include a two-year restriction on transfer.</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maintained our policy of ensuring that all executive employment agreements provide for severance consideration in connection with a change of control that excludes excise tax gross-up provisions, and further that any severance payments and benefits that may be received in connection with a change of control be subject to a double trigger payout provision.</w:t>
      </w:r>
    </w:p>
    <w:p>
      <w:pPr>
        <w:spacing w:after="0" w:line="221"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part of our continued efforts to ensure a significant portion of total compensation for our senior executive management team is in the form of performance-based incentive awards, in August 2011 our Compensation Committee approved the terms of the 2011 Outperformance Plan and the remaining available grants under this plan were made in January 2012. Under the terms of the 2011 Outperformance Plan, participants have the opportunity to earn equity awards if and only if designated TRS targets are achieved over a three-year performance period and so long as the participants remain employees of the Company for a three to four year period, thus creating further alignment of management and stockholder interests. The 2011 Outperformance Plan is complementary to our 2010 Notional Unit Plan, as the baseline stock price for measuring performance under our 2011 Outperformance Plan exceeds the stock price at which maximum stock price appreciation would be achieved under the 2010 Notional Unit Plan.</w:t>
      </w:r>
    </w:p>
    <w:p>
      <w:pPr>
        <w:spacing w:after="0" w:line="185"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finalizing our compensation decisions for 2012, we evaluated the expected degree of alignment between our Chief Executive Officer's 2012 total compensation and our corporate total shareholder return performance. This evaluation consisted of the following:</w:t>
      </w:r>
    </w:p>
    <w:p>
      <w:pPr>
        <w:ind w:left="1080" w:right="140"/>
        <w:spacing w:after="0" w:line="292" w:lineRule="auto"/>
        <w:rPr>
          <w:rFonts w:ascii="Arial" w:cs="Arial" w:eastAsia="Arial" w:hAnsi="Arial"/>
          <w:sz w:val="16"/>
          <w:szCs w:val="16"/>
          <w:color w:val="auto"/>
        </w:rPr>
      </w:pPr>
      <w:r>
        <w:rPr>
          <w:rFonts w:ascii="Arial" w:cs="Arial" w:eastAsia="Arial" w:hAnsi="Arial"/>
          <w:sz w:val="16"/>
          <w:szCs w:val="16"/>
          <w:color w:val="auto"/>
        </w:rPr>
        <w:t>(i) comparing our Chief Executive Officer's total compensation and our corporate total shareholder return performance over the past one- and three-year periods to a peer group, (ii) comparing our Chief Executive Officer's 2012 total compensation to the median total compensation of a peer group and (iii) comparing our Chief Executive Officer's total compensation over the past five years to our corporate total shareholder return performance. The results of this analysis, which is similar to the methodology used by ISS, indicated that our Chief Executive Officer's total compensation for 2012 was well aligned with our performance.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has adopted an executive compensation philosophy designed to achieve the following objectives:</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attract and retain leadership talent in a market that is highly competitive for New York City commercial real estate management talent; and</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achieve an appropriate balance between risk and reward in our compensation programs that does not create incentives for unnecessary or excessive risk taking.</w:t>
      </w:r>
    </w:p>
    <w:p>
      <w:pPr>
        <w:spacing w:after="0" w:line="186" w:lineRule="exact"/>
        <w:rPr>
          <w:sz w:val="20"/>
          <w:szCs w:val="20"/>
          <w:color w:val="auto"/>
        </w:rPr>
      </w:pPr>
    </w:p>
    <w:p>
      <w:pPr>
        <w:ind w:right="500" w:firstLine="351"/>
        <w:spacing w:after="0" w:line="255" w:lineRule="auto"/>
        <w:rPr>
          <w:sz w:val="20"/>
          <w:szCs w:val="20"/>
          <w:color w:val="auto"/>
        </w:rPr>
      </w:pPr>
      <w:r>
        <w:rPr>
          <w:rFonts w:ascii="Arial" w:cs="Arial" w:eastAsia="Arial" w:hAnsi="Arial"/>
          <w:sz w:val="18"/>
          <w:szCs w:val="18"/>
          <w:color w:val="auto"/>
        </w:rPr>
        <w:t>In order to reach these goals, our Compensation Committee, in consultation with our Chief Executive Officer and the Compensation Committee's independent compensation consultant, has adopted executive compensation practices that follow a pay-for-performance philosophy. Our primary business objective of maximizing TRS through growth in FFO while seeking appreciation in the value of our investment properties demands a long-term focus. Our executive compensation programs, therefore, both currently and historically, have been based heavily on the achievement of both annual and multi-year performance measures.</w:t>
      </w:r>
    </w:p>
    <w:p>
      <w:pPr>
        <w:spacing w:after="0" w:line="197"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substantial portion of the named executive officers' compensation has been provided in the form of equity subject to significant back-ended vesting requirements. These equity incentives were designed in order to (i) ensure that management maintains a long-term focus that serves the best interests of stockholders and (ii) attract, retain and motivate an experienced and talented executive management team in the highly competitive New York City commercial real estate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Compensation Committee determines compensation for our named executive officers and is comprised of three of our Independent Directors, John H. Alschuler, Jr. (Chairman), Edwin Thomas Burton, III and John S. Levy. Our Compensation Committee exercises independent discretion in respect of executive compensation matters and administers our equity incentive programs, including reviewing and approving equity grants to our executives pursuant to our Second Amended 2005 Plan. Our Compensation Committee operates under a written charter adopted by the Board, a copy of which is available on our website at http://www.slgreen.com.</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recommendations concerning executive compensation. Gressle &amp; McGinley LLC regularly participates in Compensation Committee meetings. Our Compensation Committee has the authority to replace Gressle &amp; McGinley LLC as its independent outside compensation consultant or hire additional consultants at any time. Gressle &amp; McGinley LLC does not provide any additional services to our Compensation Committee and does not provide any services to the Company other than to the Compensation Committee.</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or equity. Our Chairman also advises our Compensation Committee on these matters as they pertain to the compensation of our Chief Executive Officer. FTI Consulting, Inc. ("FTI Consulting") is retained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 of the Company as a general business advisor 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our Compensation Committee by them. The Compensation Committee is also provided with the market data compiled by FTI Consulting.The other named executive officers do not play a role in determining their own compensation, other than discussing their performance with our Chief Executive Officer.</w:t>
      </w:r>
    </w:p>
    <w:p>
      <w:pPr>
        <w:spacing w:after="0" w:line="19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Compensation Committee, in analyzing the recommendations from the Chief Executive Officer and Chairman also receives and reviews market and industry materials and data provided by the Committee's independent compensation consulting firm, Gressle &amp; McGinley LLC, as well as the compensation analysis and recommendations provided by that firm. The Compensation Committee has independently retained Gressle &amp; McGinley LLC, which does not provide any services to the Company other than those to the Compensation Committee. Their sole role is as an independent consulting firm to advise the Compensation Committee with respect to the compensation of our named executive officers. The ultimate determination of total compensation and the elements that comprise that total compensation is made solely by our Compensation Committee.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Compensation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2012, the Compensation Committee reviewed then-existing policies of ISS, Glass Lewis and other governance groups, as well as feedback provided by such groups in prior year proxy research reports. The Compensation Committee periodically reviews our executive compensation policies and practices to ensure that such policies are in line with current market practices. Our Compensation Committee makes regular reports to the Board.</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Based in part on the results of our "say-on-pay" vote at our 2012 annual meeting as described below, the Compensation Committee generally has maintained the structure of our executive compensation programs that had been described in our proxy statement for the 2012 annual meeting. At our 2012 annual meeting, a non-binding, advisory resolution, or "say-on-pay" resolution, approving the compensation paid to our named executive officers, as disclosed in our proxy statement for the 2012 annual meeting, including the Compensation Discussion and Analysis, compensation tables and narrative discussions, was approved by our stockholders, with more than 95% of the votes cast having been voted in favor of the proposal to approve such resolution. The Compensation Committee has considered the results of this vote and, as a result of the high percentage of votes cast in favor of this proposal, the Compensation Committee viewed these results as an indication of stockholders' overall satisfaction with the manner in which we compensated our named executive officers in 2011.</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named executive officers' compensation and performance for 2012 was evaluated on both an absolute basis and by reference to a "peer group" that was selected based upon the following characteristics: (i) industry sector/business model; (ii) equity market capitalization; (iii) peer group continuity from year to year; (iv) peer group utilized for performance review; and (v) geographic location. However, peer groups are used only as a point of reference; our Compensation Committee does not specifically target a percentile or range of percentiles when determining executive compensation. Further, the Compensation Committee does not determine compensation formulaically based on the attainment of pre-determined performance hurdles (other than performance-based share grants and awards earned under our Outperformance Plans (as defined below) and 2010 Notional Unit Plan, as described in detail below). Rather, the Committee retains discretion to set compensation at levels it deems appropriate based on Company and individual performance and prevailing market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practices. Depending upon the Company's business and individual performance results, a named executive officer's total direct annual compensation may be within, below or above the market range for that position. The peer group for named executive officer compensation consisted of the following 13 REITs: Alexandria Real Estate Equities, Inc.; Annaly Capital Management, Inc.; Boston Properties, Inc.; Douglas Emmett, Inc.; Duke Realty Corporation; General Growth Properties, Inc.; iStar Financial Inc.; Kilroy Realty Corporation; Liberty Property Trust; Mack-Cali Realty Corporation; NorthStar Realty Finance Corporation; ProLogis; and Vornado Realty Trust. During fiscal year 2012, the composition of the executive compensation peer group was re-evaluated and AMB Property Corporation, Brandywine Realty Trust, Corporate Office Properties Trust, Inc. and Lexington Realty Trust, companies that formed part of the 2011 peer group, were removed and were replaced for 2012 with Annaly Capital Management, Inc., General Growth Properties, Inc., and NorthStar Realty Finance Corporation. The Compensation Committee determined to make the foregoing modifications in 2012 to the executive compensation peer group as part of its annual evaluation of the appropriateness of the peer group constituents.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in order to be more exhaustive and evaluate a broader scope of information in connection with the compensation of our Chief Executive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 a selective chief executive officer peer group was utilized as a reference point by our Compensation Committee for 2012, which consisted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12 companies: Annaly Capital Management, Inc.; Boston Properties, Inc.; General Growth Properties, Inc.; HCP, Inc.; Host Hotels &amp; Resorts,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iStar Financial; MGM Resorts International; NorthStar Realty Finance Corporation; ProLogis, Inc.; Simon Property Group, Inc.; Starwood Hotels &amp;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Inc.; and Ventas, Inc. During fiscal year 2012, the composition of the selective chief executive officer peer group was re-evaluated and The Macerich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Vornado Realty Trust, companies that formed part of the 2011 peer group, were removed and were replaced for 2012 with Host Hotels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Resorts, Inc. and MGM Resorts International. The Compensation Committee determined to make the foregoing modifications in 2012 to the selective peer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order to ensure the peer group continued to be comprised of real estate companies with compensation programs for their chief executive officers that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comparable with those of the Company.</w:t>
      </w:r>
    </w:p>
    <w:p>
      <w:pPr>
        <w:spacing w:after="0" w:line="21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Further, consistent with prior years, our Compensation Committee sought a primary peer group containing an executive chairman who functions exclusively as chairman and not as chief executive officer. For 2012, the selective chairman peer group consisted of the following 8 companies: Ashford Hospitality</w:t>
      </w:r>
    </w:p>
    <w:p>
      <w:pPr>
        <w:spacing w:after="0" w:line="290" w:lineRule="auto"/>
        <w:rPr>
          <w:sz w:val="20"/>
          <w:szCs w:val="20"/>
          <w:color w:val="auto"/>
        </w:rPr>
      </w:pPr>
      <w:r>
        <w:rPr>
          <w:rFonts w:ascii="Arial" w:cs="Arial" w:eastAsia="Arial" w:hAnsi="Arial"/>
          <w:sz w:val="16"/>
          <w:szCs w:val="16"/>
          <w:color w:val="auto"/>
        </w:rPr>
        <w:t>Trust, Inc.; AvalonBay Communities, Inc.; Hyatt Hotels Corporation; Kimco Realty Corporation; Morgans Hotel Group; Pennsylvania Real Estate Investment Trust; RLJ Lodging Trust and Vornado Realty Trust. During fiscal year 2012, in order to ensure that this peer group continued to represent a broad scope of REITs with executives who function exclusively as chairman and not as chief executive officer, the peer group was re-evaluated and, as a result, CB&amp;L Associates Properties, Inc., DDR Corp., DuPont Fabros Technology, Inc., General Growth Properties, Inc., Lexington Realty Trust, W.P. Carey &amp; Co. LLC and Weingarten Realty Investors, companies that formed part of the 2011 peer group, were removed and were replaced for 2012 with AvalonBay Communities, Inc., Hyatt Hotels Corporation, Morgans Hotel Group Co. and RLJ Lodging Trust.</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i w:val="1"/>
          <w:iCs w:val="1"/>
          <w:color w:val="auto"/>
        </w:rPr>
        <w:t xml:space="preserve">Analysis of Risk Associated with Our Executive Compensation Plans. </w:t>
      </w:r>
      <w:r>
        <w:rPr>
          <w:rFonts w:ascii="Arial" w:cs="Arial" w:eastAsia="Arial" w:hAnsi="Arial"/>
          <w:sz w:val="16"/>
          <w:szCs w:val="16"/>
          <w:color w:val="auto"/>
        </w:rPr>
        <w:t>In setting compensation, our Compensation Committee also considers the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stockholders and to achievement of our goals that may be inherent in the compensation program. At the direction of our Compensation Committee, our Board conducted a risk assessment of our compensation programs, including our executive compensation programs. The Compensation Committee and its compensation consultant, Gressle &amp; McGinley LLC, reviewed and discussed the findings of this assessment and concluded that it is not reasonably likely that our compensation policies and practices will have a material adverse effect on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Although a significant portion of our executive's compensation is performance-based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08" w:lineRule="exact"/>
        <w:rPr>
          <w:sz w:val="20"/>
          <w:szCs w:val="20"/>
          <w:color w:val="auto"/>
        </w:rPr>
      </w:pPr>
    </w:p>
    <w:p>
      <w:pPr>
        <w:jc w:val="both"/>
        <w:ind w:left="1080" w:right="60" w:hanging="532"/>
        <w:spacing w:after="0" w:line="335"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evaluate performance based upon the achievement of a variety of business objectives and goals including, by way of example, strength of our balance sheet, FFO growth, occupancy and leasing rates, TRS performance (both on an absolute and relative basis) and completion of successful debt and equity offerings, that we believe correlate to long-term creation of stockholder value and that are affected by management decisions;</w:t>
      </w:r>
    </w:p>
    <w:p>
      <w:pPr>
        <w:spacing w:after="0" w:line="169" w:lineRule="exact"/>
        <w:rPr>
          <w:rFonts w:ascii="Arial" w:cs="Arial" w:eastAsia="Arial" w:hAnsi="Arial"/>
          <w:sz w:val="15"/>
          <w:szCs w:val="15"/>
          <w:color w:val="auto"/>
        </w:rPr>
      </w:pPr>
    </w:p>
    <w:p>
      <w:pPr>
        <w:ind w:left="1080" w:right="20" w:hanging="532"/>
        <w:spacing w:after="0" w:line="294"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adopted a balanced approach to equity compensation that incorporates the use of various stock-based compensation vehicles, including time-based full value equity awards and performance-based equity awards. By utilizing a balanced equity compensation mix comprised of several different types of stock-based compensation vehicles, including time-based full value equity awards that retain value even in a depressed market, we lessen the likelihood that executives will take unreasonable risks to keep their stock awards "in-the-money," as may be the case with equity compensation programs that rely solely on leveraged market-based equity compensation vehicles such as stock options;</w:t>
      </w:r>
    </w:p>
    <w:p>
      <w:pPr>
        <w:spacing w:after="0" w:line="183" w:lineRule="exact"/>
        <w:rPr>
          <w:rFonts w:ascii="Arial" w:cs="Arial" w:eastAsia="Arial" w:hAnsi="Arial"/>
          <w:sz w:val="16"/>
          <w:szCs w:val="16"/>
          <w:color w:val="auto"/>
        </w:rPr>
      </w:pPr>
    </w:p>
    <w:p>
      <w:pPr>
        <w:ind w:left="1080" w:right="16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provide a significant portion of long-term incentive compensation in the form of Long-Term Incentive Awards, such as awards that may be earned under the 2011 Outperformance Plan and the 2010 Notional Unit Plan. The amounts that ultimately may be earned under these programs are tied to how we perform over a three-to-five-year period, which focuses management on sustaining our long-term performance;</w:t>
      </w:r>
    </w:p>
    <w:p>
      <w:pPr>
        <w:spacing w:after="0" w:line="174" w:lineRule="exact"/>
        <w:rPr>
          <w:rFonts w:ascii="Arial" w:cs="Arial" w:eastAsia="Arial" w:hAnsi="Arial"/>
          <w:sz w:val="16"/>
          <w:szCs w:val="16"/>
          <w:color w:val="auto"/>
        </w:rPr>
      </w:pPr>
    </w:p>
    <w:p>
      <w:pPr>
        <w:ind w:left="1080" w:right="8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Structuring payouts under our performance-based awards so long as a minimum level of performance has been achieved, so that some compensation results at levels below full target achievement rather than an "all-or-nothing" approach;</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Consideration of non-financial and other qualitative performance factors in determining actual compensation payouts;</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Through providing a significant portion of each executive's annual compensation in the form of stock-based compensation, our executives have built sizable holdings of equity in the Company (and are required to maintain sizable holdings of equity in the Company under the terms of our stock ownership guidelines implemented in 2011), which aligns an appropriate portion of their personal wealth to our long-term performance; and</w:t>
      </w:r>
    </w:p>
    <w:p>
      <w:pPr>
        <w:spacing w:after="0" w:line="174"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conclusion, our executive compensation program is structured so that (i) we avoid the type of disproportionately large short-term incentives that could encourage executives to take risks that may not be in the Company's long-term interests, (ii) we provide incentives to manage the Company for long-term performance, (iii) we have adopted a policy for recoupment of incentive payments under certain circumstances and (iv) a significant amount of the wealth of our executives is tied to the long-term success of the Company. We believe this combination of factors encourages our executives to manage the Company in a prudent manner.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Designed to Reward</w:t>
      </w:r>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noted above, our Compensation Committee has designed our executive compensation program to achieve the following objectives: (i) to provide performance-based incentives to align management and stockholder interests and (ii) to attract and retain leadership talent in the New York City real estate market that is highly competitive and is comprised of other publicly-traded REITs, private real estate operating companies, opportunity funds and sovereign wealth funds, among others, while (iii) ensuring that our executive compensation programs do not encourage unnecessary or excessive risk taking.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 the Company's performance against other office REITs and against the REIT industry generally. Comparative performance is an important metric since market conditions may affect the ability to meet specific performance criteria. Historically, our Compensation Committee has structured our compensation program so that half or more of the total compensation provided to our named executive officers has been provided in the form of equity incentive compensation based on the performance of the Company. Our equity awards have taken the form of incentive awards under our 2011 Outperformance Plan, 2006 Outperformance Plan, 2005 Outperformance Plan and 2003 Outperformance Plan (collectively, our "Outperformance Plans"), our 2010 Notional Unit Plan, multi-year restricted stock and restricted stock unit grants in connection with new or extended employment agreements, a portion of which may only be earned based on the attainment of select performance hurdles over a multi-year period, and equity bonuses awarded in respect of prior year performance. The remainder of total compensation is primarily paid in cash. To address our retention objective, a substantial portion of long-term performance-based awards have time-based vesting requirements with significant back-end vesting after the award has been earned.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equity incentives, which include restricted stock, restricted stock units and LTIP Units, which may be granted pursuant to an employment agreement, our Outperformance Plans or our 2010 Notional Unit Plan.</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overall levels of compensation as well as the allocation between these elements are determined by our Compensation Committee based upon an analysis of the Company's performance during the year. Historically, our compensation has been divided among base salary, cash and equity bonuses, multi-year restricted stock or restricted stock unit grants in connection with new or extended employment agreements, and multi-year awards under our Outperformance Plans and our 2010 Notional Unit Plan. Multi-year equity awards under our Outperformance Plans and the 2010 Notional Unit Plan and in connection with new or extended employment agreements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201"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In addition to the aforementioned elements of our compensation program that currently are applicable to each of our named executive officers, at year-end 2009 and in 2010, in connection with new employment agreements for Messrs. Holliday, Green and Mathias, the Company entered into deferred compensation agreements with Messrs. Holliday, Green and Mathias. Under the terms of the agreements, beginning in 2010, Mr. Holliday receives an annual contribution during each year of 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employment agreement in the form of deferred notional stock units with a grant date value equal to $450,000 and, beginning in 2011, Messrs. Green and Mathias receive an annual contribution during each year of their employment agreement of deferred notional stock units with a grant date value of $150,000 and $350,000, respectively. These deferred notional stock units are subject to vesting based on continued employment during the year, and upon a qualifying separation from service, Messrs. Holliday, Green and Mathias will receive a lump-sum cash payment equal to the value of vested deferred notional units based on the Company's ten-trading day trailing average stock price on the date of separation. By tying the value of the deferred notional units to the future value of the Company, the deferred compensation program further aids in establishing alignment of management and stockholder interests and ensuring the executives remain focused on long-term stockholder value creation. See "Potential Payments Upon Termination or Change-in-Control" beginning on page 57 for additional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We Chose Each Element and How Each Element Fits into Our Overall Compensation Objectives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97"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i w:val="1"/>
          <w:iCs w:val="1"/>
          <w:color w:val="auto"/>
        </w:rPr>
        <w:t xml:space="preserve">Annual Base Salary. </w:t>
      </w:r>
      <w:r>
        <w:rPr>
          <w:rFonts w:ascii="Arial" w:cs="Arial" w:eastAsia="Arial" w:hAnsi="Arial"/>
          <w:sz w:val="15"/>
          <w:szCs w:val="15"/>
          <w:color w:val="auto"/>
        </w:rPr>
        <w:t>Our Compensation Committee has determined that the Company should provide our named executive officers' annual base salaries to</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compensate them for services rendered during the fiscal year. Base salaries are established at levels intended to reflect the scope of each executive's duties and responsibilities and further take into account the competitive market compensation paid by other companies for similar positions. We intentionally structure an executive's annual base salary to be a relatively low percentage of total compensation. In 2012, the base salary levels remained unchanged from 2011 levels.</w:t>
      </w:r>
    </w:p>
    <w:p>
      <w:pPr>
        <w:spacing w:after="0" w:line="15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Annual incentive awards are provided in the form of cash bonuses and equity awards designed to focus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on achieving key corporate financial objectives (both individually and Company-based), to motivate certain desired individual behaviors and to reward substantial achievement of these objectives and individual goals. The Compensation Committee does not set specific fixed targets that entitle the executive officers to formulaic bonuses; however, the Compensation Committee does evaluate the named executive officers' performance based, in part, on the Company's achievement of specific business goals and objectives for the year that are established in advance. In its determination of annual incentive awards for 2012, similar to prior years, the Compensation Committee considered, among others, the following areas of performance that it believes to be critical to our Company's success and appropriate areas on which to evaluate management's performance:</w:t>
      </w:r>
    </w:p>
    <w:p>
      <w:pPr>
        <w:spacing w:after="0" w:line="186" w:lineRule="exact"/>
        <w:rPr>
          <w:sz w:val="20"/>
          <w:szCs w:val="20"/>
          <w:color w:val="auto"/>
        </w:rPr>
      </w:pPr>
    </w:p>
    <w:p>
      <w:pPr>
        <w:ind w:left="1080" w:right="6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Leasing performance, including the volume of leases signed, rental rates on new leases compared to previous rates for the same space and occupancy levels within our same-store portfolio as well as specific leasing objectives;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Same-store net operating income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specific development objectives, including commencement of the redevelopment of 280 Park Avenue;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Investment performance, including new real estate investment and disposition activity and specific acquisition and disposition objectives;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sheet management, including our leverage ratios and capital markets activity;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dividend rate and total return to stockholders, both on an absolute and relative basis.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evaluation of 2012 performance and determination of 2012 annual incentive awards is consistent with the Compensation Committee's historical practice of linking pay to performance in a non-formulaic manner, thereby providing the Compensation Committee the discretion it feels is necessary in order to take into account changing market conditions. For a discussion of 2012 annual incentive payments, see "Measuring 2012 Performance."</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Long-Term Equity Incentives. </w:t>
      </w:r>
      <w:r>
        <w:rPr>
          <w:rFonts w:ascii="Arial" w:cs="Arial" w:eastAsia="Arial" w:hAnsi="Arial"/>
          <w:sz w:val="16"/>
          <w:szCs w:val="16"/>
          <w:color w:val="auto"/>
        </w:rPr>
        <w:t>Long-term equity incentives have been provided to our named executive officers through the grant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and/or LTIP units pursuant to our Outperformance Plans and our 2010 Notional Unit Plan and in connection with the signing of new or materially amended employment agreements, and the majority of these awards have included performance-based vesting hurdles that must be met in order for recipients to earn them. All of the equity awards granted pursuant to our Outperformance Plans and our 2010 Notional Unit Plan have been subject to performance-based vesting hurdles based on TRS or stock price appreciation over a multi-year period, subject to potential acceleration in some circumstances. In addition, one-third of the total equity awards that we granted to Messrs. Holliday, Mathias and Mead in connection with the signing of new or extended employment agreements that commenced during 2010 or 2011 were subject to the achievement of performance-based vesting hurdles, including relative performance hurdles. In addition to the performance-based vesting hurdles, generally, all of these equity awards have additional time-based vesting provisions, generally three to five years with principally back-end vesting for awards under our Outperformance Plans and our 2010 Notional Unit Plan, based on continued employment that act as a retention device and provide a strong incentive to the executives to increase stockholder value during the vesting period. The awards also contain forfeiture provisions, which result in immediate cancellation of the award if the executive voluntarily leaves or is terminated with cause. The grant of equity awards links a named executive officer's compensation and net worth directly to the performance of our stock price as well as the achievement of other performance-based vesting hurdles in some cases, which encourages our named executive officers to make decisions with an ownership mentality.</w:t>
      </w:r>
    </w:p>
    <w:p>
      <w:pPr>
        <w:spacing w:after="0" w:line="17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Equity awards under our 2011 Outperformance Plan were designed to compensate our named executive officers upon the attainment of certain goals with respect to TRS and to provide an incentive for executives to remain with the Company and focus on long-term stockholder value creation. Under our 2011 Outperformance Plan, the executives have the opportunity to earn LTIP Units in our operating partnership, or LTIP Units, contingent upon the extent to which, if at all, our TRS exceeds a threshold of 25% over a three-year performance period; provided that a portion of such awards are eligible to be earned after the first and second years of the performance period contingent upon the achievement of the maximum level of performance for 45 consecutive days. Upon the achievement of the designated performance thresholds, awards earned under our 2011 Outperformance Plan are further subject to time-based vesting requirements following the achievement of the performance thresholds. This creates, in the aggregate, up to a four-year retention period with respect to our executives who are participants in the 2011 Outperformance Plan. Even if the performance thresholds are achieved and awards are earned under the 2011 Outperformance Plan, until full vesting, the named executive officers continue to bear the same share price and total return risk as our stockholders. To date, no awards have been earned under the 2011 Outperformance Plan. The 2011 Outperformance Plan was designed to be complementary to our 2010 Notional Unit Plan, as the baseline stock price for measuring performance under our 2011 Outperformance Plan exceeds the stock price at which maximum stock price appreciation would be achieved under the 2010 Notional Unit Plan. See "SL Green Realty Corp. 2011 Outperformance Plan" on page 56 for additional details concerning the 2011 Outperformance Plan.</w:t>
      </w:r>
    </w:p>
    <w:p>
      <w:pPr>
        <w:spacing w:after="0" w:line="17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Equity awards under our 2010 Notional Unit Plan were designed to compensate our named executive officers upon the attainment of designated stock price appreciation targets over a three-year performance period and to provide an incentive for executives to remain with the Company and focus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long-term stockholder value creation. Under our 2010 Notional Unit Plan, the executives were eligible to earn LTIP Units contingent upon the achievement of stock price appreciation targets at levels ranging from 25% at the minimum to 50% at the maximum of stock appreciation over a three-year performance period; provided that a portion of such awards were eligible to be earned after the first and second years of the performance period contingent upon the achievement of the maximum stock appreciation of 50% for 45 consecutive days. Upon achievement of the designated stock price appreciation thresholds, awards earned under the 2010 Notional Unit Plan could not exceed an aggregate of $75 million, determined at the time of achievement against the stock price appreciation targets. Earned awards remained subject to vesting, with 50% of the LTIP Units earned vesting on December 17, 2012 (accelerated from the original January 1, 2013 vesting date) and an additional 25% vesting on each of January 1, 2014 and 2015, in each case, subject to continued employment through the vesting date. This creates, in the aggregate, up to a five-year retention period with respect to our executives who are participants in the 2010 Notional Unit Plan. See "SL Green Realty Corp. 2010 Notional Unit Plan" on page 55 for additional details concerning the 2010 Notional Unit Plan.</w:t>
      </w:r>
    </w:p>
    <w:p>
      <w:pPr>
        <w:spacing w:after="0" w:line="174" w:lineRule="exact"/>
        <w:rPr>
          <w:sz w:val="20"/>
          <w:szCs w:val="20"/>
          <w:color w:val="auto"/>
        </w:rPr>
      </w:pPr>
    </w:p>
    <w:p>
      <w:pPr>
        <w:ind w:right="140" w:firstLine="348"/>
        <w:spacing w:after="0" w:line="286" w:lineRule="auto"/>
        <w:rPr>
          <w:sz w:val="20"/>
          <w:szCs w:val="20"/>
          <w:color w:val="auto"/>
        </w:rPr>
      </w:pPr>
      <w:r>
        <w:rPr>
          <w:rFonts w:ascii="Arial" w:cs="Arial" w:eastAsia="Arial" w:hAnsi="Arial"/>
          <w:sz w:val="16"/>
          <w:szCs w:val="16"/>
          <w:color w:val="auto"/>
        </w:rPr>
        <w:t>The awards made to our named executive officers under the 2010 Notional Unit Plan provide a useful illustration of the Compensation Committee's philosophy of aligning the interests of management with those of our stockholders, as well as the effect of back-ended vesting requirements included in the various long-term equity awards in ensuring management remains focused on long-term value creation. Under the terms of the 2010 Notional Unit Plan, which includes a three-year performance period and two additional years of time-based vesting requirements, a pro rata portion of awards under the program were eligible to be earned after the first and second years of the performance period contingent upon the achievement of the maximum stock appreciation of 50% for 45 consecutive days. At year-end 2012, as a result of the Company's superior stock appreciation performance of over 50% during the full three years of the performance period of the program $75 million of awards under the 2010 Notional Unit Plan had been earned. However, such awards remain subject to time-based vesting requirements, with 50% of such awards vesting on December 17, 2012 (accelerated from the original January 1, 2013 vesting date) and an additional 25% vesting on each January 1 of 2014 and 2015, in each case, subject to continued employment through the vesting date. Accordingly, the ultimate value realized by our named executive officers with respect to the awards that have been earned was, and a portion remains, fully dependent on the price of our stock on future vesting dates. This additional time-based vesting component further creates shoulder-to-shoulder alignment of management and stockholder interests and ensures that our named executive officers remain focused on long-term stockholder value creation.</w:t>
      </w:r>
    </w:p>
    <w:p>
      <w:pPr>
        <w:spacing w:after="0" w:line="17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structure of our 2010 Notional Unit Plan and our Outperformance Plans ties a large portion of a named executive officer's compensation to creation of stockholder value on a long-term basis.</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also generally grant long-term equity incentives in connection with the signing of new or materially amended employment agreements with our named executive officers. In connection with the new or extended employment agreements that commenced during 2010 or 2011, we granted restricted stock and/or restricted stock unit awards to Messrs. Holliday, Mathias, Levine and Mead. These equity awards generally provided for vesting over the approximately three-year period of the new or extended employment agreement subject to continued employment through the vesting dates. For Messrs. Holliday, Mathias and Mead, approximately one-third of the equity awards were subject to the achievement of performance-based vesting hurdles based on absolute or relative increase in our FFO or stock price during the vesting period in addition to continued employment. For a discussion of these awards, see "Employment and Noncompetition Agreements."</w:t>
      </w:r>
    </w:p>
    <w:p>
      <w:pPr>
        <w:spacing w:after="0" w:line="20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Current Equity Compensation Practices. </w:t>
      </w:r>
      <w:r>
        <w:rPr>
          <w:rFonts w:ascii="Arial" w:cs="Arial" w:eastAsia="Arial" w:hAnsi="Arial"/>
          <w:sz w:val="18"/>
          <w:szCs w:val="18"/>
          <w:color w:val="auto"/>
        </w:rPr>
        <w:t>Historically, the employment agreements with our named executive officers have included income tax gross-up</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relating to restricted stock awards and certain other equity awards. These tax payments were primarily awarded in connection with the vesting of restricted stock in order to avoid requiring the named executive officers to sell shares of our</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common stock to satisfy withholding obligations, and were generally equal to 40% of the total value of the shares that were vesting on the applicable date. The Compensation Committee took into consideration the value of these tax gross-ups when determining the level of compensation paid to our named executive officers. In connection with its ongoing monitoring and review of "best practices" relating to executive compensation, including policies announced by ISS, Glass Lewis and other governance groups, our Compensation Committee determined to discontinue the inclusion of income tax gross-up provisions in restricted stock awards granted after December 31, 2008. Accordingly, as of year-end 2012, no outstanding equity awards held by our named executive officers are entitled to tax gross-up payments.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Further, our performance-based equity awards have historically provided for dividend payments prior to vesting. In early 2009, in connection with its periodic review of our executive compensation practices, the Compensation Committee discontinued, on a prospective basis, the practice of paying dividends on performance-based equity awards prior to achieving the performance criteria. Dividends on performance-based awards accrue and are only paid to the executives if and when the performance metrics are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225"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As evidenced by examining our executive compensation programs over the past several years, the executive compensation philosophy adopted by our Compensation Committee demonstrates a pay-for-performance culture that ensures the alignment of management and stockholder interests. As a significant portion of the total compensation opportunities provided to our named executive officers are directly tied to stock price appreciation and TRS performance, the Company must achieve sustained long-term performance in order for such compensation opportunities to be realized.</w:t>
      </w:r>
    </w:p>
    <w:p>
      <w:pPr>
        <w:spacing w:after="0" w:line="167"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Additionally, as further discussed below, we continued to demonstrate superior fundamental operating performance in 2012 and continued long-term multi-year TRS performance in the upper echelon of our peer group and the broader REIT industry. As a result, compensation determined by our Compensation Committee for 2012 resulted in total direct annual compensation levels for our named executive officers generally slightly higher than 2011 levels, with equity compensation awards comprising a larger portion of total compensation for 2012, similar to 2011.</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Further, as discussed under "Evaluation of Pay and Performance Alignment," in connection with finalizing our compensation decisions for 2012, we evaluated the expected degree of alignment between our Chief Executive Officer's 2012 total compensation and our corporate total shareholder return performance. This evaluation consisted of the following: (i) comparing our Chief Executive Officer's total compensation and our corporate total shareholder return performance over the past one- and three-year periods to a peer group, (ii) comparing our Chief Executive Officer's 2012 total compensation to the median total compensation of a peer group and (iii) comparing our Chief Executive Officer's Total Compensation over the past five years to our corporate total shareholder return performance. The results of this analysis, which is similar to the methodology used by ISS, indicated that our Chief Executive Officer's total compensation for 2012 was well aligned with our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2012 Performance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2012, we continued to demonstrate superior market performance at levels that outperformed the industry and also achieved outstanding operating performance and, as a result, 2012 bonus levels reflected this superior performance. Bonus levels generally demonstrated slight changes over 2011 amounts which had reflected superior performance in 2011. In 2012, domestic macroeconomic conditions continued the uptrend that began in prior years off of recessionary levels, with GDP marking another full year of growth and unemployment beginning to incrementally decline, albeit at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slower pace than many economists had anticipated. The business and operating environment nonetheless remained challenging during 2012, with events such as the continuing European sovereign debt crisis leading to uncertainty and periods of dislocations in the markets, and the U.S. and international financial services industry, which holds a significant presence and role in the New York City economy, confronting a myriad of headwinds that led to a series of layoffs across the sector. Notwithstanding the economic environment, we attained significant market and operational achievements in 2012, including the following:</w:t>
      </w:r>
    </w:p>
    <w:p>
      <w:pPr>
        <w:spacing w:after="0" w:line="180" w:lineRule="exact"/>
        <w:rPr>
          <w:sz w:val="20"/>
          <w:szCs w:val="20"/>
          <w:color w:val="auto"/>
        </w:rPr>
      </w:pPr>
    </w:p>
    <w:p>
      <w:pPr>
        <w:ind w:left="1080" w:right="14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Executed leases in 2012 totaling approximately 3.7 million square feet of office space in our core Manhattan office portfolio at initial rental rates that were approximately 7.5% higher, on average, than the previously fully escalated rents on the same office spaces, and attained, as of December 31, 2012, a combined same-store occupancy rate in Manhattan of 93.8% as compared to 93.0% as of year-end 2011;</w:t>
      </w:r>
    </w:p>
    <w:p>
      <w:pPr>
        <w:spacing w:after="0" w:line="187"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Continued to successfully execute a multi-faceted capital markets strategy that in 2012 included (i) closing on a new, five-year $1.6 billion revolving credit facility that refinanced, extended and expanded our 2011 credit facility, (ii) raising approximately $198.2 million through the issuance of ten-year senior notes and $222.2 million through the issuance of preferred stock and (iii) efficiently raising a net total of approximately $201.3 million of equity capital during 2012 through at-the-market equity offering programs;</w:t>
      </w:r>
    </w:p>
    <w:p>
      <w:pPr>
        <w:spacing w:after="0" w:line="180"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Made several accretive acquisitions in 2012 that included the purchase of twelve properties encompassing 1.1 million square feet for aggregate purchase prices of $641.3 million and invested in five properties through joint ventures for $626.7 million;</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Demonstrated sound operating performance as evidenced by attaining full-year FFO of $5.28 per diluted share and combined same-store cash net operating income growth of approximately $27.6 million, or 4.8%, above the prior year;</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Achieved a number of specific development and leasing objectives, including commencing the redevelopment of 280 Park Avenue and signing leases with anchor tenants at 1552/1560 Broadway and 3 Columbus Circle, among others;</w:t>
      </w:r>
    </w:p>
    <w:p>
      <w:pPr>
        <w:spacing w:after="0" w:line="200" w:lineRule="exact"/>
        <w:rPr>
          <w:rFonts w:ascii="Arial" w:cs="Arial" w:eastAsia="Arial" w:hAnsi="Arial"/>
          <w:sz w:val="18"/>
          <w:szCs w:val="18"/>
          <w:color w:val="auto"/>
        </w:rPr>
      </w:pPr>
    </w:p>
    <w:p>
      <w:pPr>
        <w:ind w:left="1080" w:right="80" w:hanging="532"/>
        <w:spacing w:after="0" w:line="207" w:lineRule="auto"/>
        <w:tabs>
          <w:tab w:leader="none" w:pos="1080"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color w:val="auto"/>
        </w:rPr>
        <w:t xml:space="preserve">Attained a tenant satisfaction rating in our core New York City property portfolio of 83.8%, or approximately 1.6% above the Kingsley Index </w:t>
      </w:r>
      <w:r>
        <w:rPr>
          <w:rFonts w:ascii="Arial" w:cs="Arial" w:eastAsia="Arial" w:hAnsi="Arial"/>
          <w:sz w:val="27"/>
          <w:szCs w:val="27"/>
          <w:color w:val="auto"/>
          <w:vertAlign w:val="superscript"/>
        </w:rPr>
        <w:t>SM</w:t>
      </w:r>
      <w:r>
        <w:rPr>
          <w:rFonts w:ascii="Arial" w:cs="Arial" w:eastAsia="Arial" w:hAnsi="Arial"/>
          <w:sz w:val="16"/>
          <w:szCs w:val="16"/>
          <w:color w:val="auto"/>
        </w:rPr>
        <w:t>, a leading survey-based performance benchmarking tool in the commercial real estate industry; and</w:t>
      </w:r>
    </w:p>
    <w:p>
      <w:pPr>
        <w:spacing w:after="0" w:line="225" w:lineRule="exact"/>
        <w:rPr>
          <w:rFonts w:ascii="Arial" w:cs="Arial" w:eastAsia="Arial" w:hAnsi="Arial"/>
          <w:sz w:val="32"/>
          <w:szCs w:val="32"/>
          <w:color w:val="auto"/>
          <w:vertAlign w:val="superscript"/>
        </w:rPr>
      </w:pPr>
    </w:p>
    <w:p>
      <w:pPr>
        <w:ind w:left="1080" w:right="6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to be a leader among our peers in long-term multi-year TRS performance as evidenced by attaining a total return of approximately 223% for the ten-year period ended December 31, 2012, which significantly outperformed the MSCI US REIT Index and S&amp;P 500 return of approximately 198% and 99%, respectively, over the same period, including TRS performance of approximately 17% and 57%, respectively, over the most recent one-year and three-year periods.</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making 2012 year-end bonus decisions, our Compensation Committee sought to find a balance between (i) acknowledging the significant operational achievements attained during the year, as highlighted above, (ii) ensuring that bonus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(iii) continuing to ensure our compensation programs create shoulder-to-shoulder alignment of management and stockholder interests by appropriately rewarding our named executive officers for the attainment of performance achievements that drive long-term value creation and (iv) rewarding our superior long-term TRS performance and strong absolute TRS performance over the most recent one- and three-year periods. The differences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compensation awarded to our named executive officers are generally a function of the executive's position and authority, as well as the competitive landscape for executives in similar positions in the New York City commercial real estate industry. For 2012, our Compensation Committee approved the following aggregate bonuses for the named executive officers: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8"/>
              <w:spacing w:after="0"/>
              <w:rPr>
                <w:sz w:val="20"/>
                <w:szCs w:val="20"/>
                <w:color w:val="auto"/>
              </w:rPr>
            </w:pPr>
            <w:r>
              <w:rPr>
                <w:rFonts w:ascii="Arial" w:cs="Arial" w:eastAsia="Arial" w:hAnsi="Arial"/>
                <w:sz w:val="14"/>
                <w:szCs w:val="14"/>
                <w:b w:val="1"/>
                <w:bCs w:val="1"/>
                <w:color w:val="auto"/>
                <w:w w:val="80"/>
              </w:rPr>
              <w:t>Cash Bonus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5"/>
              </w:rPr>
              <w:t>Equity Bonus(1)</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Bonus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2,700,000</w:t>
            </w:r>
          </w:p>
        </w:tc>
        <w:tc>
          <w:tcPr>
            <w:tcW w:w="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Andrew Levine</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462,500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562,500(2)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Mead</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0" w:hanging="531"/>
        <w:spacing w:after="0" w:line="318" w:lineRule="auto"/>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 Equity bonus amounts include amounts we intend to provide in the form of equity awards if the Third Amended 2005 Plan is approved.</w:t>
      </w:r>
    </w:p>
    <w:p>
      <w:pPr>
        <w:spacing w:after="0" w:line="66" w:lineRule="exact"/>
        <w:rPr>
          <w:rFonts w:ascii="Arial" w:cs="Arial" w:eastAsia="Arial" w:hAnsi="Arial"/>
          <w:sz w:val="12"/>
          <w:szCs w:val="12"/>
          <w:color w:val="auto"/>
        </w:rPr>
      </w:pPr>
    </w:p>
    <w:p>
      <w:pPr>
        <w:ind w:left="1680" w:hanging="531"/>
        <w:spacing w:after="0"/>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Equity bonus amounts for each of Messrs. Levine and Mead include additional allocations of awards earned under our 2010 Notional Unit Plan of $100,000.</w:t>
      </w:r>
    </w:p>
    <w:p>
      <w:pPr>
        <w:spacing w:after="0" w:line="20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2012, the Company continued to demonstrate superior long-term market performance at levels that outperformed the industry and superior operating results and, as a result, 2012 bonus levels reflected this superior performance. Bonus levels for 2012 generally demonstrated slight changes over 2011 amounts which had reflected superior performance in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2011-2012 Bonuses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percentage changes in 2012 bonuses as compared with bonuses for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rPr>
              <w:t>2012 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58"/>
              <w:spacing w:after="0"/>
              <w:rPr>
                <w:sz w:val="20"/>
                <w:szCs w:val="20"/>
                <w:color w:val="auto"/>
              </w:rPr>
            </w:pPr>
            <w:r>
              <w:rPr>
                <w:rFonts w:ascii="Arial" w:cs="Arial" w:eastAsia="Arial" w:hAnsi="Arial"/>
                <w:sz w:val="14"/>
                <w:szCs w:val="14"/>
                <w:b w:val="1"/>
                <w:bCs w:val="1"/>
                <w:color w:val="auto"/>
              </w:rPr>
              <w:t>2011 Bonus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0"/>
              </w:rPr>
              <w:t>(Cash &amp; Equity)(1)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0"/>
              </w:rPr>
              <w:t>(Cash &amp; Equity)(1)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Stephen Green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Andrew Levine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1,025,000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1,046,440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James Mead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780,960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200" w:hanging="531"/>
        <w:spacing w:after="0" w:line="318" w:lineRule="auto"/>
        <w:tabs>
          <w:tab w:leader="none" w:pos="16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 Equity bonus amounts include amounts we intend to provide in the form of equity awards if the Third Amended 2005 Plan is approved.</w:t>
      </w:r>
    </w:p>
    <w:p>
      <w:pPr>
        <w:spacing w:after="0" w:line="15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illustrated above, 2012 bonus levels for our named executive officers were modestly higher than 2011 levels in the aggregate. In 2012, we continued to demonstrate superior long-term market at levels that outperformed the industry and superior operating performance and, as a result, 2012 bonus levels generally demonstrated modest changes over 2011 amounts. Additionally, in 2012, in order to further align the interests of our named equity officers and our stockholders, we intend to provide a majority of our named executive officers' aggregate bonus for 2012 in the form of equity awards, similar to 2011. For 2012, we intend to provide approximately 70% of the bonus for Mr. Holliday, approximately 45% to 60% of the bonus for Messrs. Green, Mathias and Levine and 25% of the bonus for Mr. Mead in the form of equity awards. For 2012, we intend to provide all of the equity bonuses for our named executive officers in the form of LTIP Units or restricted stock units that may not be transferred until two years after the date they were granted. As a result of these transfer restrictions, these equity awards will provide continuing alignment of our named executive officers with our stockholders as the ultimate value they may realize will continue to be linked to the future value of our common stock.</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Equity bonus amounts for each of Messrs. Levine and Mead include additional allocations of awards earned under our 2010 Notional Unit Plan of $100,000.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2011-2012 Total Direct Annual Compensation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order to provide our stockholders with an analysis of compensation directly attributable to a calendar year, we are including below, consistent with prior years, a Total Direct Annual Compensation Table. The Total Direct Annual Compensation Table enables a more meaningful year-over-year compensation comparison than the Summary Compensation Table presented beginning on page 51. The Total Direct Annual Compensation Table consists of (i) the actual salary paid for the year, (ii) the annual cash bonus awarded for the year irrespective of when such amounts were ultimately paid, (iii) the annual equity bonus awarded for the year irrespective of when such awards ultimately were granted, paid and/or vested and (iv) deferred compensation contributions made for the year. This table illustrates one of the analyses undertaken by our Compensation Committee in determining each element of our named executive officers' compensation for the particular year in light of such executive's performance during the year, and it further demonstrates the correlation between the executive's pay and overall company performance.</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principal differences between the Total Direct Annual Compensation Table and the Summary Compensation Table, as presented beginning on page 51, are that (i) annual equity bonus is shown in the year to which such bonus relates based on the dollar amount on which equity bonuses were determined rather than showing the accounting grant date fair value in the year in which such grants were made as reflected in the Summary Compensation Table, and (ii) awards granted under long-term performance programs attributable to multi-year periods for which the ultimate value is unknown at the time of grant are excluded, rather than reflected at full grant-date accounting value as reflected in the Summary Compensation Table. Accordingly, the Summary Compensation Table, as presented beginning on page 51, includes the full grant date value of the portion of each executive's allocation in the 2011 Outperformance Plan awarded during the 2010-2012 period. The grant date value of each executive's allocation in the 2011 Outperformance Plan and 2010 Notional Unit Plan has been excluded from the Total Direct Annual Compensation Table, since the 2011 Outperformance Plan and 2010 Notional Unit Plan represent long-term compensation programs that provide participants the opportunity to earn equity awards only if designated TRS or stock price appreciation thresholds are achieved over multi-year periods ending on August 31, 2014, and November 30, 2012, respectively; accordingly, as such potential awards are not attributed to a singular year nor is the ultimate value of the Plans known at the time of grant, such awards have been excluded from the below table.</w:t>
      </w:r>
    </w:p>
    <w:p>
      <w:pPr>
        <w:spacing w:after="0" w:line="181" w:lineRule="exact"/>
        <w:rPr>
          <w:sz w:val="20"/>
          <w:szCs w:val="20"/>
          <w:color w:val="auto"/>
        </w:rPr>
      </w:pPr>
    </w:p>
    <w:p>
      <w:pPr>
        <w:ind w:right="220" w:firstLine="341"/>
        <w:spacing w:after="0" w:line="254" w:lineRule="auto"/>
        <w:rPr>
          <w:sz w:val="20"/>
          <w:szCs w:val="20"/>
          <w:color w:val="auto"/>
        </w:rPr>
      </w:pPr>
      <w:r>
        <w:rPr>
          <w:rFonts w:ascii="Arial" w:cs="Arial" w:eastAsia="Arial" w:hAnsi="Arial"/>
          <w:sz w:val="18"/>
          <w:szCs w:val="18"/>
          <w:color w:val="auto"/>
        </w:rPr>
        <w:t>Additionally, the Company has historically issued certain compensation awards in connection with the signing of new or materially amended employment agreements. Although the Compensation Committee evaluates such awards in its process of determining annual compensation levels for the named executive officers, as such awards are granted for retention purposes over a multi-year period and are not attributed to service or performance for a particular year, such awards have been excluded from the below table, rather than reflected at full grant-date value in the year they were issued as in the Summary Compensation Table. For a detailed description of equity and cash compensation awards issued in connection with new or materially amended executive employment agreements that 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currently in effect, please see the "Potential Payments Upon Termination or Change-in-Control" section below beginning on page 57.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Total 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Annual</w:t>
            </w:r>
          </w:p>
        </w:tc>
        <w:tc>
          <w:tcPr>
            <w:tcW w:w="0" w:type="dxa"/>
            <w:vAlign w:val="bottom"/>
          </w:tcPr>
          <w:p>
            <w:pPr>
              <w:spacing w:after="0"/>
              <w:rPr>
                <w:sz w:val="1"/>
                <w:szCs w:val="1"/>
                <w:color w:val="auto"/>
              </w:rPr>
            </w:pPr>
          </w:p>
        </w:tc>
      </w:tr>
      <w:tr>
        <w:trPr>
          <w:trHeight w:val="161"/>
        </w:trPr>
        <w:tc>
          <w:tcPr>
            <w:tcW w:w="26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Bonus(1)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Contributions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Compensation(2)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4,062,500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680" w:type="dxa"/>
            <w:vAlign w:val="bottom"/>
            <w:gridSpan w:val="4"/>
          </w:tcPr>
          <w:p>
            <w:pPr>
              <w:spacing w:after="0"/>
              <w:rPr>
                <w:sz w:val="20"/>
                <w:szCs w:val="20"/>
                <w:color w:val="auto"/>
              </w:rPr>
            </w:pPr>
            <w:r>
              <w:rPr>
                <w:rFonts w:ascii="Arial" w:cs="Arial" w:eastAsia="Arial" w:hAnsi="Arial"/>
                <w:sz w:val="18"/>
                <w:szCs w:val="18"/>
                <w:color w:val="auto"/>
              </w:rPr>
              <w:t>Stephen Green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2,702,084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5,252,084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3,737,500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680" w:type="dxa"/>
            <w:vAlign w:val="bottom"/>
            <w:gridSpan w:val="4"/>
          </w:tcPr>
          <w:p>
            <w:pPr>
              <w:spacing w:after="0"/>
              <w:rPr>
                <w:sz w:val="20"/>
                <w:szCs w:val="20"/>
                <w:color w:val="auto"/>
              </w:rPr>
            </w:pPr>
            <w:r>
              <w:rPr>
                <w:rFonts w:ascii="Arial" w:cs="Arial" w:eastAsia="Arial" w:hAnsi="Arial"/>
                <w:sz w:val="18"/>
                <w:szCs w:val="18"/>
                <w:color w:val="auto"/>
              </w:rPr>
              <w:t>Andrew Levine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462,500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562,500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1,475,000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196,440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1,496,440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875,000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80" w:hanging="531"/>
        <w:spacing w:after="0" w:line="318"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 Equity bonus amounts include amounts we intend to provide in the form of equity awards if the Third Amended 2005 Plan is approved.</w:t>
      </w:r>
    </w:p>
    <w:p>
      <w:pPr>
        <w:spacing w:after="0" w:line="66" w:lineRule="exact"/>
        <w:rPr>
          <w:rFonts w:ascii="Arial" w:cs="Arial" w:eastAsia="Arial" w:hAnsi="Arial"/>
          <w:sz w:val="12"/>
          <w:szCs w:val="12"/>
          <w:color w:val="auto"/>
        </w:rPr>
      </w:pPr>
    </w:p>
    <w:p>
      <w:pPr>
        <w:ind w:left="1680" w:right="260" w:hanging="531"/>
        <w:spacing w:after="0" w:line="239"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Does not include the value of certain perquisites, including matching contributions with respect to amounts deferred by our named executive officers under our 401(k) plan or automobile benefits provided to Messrs. Green, Holliday and Mathias.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Pay and Performance Alignment</w:t>
      </w:r>
    </w:p>
    <w:p>
      <w:pPr>
        <w:spacing w:after="0" w:line="225"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connection with finalizing our annual compensation decisions for 2012, we evaluated the expected degree of alignment between our Chief Executive Officer's 2012 total compensation and our corporate total shareholder return performance. This evaluation consisted of the following: (i) comparing our Chief Executive Officer's total compensation and our corporate total shareholder return performance over the past one- and three-year periods to a peer group ("RDA"),</w:t>
      </w:r>
    </w:p>
    <w:p>
      <w:pPr>
        <w:spacing w:after="0" w:line="1" w:lineRule="exact"/>
        <w:rPr>
          <w:sz w:val="20"/>
          <w:szCs w:val="20"/>
          <w:color w:val="auto"/>
        </w:rPr>
      </w:pPr>
    </w:p>
    <w:p>
      <w:pPr>
        <w:ind w:right="40" w:firstLine="8"/>
        <w:spacing w:after="0" w:line="292"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comparing our Chief Executive Officer's 2012 total compensation to the median total compensation of a peer group ("MOM") and (iii) comparing our Chief Executive Officer's 2012 Total Compensation over the past five years to our corporate total shareholder return performance ("PTA"). The results of the analysis, which is similar to the methodology used by Institutional Shareholder Services ("ISS"), and which was based on the most recently available information at the time the evaluation was performed, including the most recently published ISS guidelines related to their new peer group selection methodology, demonstrate that our Chief Executive Officer's total compensation for 2012 was well aligned with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identified above, the quantitative evaluation performed by ISS includes the following three pay-for-performance tests:</w:t>
      </w:r>
    </w:p>
    <w:p>
      <w:pPr>
        <w:spacing w:after="0" w:line="233" w:lineRule="exact"/>
        <w:rPr>
          <w:sz w:val="20"/>
          <w:szCs w:val="20"/>
          <w:color w:val="auto"/>
        </w:rPr>
      </w:pPr>
    </w:p>
    <w:p>
      <w:pPr>
        <w:ind w:left="1080" w:right="60" w:hanging="532"/>
        <w:spacing w:after="0" w:line="339"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RDA</w:t>
      </w:r>
      <w:r>
        <w:rPr>
          <w:rFonts w:ascii="Arial" w:cs="Arial" w:eastAsia="Arial" w:hAnsi="Arial"/>
          <w:sz w:val="16"/>
          <w:szCs w:val="16"/>
          <w:color w:val="auto"/>
        </w:rPr>
        <w:t>—Relative test that compares the percentile rank of a company's Chief Executive Officer compensation and the TRS performance over one-and three-year periods with a comparison group, with a 60% weighting for three-year period and a 40% weighting for the one-year period.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200" w:hanging="532"/>
        <w:spacing w:after="0" w:line="27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MOM</w:t>
      </w:r>
      <w:r>
        <w:rPr>
          <w:rFonts w:ascii="Arial" w:cs="Arial" w:eastAsia="Arial" w:hAnsi="Arial"/>
          <w:sz w:val="18"/>
          <w:szCs w:val="18"/>
          <w:color w:val="auto"/>
        </w:rPr>
        <w:t>—Relative test that expresses the prior year's Chief Executive Officer compensation as a multiple of the median of the comparison group;</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00" w:lineRule="exact"/>
        <w:rPr>
          <w:rFonts w:ascii="Arial" w:cs="Arial" w:eastAsia="Arial" w:hAnsi="Arial"/>
          <w:sz w:val="18"/>
          <w:szCs w:val="18"/>
          <w:color w:val="auto"/>
        </w:rPr>
      </w:pPr>
    </w:p>
    <w:p>
      <w:pPr>
        <w:ind w:left="1080" w:right="320" w:hanging="532"/>
        <w:spacing w:after="0" w:line="27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PTA</w:t>
      </w:r>
      <w:r>
        <w:rPr>
          <w:rFonts w:ascii="Arial" w:cs="Arial" w:eastAsia="Arial" w:hAnsi="Arial"/>
          <w:sz w:val="18"/>
          <w:szCs w:val="18"/>
          <w:color w:val="auto"/>
        </w:rPr>
        <w:t>—Absolute test that compares the Chief Executive Officer's annual compensation and the value of an investment in the company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five-year period based on weighted linear regressions that calculate a five-year "trend rate".</w:t>
      </w:r>
    </w:p>
    <w:p>
      <w:pPr>
        <w:spacing w:after="0" w:line="180" w:lineRule="exact"/>
        <w:rPr>
          <w:sz w:val="20"/>
          <w:szCs w:val="20"/>
          <w:color w:val="auto"/>
        </w:rPr>
      </w:pPr>
    </w:p>
    <w:p>
      <w:pPr>
        <w:ind w:right="400" w:firstLine="348"/>
        <w:spacing w:after="0" w:line="294" w:lineRule="auto"/>
        <w:rPr>
          <w:sz w:val="20"/>
          <w:szCs w:val="20"/>
          <w:color w:val="auto"/>
        </w:rPr>
      </w:pPr>
      <w:r>
        <w:rPr>
          <w:rFonts w:ascii="Arial" w:cs="Arial" w:eastAsia="Arial" w:hAnsi="Arial"/>
          <w:sz w:val="16"/>
          <w:szCs w:val="16"/>
          <w:color w:val="auto"/>
        </w:rPr>
        <w:t>The simulation of the above quantitative tests that we performed was based on the most recently available information as of the time it was generated in December 2012 and was based on our projection of the ISS selected peer group for 2013, which included the following companies: AvalonBay Communities, Inc., Boston Properties, Inc., CommonWealth REIT, Digital Realty Trust, Inc., Duke Realty Corporation, Equity Residential, General Growth Properties, Inc., HCP, Inc., Health Care REIT, Inc., Kimco Realty Corporation, Liberty Property Trust, Mack-Cali Realty Corporation, Public Storage, The Macerich Company, Ventas, Inc. Vornado Realty Trust. Specifically, the results of each of the three quantitative tests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w w:val="92"/>
              </w:rPr>
              <w:t>Concern Level Trigger Thresholds</w:t>
            </w:r>
          </w:p>
        </w:tc>
        <w:tc>
          <w:tcPr>
            <w:tcW w:w="160" w:type="dxa"/>
            <w:vAlign w:val="bottom"/>
          </w:tcPr>
          <w:p>
            <w:pPr>
              <w:spacing w:after="0"/>
              <w:rPr>
                <w:sz w:val="14"/>
                <w:szCs w:val="14"/>
                <w:color w:val="auto"/>
              </w:rPr>
            </w:pPr>
          </w:p>
        </w:tc>
      </w:tr>
      <w:tr>
        <w:trPr>
          <w:trHeight w:val="196"/>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5"/>
              </w:rPr>
              <w:t>Quantitative Test</w:t>
            </w:r>
          </w:p>
        </w:tc>
        <w:tc>
          <w:tcPr>
            <w:tcW w:w="384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Score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Concern Level</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Medium Concern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High Concern</w:t>
            </w: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RDA</w:t>
            </w:r>
          </w:p>
        </w:tc>
        <w:tc>
          <w:tcPr>
            <w:tcW w:w="38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Medium</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MOM</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Low</w:t>
            </w: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PTA</w:t>
            </w:r>
          </w:p>
        </w:tc>
        <w:tc>
          <w:tcPr>
            <w:tcW w:w="4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4"/>
              </w:rPr>
              <w:t>Low</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08"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illustrated above, based on the most recently available information, at the time we were finalizing our 2012 compensation decisions, we believed that our Chief Executive Officer's total compensation was well aligned with our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our President with reimbursement for certain car service usage and our Chief Executive Officer receives certain insurance benefits. The costs of these benefits constitute only a small percentage of the applicable executive's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Director Stock Ownership Guidelines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December 2011, in connection with our Compensation Committee's monitoring and review of evolving "best practices," including an assessment of the feedback provided by proxy advisory firms ISS and Glass Lewis in their 2011 proxy research reports, and in furtherance of our Compensation Committee's ongoing efforts to foster an ownership culture among our senior leadership team, we adopted stock ownership guidelines for our named executive officers and Independent Directors. Pursuant to the guidelines, our named executive officers are required to hold equity interests in the Company or its operating partnership having a market value equal to or greater than a multiple of six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times each such officer's base salary, and our Independent Directors are required to hold a number of shares of Company stock having a market value equal to or greater than three times their annual cash retainer. Named executive officers and directors will have three years from the date of adoption of the guidelines to attain compliance with the stock ownership requirements, or in the case of a new named executive officer or Independent Director, three years from the commencement of their employment or election to the Board. As of December 31, 2012, all of our named executive officers and Independent Directors were in compliance with the stock ownership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Our Compensation Committee reviews and considers the tax efficiency of executive compensation as part of its decision-making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IRC generally limits the deductibility of compensation over $1 million to a corporation's named executive officers. The Company is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Tax Gross-up Payments. </w:t>
      </w:r>
      <w:r>
        <w:rPr>
          <w:rFonts w:ascii="Arial" w:cs="Arial" w:eastAsia="Arial" w:hAnsi="Arial"/>
          <w:sz w:val="16"/>
          <w:szCs w:val="16"/>
          <w:color w:val="auto"/>
        </w:rPr>
        <w:t>As discussed above, under "Long-Term Equity Incentives," for any equity awards granted after December 31, 2008,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the use of income tax gross-up payments made in connection with the vesting of restricted stock and other equity grants. Accordingly, as of year-end 2012, no outstanding equity awards held by our named executive officers are entitled to tax gross-up payments.</w:t>
      </w:r>
    </w:p>
    <w:p>
      <w:pPr>
        <w:spacing w:after="0" w:line="16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Under our 2010 Notional Unit Plan as well our 2011 and 2005 Outperformance Plans, in lieu of issuing shares of restricted stock, we issued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class of units of limited partnership interest in our operating partnership, which we refer to as LTIP Units. We also used LTIP Units for the equity bonuses that we granted to our named executive officers for 2011 and intend to use LTIP Units for substantially all the equity bonuses that we intend to grant to our named executive officers for 2012. In addition, in early 2012, we agreed to have certain outstanding unvested restricted stock units and shares of restricted stock held by Messrs. Holliday and Mathias cancelled and replaced with an equal number of LTIP Units, which remained subject to the same vesting requirements as the restricted stock units that were cancelled.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8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LTIP Units are intended to offer executives substantially the same long-term incentive as shares of restricted stock, with more favorable U.S. federal income tax treatment available for "profits interests"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2011 Outperformance Plan and our 2010 Notional Unit Plan. We believe that the use of LTIP Units in these plans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issuance of LTIP Units, as compared to restricted stock.</w:t>
      </w:r>
    </w:p>
    <w:p>
      <w:pPr>
        <w:spacing w:after="0" w:line="17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Funds from Operations (FFO). </w:t>
      </w:r>
      <w:r>
        <w:rPr>
          <w:rFonts w:ascii="Arial" w:cs="Arial" w:eastAsia="Arial" w:hAnsi="Arial"/>
          <w:sz w:val="16"/>
          <w:szCs w:val="16"/>
          <w:color w:val="auto"/>
        </w:rPr>
        <w:t>We compute FFO in accordance with standards established by the National Association of Real Estate Investment Trusts,</w:t>
      </w:r>
      <w:r>
        <w:rPr>
          <w:rFonts w:ascii="Arial" w:cs="Arial" w:eastAsia="Arial" w:hAnsi="Arial"/>
          <w:sz w:val="16"/>
          <w:szCs w:val="16"/>
          <w:i w:val="1"/>
          <w:iCs w:val="1"/>
          <w:color w:val="auto"/>
        </w:rPr>
        <w:t xml:space="preserve"> </w:t>
      </w:r>
      <w:r>
        <w:rPr>
          <w:rFonts w:ascii="Arial" w:cs="Arial" w:eastAsia="Arial" w:hAnsi="Arial"/>
          <w:sz w:val="16"/>
          <w:szCs w:val="16"/>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as subsequently amended, defines FFO as net income (loss) (computed in accordance with GAAP), excluding gains (or losses) from debt restructuring and sales of properties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No Material Adverse Effect. </w:t>
      </w:r>
      <w:r>
        <w:rPr>
          <w:rFonts w:ascii="Arial" w:cs="Arial" w:eastAsia="Arial" w:hAnsi="Arial"/>
          <w:sz w:val="18"/>
          <w:szCs w:val="18"/>
          <w:color w:val="auto"/>
        </w:rPr>
        <w:t>Based on our analysis of the foregoing, we have concluded that our compensation policies and procedures are not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have a material adverse effect on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Compensation Matters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Similar to prior years, in 2013 the named executive officers will have the opportunity to earn annual incentive awards in the form of annual discretionary bonuses generally paid either in cash or stock based on the achievement of corporate financial objectives and individual performance. The Compensation Committee has not established specific fixed targets that entitle the named executive officers to formulaic bonuses; however, the Compensation Committee does intend to evaluate the named executive officers' performance based, in part, on the Company's achievement of specific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goals and objectives for the year that have been established, which relate to the following areas of performance: (i) leasing performance, including the volume of leases signed, rental rates on new leases compared to previous rates for the same space and occupancy levels within our same-store portfolio as well as specific leasing objectives; (ii) same store net operating income performance; (iii) achievement of specific development objectives; (iv) acquisition and disposition activity across the Company's business segments; (v) balance sheet management; (vi) our dividend rate and (vii) total return to stockholders, both on an absolute and relative basis.</w:t>
      </w:r>
    </w:p>
    <w:p>
      <w:pPr>
        <w:spacing w:after="0" w:line="197"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While the Compensation Committee will consider the above criteria, among others, as part of its 2013 performance evaluation process when it determines annual cash bonuses or equity awards for 2013, the Compensation Committee continues to retain discretion in determining the ultimate amounts, if any, and components of 2013 annual incentive awards and its historical practice of linking pay to performance in a non-formulaic manner. The Compensation Committee believes maintaining discretion in determining annual cash bonuses or equity awards is a prudent practice as it will provide the Compensation Committee with necessary flexibility to establish and adjust executive compensation levels based on corporate and individual performance and prevailing market and industry conditions.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2012.</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information regarding the compensation paid to our Chief Executive Officer, our Chief Financial Officer and each of our three most highly compensated executive officers, other than our Chief Executive Officer and Chief Financial Officer, whose total compensation exceeded $100,000 during the fiscal year ended December 31, 2012, or collectively, the "named executive officers".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Bonus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Awards(1)</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Compensation(2)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6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7,241,604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39,051</w:t>
            </w:r>
          </w:p>
        </w:tc>
        <w:tc>
          <w:tcPr>
            <w:tcW w:w="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10,280,655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2,000,000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5,582,539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36,614</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8,619,153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5,062,500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18,989,524</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63,327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24,840,351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640" w:type="dxa"/>
            <w:vAlign w:val="bottom"/>
            <w:gridSpan w:val="4"/>
          </w:tcPr>
          <w:p>
            <w:pPr>
              <w:spacing w:after="0"/>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2,000,000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4,054,936</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147,810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6,952,746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gridSpan w:val="4"/>
          </w:tcPr>
          <w:p>
            <w:pPr>
              <w:spacing w:after="0" w:line="149" w:lineRule="exact"/>
              <w:rPr>
                <w:sz w:val="20"/>
                <w:szCs w:val="20"/>
                <w:color w:val="auto"/>
              </w:rPr>
            </w:pPr>
            <w:r>
              <w:rPr>
                <w:rFonts w:ascii="Arial" w:cs="Arial" w:eastAsia="Arial" w:hAnsi="Arial"/>
                <w:sz w:val="14"/>
                <w:szCs w:val="14"/>
                <w:color w:val="auto"/>
              </w:rPr>
              <w:t>Chairman of the Board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1,500,000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4,391,911</w:t>
            </w:r>
          </w:p>
        </w:tc>
        <w:tc>
          <w:tcPr>
            <w:tcW w:w="16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170,932</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6,812,843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2,702,084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1,912,509</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255,662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5,470,255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6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4,940,748</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8,211,660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1,750,000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14,900,101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17,407,451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3,737,500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3,334,846</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552,729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8,375,075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640" w:type="dxa"/>
            <w:vAlign w:val="bottom"/>
            <w:gridSpan w:val="4"/>
          </w:tcPr>
          <w:p>
            <w:pPr>
              <w:spacing w:after="0"/>
              <w:rPr>
                <w:sz w:val="20"/>
                <w:szCs w:val="20"/>
                <w:color w:val="auto"/>
              </w:rPr>
            </w:pPr>
            <w:r>
              <w:rPr>
                <w:rFonts w:ascii="Arial" w:cs="Arial" w:eastAsia="Arial" w:hAnsi="Arial"/>
                <w:sz w:val="14"/>
                <w:szCs w:val="14"/>
                <w:color w:val="auto"/>
              </w:rPr>
              <w:t>James Mead</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585,938</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79,500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1,915,438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gridSpan w:val="4"/>
          </w:tcPr>
          <w:p>
            <w:pPr>
              <w:spacing w:after="0" w:line="149" w:lineRule="exact"/>
              <w:rPr>
                <w:sz w:val="20"/>
                <w:szCs w:val="20"/>
                <w:color w:val="auto"/>
              </w:rPr>
            </w:pPr>
            <w:r>
              <w:rPr>
                <w:rFonts w:ascii="Arial" w:cs="Arial" w:eastAsia="Arial" w:hAnsi="Arial"/>
                <w:sz w:val="14"/>
                <w:szCs w:val="14"/>
                <w:color w:val="auto"/>
              </w:rPr>
              <w:t>Chief Financial Officer</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306,059</w:t>
            </w:r>
          </w:p>
        </w:tc>
        <w:tc>
          <w:tcPr>
            <w:tcW w:w="16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150,580</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1,606,639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79,452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1,891,356</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15,705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2,286,513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6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877,113</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1,797,113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 General Counsel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3,405,195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4,712,545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1,075,000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722,834</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2,258,037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61" w:lineRule="auto"/>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2012, 2011 and 2010, respectively. In accordance with SEC disclosure requirements, the amounts for 2012, 2011 and 2010 include the full grant date fair value of the executives' allocation in the 2011 Outperformance Plan and 2010 Notional Unit Plan granted during such years. The grant date fair value of such awards is computed in accordance with ASC 718, "Compensation-Stock Compensation" by the use of Monte Carlo simulation models that consider the probable outcomes of the market-based performance conditions governing such awards. For the awards granted under the 2011 Outperformance Plan during 2012, the Monte Carlo simulation model used an assumed stock price volatility level of 47% on the Company's common stock and a risk-free interest rate of 0.30%. For the awards granted under the 2011 Outperformance Plan during 2011, the Monte Carlo simulation model used an assumed stock price volatility level of 50% on the Company's common stock and a risk-free interest rate of 0.33%. For the awards granted under the 2010 Notional Unit Plan during 2011, the Monte Carlo simulation model used an assumed stock price volatility level of 64% on the Company's common stock, a risk-free interest rate of 1.20% and total dividends over the respective three-year measurement periods of $3.46. The actual value of such awards (i) with respect to the 2011 Outperformance Plan, will be contingent upon the attainment of stockholder return targets over a three-year measurement period ending August 31, 2014, and, (ii) with respect to the 2010 Notional Unit Plan, was contingent upon the attainment of stock price appreciation targets over the three-year measurement period ending November 30, 2012. Assuming that maximum performance is achieved under the 2011 Outperformance Plan, the value at the grant date of the awards made under the 2011 Outperformance Plan during 2012 and 2011 would each have been as follows: Mr. Holliday—$9,633,333; Mr. Green—$4,250,000; Mr. Mathias—$6,800,000; Mr. Mead—$1,075,000; and Mr. Levine—$1,750,000, respectively. The assumptions used to calculate the grant date value of stock awards for 2012, 2011 and 2010, other than the awards under the 2011 Outperformance Plan and 2010 Notional Unit Plan, are set forth under Note 2 of the Notes to Consolidated Financial Statements included in our Annual Report on Form 10-K for the year ended December 31, 2012, which was filed with the SEC on February 27, 2013, on Form 10-K for the year ended December 31, 2011, which was filed with the SEC on February 28, 2012, and on Form 10-K for the year ended December 31, 2010, which was filed with the SEC on February 28, 2011, respectively. In 2012, Messrs. Holliday and Mathias agreed to have certain of their outstanding unvested restricted stock units and shares of restricted stock cancelled and replaced with an equal number of LTIP Units, which remained subject to the same vesting requirements as the restricted stock units that were cancelled. Because the LTIP Units remained subject to the same vesting requirements as the awards that were canceled, the LTIP Units had no incremental fair value above the fair value of the awards that were cancelled.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The table and footnotes below shows the components of this column for 2012, which include certain perquisites such as Company 401(k) matching contributions.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1"/>
        </w:trPr>
        <w:tc>
          <w:tcPr>
            <w:tcW w:w="62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357"/>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5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2012</w:t>
            </w:r>
          </w:p>
        </w:tc>
        <w:tc>
          <w:tcPr>
            <w:tcW w:w="520" w:type="dxa"/>
            <w:vAlign w:val="bottom"/>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39,051(a)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2012</w:t>
            </w:r>
          </w:p>
        </w:tc>
        <w:tc>
          <w:tcPr>
            <w:tcW w:w="52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147,810(b)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2012</w:t>
            </w: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20,912(c)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Arial" w:cs="Arial" w:eastAsia="Arial" w:hAnsi="Arial"/>
                <w:sz w:val="14"/>
                <w:szCs w:val="14"/>
                <w:color w:val="auto"/>
              </w:rPr>
              <w:t>James Mead</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2012</w:t>
            </w:r>
          </w:p>
        </w:tc>
        <w:tc>
          <w:tcPr>
            <w:tcW w:w="52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79,500(d)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2012</w:t>
            </w: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80" w:hanging="540"/>
        <w:spacing w:after="0" w:line="233"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($7,500), (ii) leased car payments ($20,776) and (iii) life insurance premiums ($10,775).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580" w:right="40" w:hanging="540"/>
        <w:spacing w:after="0" w:line="268" w:lineRule="auto"/>
        <w:tabs>
          <w:tab w:leader="none" w:pos="5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leased car ($15,288) and full-time driver payments ($132,522). Mr. Green is the only officer in the Company provided with a full-time driver, which allows him to use his time efficiently for business purposes during his travel time, and it is the Company's policy to not provide such perquisite to any officer other than</w:t>
      </w:r>
    </w:p>
    <w:p>
      <w:pPr>
        <w:ind w:left="580"/>
        <w:spacing w:after="0"/>
        <w:rPr>
          <w:rFonts w:ascii="Arial" w:cs="Arial" w:eastAsia="Arial" w:hAnsi="Arial"/>
          <w:sz w:val="12"/>
          <w:szCs w:val="12"/>
          <w:color w:val="auto"/>
        </w:rPr>
      </w:pPr>
      <w:r>
        <w:rPr>
          <w:rFonts w:ascii="Arial" w:cs="Arial" w:eastAsia="Arial" w:hAnsi="Arial"/>
          <w:sz w:val="14"/>
          <w:szCs w:val="14"/>
          <w:color w:val="auto"/>
        </w:rPr>
        <w:t>Mr. Green.</w:t>
      </w:r>
    </w:p>
    <w:p>
      <w:pPr>
        <w:spacing w:after="0" w:line="110" w:lineRule="exact"/>
        <w:rPr>
          <w:rFonts w:ascii="Arial" w:cs="Arial" w:eastAsia="Arial" w:hAnsi="Arial"/>
          <w:sz w:val="12"/>
          <w:szCs w:val="12"/>
          <w:color w:val="auto"/>
        </w:rPr>
      </w:pPr>
    </w:p>
    <w:p>
      <w:pPr>
        <w:ind w:left="580" w:right="20" w:hanging="540"/>
        <w:spacing w:after="0" w:line="318" w:lineRule="auto"/>
        <w:tabs>
          <w:tab w:leader="none" w:pos="5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(i) the Company's matching contributions with respect to amounts earned by the named executive officer under our 401(k) plan ($7,500) and (ii) car service usage reimbursements ($13,412). The Company's 401(k) matching contributions are credited in the year subsequent to which employees make their contributions.</w:t>
      </w:r>
    </w:p>
    <w:p>
      <w:pPr>
        <w:spacing w:after="0" w:line="66" w:lineRule="exact"/>
        <w:rPr>
          <w:rFonts w:ascii="Arial" w:cs="Arial" w:eastAsia="Arial" w:hAnsi="Arial"/>
          <w:sz w:val="12"/>
          <w:szCs w:val="12"/>
          <w:color w:val="auto"/>
        </w:rPr>
      </w:pPr>
    </w:p>
    <w:p>
      <w:pPr>
        <w:ind w:left="580" w:right="80" w:hanging="540"/>
        <w:spacing w:after="0" w:line="288" w:lineRule="auto"/>
        <w:tabs>
          <w:tab w:leader="none" w:pos="5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(i) the Company's matching contributions with respect to amounts earned by the named executive officer under our 401(k) plan ($7,500) and (ii) expense reimbursements ($72,000) relating to relocation-related costs incurred by Mr. Mead in 2012 in connection with his relocation to the New York City metropolitan area. The Company's 401(k) matching contributions are credited in the year subsequent to which employees make their contributions.</w:t>
      </w:r>
    </w:p>
    <w:p>
      <w:pPr>
        <w:spacing w:after="0" w:line="83" w:lineRule="exact"/>
        <w:rPr>
          <w:rFonts w:ascii="Arial" w:cs="Arial" w:eastAsia="Arial" w:hAnsi="Arial"/>
          <w:sz w:val="12"/>
          <w:szCs w:val="12"/>
          <w:color w:val="auto"/>
        </w:rPr>
      </w:pPr>
    </w:p>
    <w:p>
      <w:pPr>
        <w:ind w:left="580" w:right="400" w:hanging="540"/>
        <w:spacing w:after="0" w:line="239"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The Company's 401(k) matching contributions are credited in the year subsequent to which employees make their contributions.</w:t>
      </w:r>
    </w:p>
    <w:p>
      <w:pPr>
        <w:spacing w:after="0" w:line="19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300" w:space="380"/>
            <w:col w:w="9640"/>
          </w:cols>
          <w:pgMar w:left="24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Grants of Plan-Based Awards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2012.</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Estimated Future Payouts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Equity Incentive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Plan Awards (#)</w:t>
            </w: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Shares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Threshold</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Maximum</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260" w:type="dxa"/>
            <w:vAlign w:val="bottom"/>
          </w:tcPr>
          <w:p>
            <w:pPr>
              <w:spacing w:after="0"/>
              <w:rPr>
                <w:sz w:val="12"/>
                <w:szCs w:val="12"/>
                <w:color w:val="auto"/>
              </w:rPr>
            </w:pP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Approval Date</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62,615(1)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01/18/2012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6,414(2)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18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4"/>
              </w:rPr>
              <w:t>—(3) $9,633,333(3)</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8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01/01/2012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12/09/2009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2,282(4) $</w:t>
            </w: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01/03/2012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01/03/2012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44,288(1) $</w:t>
            </w:r>
          </w:p>
        </w:tc>
        <w:tc>
          <w:tcPr>
            <w:tcW w:w="940" w:type="dxa"/>
            <w:vAlign w:val="bottom"/>
          </w:tcPr>
          <w:p>
            <w:pPr>
              <w:jc w:val="right"/>
              <w:spacing w:after="0"/>
              <w:rPr>
                <w:sz w:val="20"/>
                <w:szCs w:val="20"/>
                <w:color w:val="auto"/>
              </w:rPr>
            </w:pPr>
            <w:r>
              <w:rPr>
                <w:rFonts w:ascii="Arial" w:cs="Arial" w:eastAsia="Arial" w:hAnsi="Arial"/>
                <w:sz w:val="18"/>
                <w:szCs w:val="18"/>
                <w:color w:val="auto"/>
              </w:rPr>
              <w:t>2,414,936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01/27/2012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01/27/2012</w:t>
            </w:r>
          </w:p>
        </w:tc>
        <w:tc>
          <w:tcPr>
            <w:tcW w:w="16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w w:val="99"/>
              </w:rPr>
              <w:t>—(3)</w:t>
            </w:r>
          </w:p>
        </w:tc>
        <w:tc>
          <w:tcPr>
            <w:tcW w:w="1820" w:type="dxa"/>
            <w:vAlign w:val="bottom"/>
            <w:gridSpan w:val="4"/>
          </w:tcPr>
          <w:p>
            <w:pPr>
              <w:ind w:left="320"/>
              <w:spacing w:after="0"/>
              <w:rPr>
                <w:sz w:val="20"/>
                <w:szCs w:val="20"/>
                <w:color w:val="auto"/>
              </w:rPr>
            </w:pPr>
            <w:r>
              <w:rPr>
                <w:rFonts w:ascii="Arial" w:cs="Arial" w:eastAsia="Arial" w:hAnsi="Arial"/>
                <w:sz w:val="18"/>
                <w:szCs w:val="18"/>
                <w:color w:val="auto"/>
                <w:w w:val="94"/>
              </w:rPr>
              <w:t>—(3) $4,250,000(3)</w:t>
            </w:r>
          </w:p>
        </w:tc>
        <w:tc>
          <w:tcPr>
            <w:tcW w:w="10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01/01/2012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08/30/2010</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5,326(4)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40,470(1)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18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4"/>
              </w:rPr>
              <w:t>—(3) $6,800,000(3)</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8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01/03/2012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01/03/2012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2,000(1) $</w:t>
            </w:r>
          </w:p>
        </w:tc>
        <w:tc>
          <w:tcPr>
            <w:tcW w:w="940" w:type="dxa"/>
            <w:vAlign w:val="bottom"/>
          </w:tcPr>
          <w:p>
            <w:pPr>
              <w:jc w:val="right"/>
              <w:spacing w:after="0"/>
              <w:rPr>
                <w:sz w:val="20"/>
                <w:szCs w:val="20"/>
                <w:color w:val="auto"/>
              </w:rPr>
            </w:pPr>
            <w:r>
              <w:rPr>
                <w:rFonts w:ascii="Arial" w:cs="Arial" w:eastAsia="Arial" w:hAnsi="Arial"/>
                <w:sz w:val="18"/>
                <w:szCs w:val="18"/>
                <w:color w:val="auto"/>
              </w:rPr>
              <w:t>109,056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01/27/2012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01/27/2012</w:t>
            </w:r>
          </w:p>
        </w:tc>
        <w:tc>
          <w:tcPr>
            <w:tcW w:w="16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w w:val="99"/>
              </w:rPr>
              <w:t>—(3)</w:t>
            </w:r>
          </w:p>
        </w:tc>
        <w:tc>
          <w:tcPr>
            <w:tcW w:w="1820" w:type="dxa"/>
            <w:vAlign w:val="bottom"/>
            <w:gridSpan w:val="4"/>
          </w:tcPr>
          <w:p>
            <w:pPr>
              <w:ind w:left="320"/>
              <w:spacing w:after="0"/>
              <w:rPr>
                <w:sz w:val="20"/>
                <w:szCs w:val="20"/>
                <w:color w:val="auto"/>
              </w:rPr>
            </w:pPr>
            <w:r>
              <w:rPr>
                <w:rFonts w:ascii="Arial" w:cs="Arial" w:eastAsia="Arial" w:hAnsi="Arial"/>
                <w:sz w:val="18"/>
                <w:szCs w:val="18"/>
                <w:color w:val="auto"/>
                <w:w w:val="94"/>
              </w:rPr>
              <w:t>—(3) $1,075,000(3)</w:t>
            </w:r>
          </w:p>
        </w:tc>
        <w:tc>
          <w:tcPr>
            <w:tcW w:w="10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12/12/2012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12/12/2012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1,308(5) $</w:t>
            </w: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01/03/2012</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01/27/2012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18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4"/>
              </w:rPr>
              <w:t>—(3) $1,750,000(3)</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12/12/2012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1,308(5)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two-year restriction on transfer.</w:t>
      </w:r>
    </w:p>
    <w:p>
      <w:pPr>
        <w:spacing w:after="0" w:line="122" w:lineRule="exact"/>
        <w:rPr>
          <w:rFonts w:ascii="Arial" w:cs="Arial" w:eastAsia="Arial" w:hAnsi="Arial"/>
          <w:sz w:val="14"/>
          <w:szCs w:val="14"/>
          <w:color w:val="auto"/>
        </w:rPr>
      </w:pPr>
    </w:p>
    <w:p>
      <w:pPr>
        <w:ind w:left="1680" w:right="2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grant of notional stock units vested on January 17, 2013,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right="20" w:hanging="531"/>
        <w:spacing w:after="0" w:line="268" w:lineRule="auto"/>
        <w:tabs>
          <w:tab w:leader="none" w:pos="16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awards made under the 2011 Outperformance Plan. Under the 2011 Outperformance Plan, awards will be paid to each executive in LTIP Units with a value equal to the dollar amount earned by such executive under the plan. See "SL Green Realty Corp. 2011 Outperformance Plan" for a description of the terms of the 2011 Outperformance Plan. The "Maximum ($/#)" column represents the maximum dollar amount that could be earned under the 2011 Outperformance Plan based on the portion of the awards that were allocated in 2012 to the named executive officers. The "Target ($/#)" column represents the dollar amount that would be earned if we achieved the same per year percentage total return to stockholders during the three-year performance period under the 2011 Outperformance Plan as we did from the plan inception date of September 1, 2011 through year-end 2012. Awards under the 2011 Outperformance Plan for each executive may range from $0 to the maximum amount set forth in the table. Accordingly, the "Threshold($/#)" subcolumn is not applicable.</w:t>
      </w:r>
    </w:p>
    <w:p>
      <w:pPr>
        <w:spacing w:after="0" w:line="96" w:lineRule="exact"/>
        <w:rPr>
          <w:rFonts w:ascii="Arial" w:cs="Arial" w:eastAsia="Arial" w:hAnsi="Arial"/>
          <w:sz w:val="12"/>
          <w:szCs w:val="12"/>
          <w:color w:val="auto"/>
        </w:rPr>
      </w:pPr>
    </w:p>
    <w:p>
      <w:pPr>
        <w:ind w:left="1680" w:right="2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grant of notional stock units vested on December 31, 2012,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grant of LTIP Units under our 2010 Notional Unit Plan vested 50% upon grant and will vest 25% on January 1, 2014 and 25% on January 1, 2015.</w:t>
      </w:r>
    </w:p>
    <w:p>
      <w:pPr>
        <w:spacing w:after="0" w:line="20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Grants of all equity awards were made pursuant to the Second Amended 2005 Plan. Shares of restricted stock, restricted stock units and LTIP Units that are only subject to time-based vesting based on continued employment through a specified date (and have not been forfeited) generally entitle executives to receive cash dividends, dividend equivalents or distributions whether or not then vested. Shares of restricted stock, restricted stock units and LTIP Units that are subject to performance-based vesting hurdles accrue cash dividends, dividend equivalents or distributions prior to the achievement of these hurdles, and such accrued amounts are only paid to the executives if and when the performance hurdles are met. See "Potential Payments Upon Termination or a Change in Control" below, for a discussion regarding potential acceleration of the equity awards and a description of the material terms of each named executive officer's employment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2012</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2012.</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8"/>
              </w:rPr>
              <w:t>Option Awards</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Equity Incentive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 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Equity Incentive Plan</w:t>
            </w: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1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Unearned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Units 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Unexercised</w:t>
            </w:r>
          </w:p>
        </w:tc>
        <w:tc>
          <w:tcPr>
            <w:tcW w:w="18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Units</w:t>
            </w:r>
          </w:p>
        </w:tc>
        <w:tc>
          <w:tcPr>
            <w:tcW w:w="40" w:type="dxa"/>
            <w:vAlign w:val="bottom"/>
          </w:tcPr>
          <w:p>
            <w:pPr>
              <w:spacing w:after="0"/>
              <w:rPr>
                <w:sz w:val="12"/>
                <w:szCs w:val="12"/>
                <w:color w:val="auto"/>
              </w:rPr>
            </w:pP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Expiration</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 That Have</w:t>
            </w:r>
          </w:p>
        </w:tc>
        <w:tc>
          <w:tcPr>
            <w:tcW w:w="16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or Other Rights That</w:t>
            </w:r>
          </w:p>
        </w:tc>
        <w:tc>
          <w:tcPr>
            <w:tcW w:w="14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that Have Not Vested</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1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Vested (#)</w:t>
            </w: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Not Vested (#)(1)</w:t>
            </w:r>
          </w:p>
        </w:tc>
        <w:tc>
          <w:tcPr>
            <w:tcW w:w="1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Have Not Vested (#)</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12"/>
              <w:spacing w:after="0"/>
              <w:rPr>
                <w:sz w:val="20"/>
                <w:szCs w:val="20"/>
                <w:color w:val="auto"/>
              </w:rPr>
            </w:pPr>
            <w:r>
              <w:rPr>
                <w:rFonts w:ascii="Arial" w:cs="Arial" w:eastAsia="Arial" w:hAnsi="Arial"/>
                <w:sz w:val="14"/>
                <w:szCs w:val="14"/>
                <w:b w:val="1"/>
                <w:bCs w:val="1"/>
                <w:color w:val="auto"/>
                <w:w w:val="82"/>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760" w:type="dxa"/>
            <w:vAlign w:val="bottom"/>
            <w:gridSpan w:val="5"/>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197,199(2)(8) $</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15,115,303</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33,334(3)(9)</w:t>
            </w:r>
          </w:p>
        </w:tc>
        <w:tc>
          <w:tcPr>
            <w:tcW w:w="600" w:type="dxa"/>
            <w:vAlign w:val="bottom"/>
            <w:gridSpan w:val="2"/>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16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4"/>
                <w:szCs w:val="14"/>
                <w:color w:val="auto"/>
              </w:rPr>
              <w:t>65,700(8)</w:t>
            </w:r>
          </w:p>
        </w:tc>
        <w:tc>
          <w:tcPr>
            <w:tcW w:w="34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5,035,905</w:t>
            </w:r>
          </w:p>
        </w:tc>
        <w:tc>
          <w:tcPr>
            <w:tcW w:w="160" w:type="dxa"/>
            <w:vAlign w:val="bottom"/>
          </w:tcPr>
          <w:p>
            <w:pPr>
              <w:spacing w:after="0"/>
              <w:rPr>
                <w:sz w:val="24"/>
                <w:szCs w:val="2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5"/>
            <w:shd w:val="clear" w:color="auto" w:fill="CCEEFF"/>
          </w:tcPr>
          <w:p>
            <w:pPr>
              <w:jc w:val="right"/>
              <w:ind w:right="112"/>
              <w:spacing w:after="0"/>
              <w:rPr>
                <w:sz w:val="20"/>
                <w:szCs w:val="20"/>
                <w:color w:val="auto"/>
              </w:rPr>
            </w:pPr>
            <w:r>
              <w:rPr>
                <w:rFonts w:ascii="Arial" w:cs="Arial" w:eastAsia="Arial" w:hAnsi="Arial"/>
                <w:sz w:val="14"/>
                <w:szCs w:val="14"/>
                <w:color w:val="auto"/>
              </w:rPr>
              <w:t>142,833(4)(8) $</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10,948,149</w:t>
            </w:r>
          </w:p>
        </w:tc>
        <w:tc>
          <w:tcPr>
            <w:tcW w:w="1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16,667(5)(9)</w:t>
            </w:r>
          </w:p>
        </w:tc>
        <w:tc>
          <w:tcPr>
            <w:tcW w:w="600" w:type="dxa"/>
            <w:vAlign w:val="bottom"/>
            <w:gridSpan w:val="2"/>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James Mead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5"/>
          </w:tcPr>
          <w:p>
            <w:pPr>
              <w:jc w:val="right"/>
              <w:ind w:right="112"/>
              <w:spacing w:after="0"/>
              <w:rPr>
                <w:sz w:val="20"/>
                <w:szCs w:val="20"/>
                <w:color w:val="auto"/>
              </w:rPr>
            </w:pPr>
            <w:r>
              <w:rPr>
                <w:rFonts w:ascii="Arial" w:cs="Arial" w:eastAsia="Arial" w:hAnsi="Arial"/>
                <w:sz w:val="14"/>
                <w:szCs w:val="14"/>
                <w:color w:val="auto"/>
              </w:rPr>
              <w:t>12,935(6)(8) $</w:t>
            </w:r>
          </w:p>
        </w:tc>
        <w:tc>
          <w:tcPr>
            <w:tcW w:w="780" w:type="dxa"/>
            <w:vAlign w:val="bottom"/>
          </w:tcPr>
          <w:p>
            <w:pPr>
              <w:jc w:val="right"/>
              <w:spacing w:after="0"/>
              <w:rPr>
                <w:sz w:val="20"/>
                <w:szCs w:val="20"/>
                <w:color w:val="auto"/>
              </w:rPr>
            </w:pPr>
            <w:r>
              <w:rPr>
                <w:rFonts w:ascii="Arial" w:cs="Arial" w:eastAsia="Arial" w:hAnsi="Arial"/>
                <w:sz w:val="14"/>
                <w:szCs w:val="14"/>
                <w:color w:val="auto"/>
              </w:rPr>
              <w:t>991,468</w:t>
            </w:r>
          </w:p>
        </w:tc>
        <w:tc>
          <w:tcPr>
            <w:tcW w:w="16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auto"/>
              </w:rPr>
              <w:t>2,500(7)(9)</w:t>
            </w:r>
          </w:p>
        </w:tc>
        <w:tc>
          <w:tcPr>
            <w:tcW w:w="600" w:type="dxa"/>
            <w:vAlign w:val="bottom"/>
            <w:gridSpan w:val="2"/>
          </w:tcPr>
          <w:p>
            <w:pPr>
              <w:jc w:val="right"/>
              <w:ind w:right="39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191,625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24,744(8)</w:t>
            </w:r>
          </w:p>
        </w:tc>
        <w:tc>
          <w:tcPr>
            <w:tcW w:w="34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1,896,628</w:t>
            </w:r>
          </w:p>
        </w:tc>
        <w:tc>
          <w:tcPr>
            <w:tcW w:w="1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4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a price of $76.65 per share/unit, which was the closing price on the New York Stock Exchange of one share of our common stock on December 31, 2012. Assumes that the value of LTIP units on a per unit basis is equal to the per share value of our common stock.</w:t>
      </w:r>
    </w:p>
    <w:p>
      <w:pPr>
        <w:spacing w:after="0" w:line="111" w:lineRule="exact"/>
        <w:rPr>
          <w:rFonts w:ascii="Arial" w:cs="Arial" w:eastAsia="Arial" w:hAnsi="Arial"/>
          <w:sz w:val="14"/>
          <w:szCs w:val="14"/>
          <w:color w:val="auto"/>
        </w:rPr>
      </w:pPr>
    </w:p>
    <w:p>
      <w:pPr>
        <w:ind w:left="1680" w:hanging="531"/>
        <w:spacing w:after="0" w:line="278"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a stock award granted on 01/01/2010, of which 66,666 shares vested on 01/17/2013, subject to continued employment through such date. Also includes 6,414 notional stock units representing the contingent right to receive the value of one share of common stock in accordance with the terms of a deferred compensation agreement. These notional stock units vested on 01/17/2013. Vested notional stock units are settled in cash no later than 30 days following the earliest of (i) Mr. Holliday's death, (ii) the date of Mr. Holliday's separation from service with us, and (iii) the effective date of a Change-in-Control (as defined in the deferred compensation agreement).</w:t>
      </w:r>
    </w:p>
    <w:p>
      <w:pPr>
        <w:spacing w:after="0" w:line="89" w:lineRule="exact"/>
        <w:rPr>
          <w:rFonts w:ascii="Arial" w:cs="Arial" w:eastAsia="Arial" w:hAnsi="Arial"/>
          <w:sz w:val="12"/>
          <w:szCs w:val="12"/>
          <w:color w:val="auto"/>
        </w:rPr>
      </w:pPr>
    </w:p>
    <w:p>
      <w:pPr>
        <w:ind w:left="1680" w:right="2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stock award granted on 01/01/2010, of which 33,334 LTIP Units vested on 01/17/2013, based on the attainment of specified performance goals during the vesting period and subject to continued employment through such date.</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stock award granted on 01/06/2011, of which 33,333 shares vest on 12/31/2013, subject to continued employment through such dates.</w:t>
      </w:r>
    </w:p>
    <w:p>
      <w:pPr>
        <w:spacing w:after="0" w:line="122" w:lineRule="exact"/>
        <w:rPr>
          <w:rFonts w:ascii="Arial" w:cs="Arial" w:eastAsia="Arial" w:hAnsi="Arial"/>
          <w:sz w:val="14"/>
          <w:szCs w:val="14"/>
          <w:color w:val="auto"/>
        </w:rPr>
      </w:pPr>
    </w:p>
    <w:p>
      <w:pPr>
        <w:ind w:left="1680" w:right="16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stock award granted on 01/06/2011, of which 16,667 LTIP Units vest on 12/31/2013, based on the attainment of specified performance goals during the vesting period and subject to continued employment through such date.</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the unvested portion of a restricted stock award granted on 11/04/2010, of which 5,000 shares vest on 12/31/2013, subject to continued employment through such date.</w:t>
      </w:r>
    </w:p>
    <w:p>
      <w:pPr>
        <w:spacing w:after="0" w:line="145" w:lineRule="exact"/>
        <w:rPr>
          <w:rFonts w:ascii="Arial" w:cs="Arial" w:eastAsia="Arial" w:hAnsi="Arial"/>
          <w:sz w:val="12"/>
          <w:szCs w:val="12"/>
          <w:color w:val="auto"/>
        </w:rPr>
      </w:pPr>
    </w:p>
    <w:p>
      <w:pPr>
        <w:ind w:left="1680" w:right="6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unvested portion of a restricted stock award granted on 11/04/2010, of which 2,500 shares vest on 12/31/2013, based on the attainment of specified performance goals during the vesting period and subject to continued employment through such date.</w:t>
      </w:r>
    </w:p>
    <w:p>
      <w:pPr>
        <w:spacing w:after="0" w:line="111" w:lineRule="exact"/>
        <w:rPr>
          <w:rFonts w:ascii="Arial" w:cs="Arial" w:eastAsia="Arial" w:hAnsi="Arial"/>
          <w:sz w:val="14"/>
          <w:szCs w:val="14"/>
          <w:color w:val="auto"/>
        </w:rPr>
      </w:pPr>
    </w:p>
    <w:p>
      <w:pPr>
        <w:ind w:left="1680" w:right="20" w:hanging="531"/>
        <w:spacing w:after="0" w:line="288"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the following LTIP Unit awards with respect to which the performance-based vesting conditions had been met under the 2010 Notional Unit Plan, but which remained subject to vesting requirements based on continued employment, with 50% scheduled to vest on each of 01/01/2014 and 01/01/2015 subject to continued employment through such dates: Mr. Holliday—124,119 LTIP Units, Mr. Green—65,700 LTIP Units, Mr. Mathias—109,500 LTIP Units, Mr. Mead—7,935 LTIP Units, and Mr. Levine—24,744 LTIP Units.</w:t>
      </w:r>
    </w:p>
    <w:p>
      <w:pPr>
        <w:spacing w:after="0" w:line="83" w:lineRule="exact"/>
        <w:rPr>
          <w:rFonts w:ascii="Arial" w:cs="Arial" w:eastAsia="Arial" w:hAnsi="Arial"/>
          <w:sz w:val="12"/>
          <w:szCs w:val="12"/>
          <w:color w:val="auto"/>
        </w:rPr>
      </w:pPr>
    </w:p>
    <w:p>
      <w:pPr>
        <w:ind w:left="1680" w:right="240" w:hanging="531"/>
        <w:spacing w:after="0" w:line="318"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Excludes LTIP Units that may be earned under the 2011 Outperformance Plan, as no LTIP Units will be earned under the 2011 Outperformance Plan if we achieve the same per year percentage stock price appreciation during the three-year performance period under the 2011 Outperformance Plan as we did from plan inception through year-end 2012.</w:t>
      </w:r>
    </w:p>
    <w:p>
      <w:pPr>
        <w:spacing w:after="0" w:line="66" w:lineRule="exact"/>
        <w:rPr>
          <w:rFonts w:ascii="Arial" w:cs="Arial" w:eastAsia="Arial" w:hAnsi="Arial"/>
          <w:sz w:val="12"/>
          <w:szCs w:val="12"/>
          <w:color w:val="auto"/>
        </w:rPr>
      </w:pPr>
    </w:p>
    <w:p>
      <w:pPr>
        <w:ind w:left="1680" w:right="18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the performance based vesting is met under the 2011 Outperformance Plan, the awards will remain subject to vesting requirements based on continued employment, with 50% scheduled to vest on 08/31/2014 and 50% scheduled to vest on 08/31/2015 subject to continued employment through such 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2012.</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Value Realized on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Exercise(1)</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Vesting(2)</w:t>
            </w:r>
          </w:p>
        </w:tc>
        <w:tc>
          <w:tcPr>
            <w:tcW w:w="0" w:type="dxa"/>
            <w:vAlign w:val="bottom"/>
          </w:tcPr>
          <w:p>
            <w:pPr>
              <w:spacing w:after="0"/>
              <w:rPr>
                <w:sz w:val="1"/>
                <w:szCs w:val="1"/>
                <w:color w:val="auto"/>
              </w:rPr>
            </w:pPr>
          </w:p>
        </w:tc>
      </w:t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393,277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28,527,033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40" w:type="dxa"/>
            <w:vAlign w:val="bottom"/>
          </w:tcPr>
          <w:p>
            <w:pPr>
              <w:jc w:val="right"/>
              <w:spacing w:after="0"/>
              <w:rPr>
                <w:sz w:val="20"/>
                <w:szCs w:val="20"/>
                <w:color w:val="auto"/>
              </w:rPr>
            </w:pPr>
            <w:r>
              <w:rPr>
                <w:rFonts w:ascii="Arial" w:cs="Arial" w:eastAsia="Arial" w:hAnsi="Arial"/>
                <w:sz w:val="18"/>
                <w:szCs w:val="18"/>
                <w:color w:val="auto"/>
              </w:rPr>
              <w:t>147,000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7,761,117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112,271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8,214,456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15,367,240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17,436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1,317,089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2010 Notional Unit Plan</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December 2009, our Compensation Committee approved the general terms of the SL Green Realty Corp. 2010 Notional Unit Long-Term Compensation Plan, or the 2010 Notional Unit Plan. The 2010 Notional Unit Plan is a long-term incentive compensation plan pursuant to which award recipients could earn, in the aggregate, from approximately $15 million up to approximately $75 million of LTIP Units in our operating partnership based on our stock price appreciation over three years beginning on December 1, 2009. If our aggregate stock price appreciation during this period was less than 25%, then award recipients would not have earned any LTIP Units under the 2010 Notional Unit Plan. For stock price appreciation between 25% and 50% during this period, award recipients would have earned LTIP Units with a value ranging from approximately $15 million to approximately $75 million based on a sliding scale. If our aggregate stock price appreciation during this period equaled or exceeded 50%, then award recipients were entitled to earn the maximum award of $75 million under the 2010 Notional Unit Plan. Pursuant to the 2010 Notional Unit Plan, the stock price appreciation percentages noted above were adjusted as a result of the increase in our quarterly dividend rate above $0.10 per share, such that the aggregate total return to stockholders that was needed to earn LTIP Units remained the same.</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2010 Notional Unit Plan provided that, if, prior to the end of the three-year performance period, we achieved the maximum stock price appreciation of 50% for 45 consecutive days, then a portion of the total awards could be earned early as described in this paragraph. If this 45 consecutive day maximum performance period was completed at any point during the second year of the performance period, then approximately $25 million of LTIP Units were to be earned. If this 45 consecutive day maximum performance period was completed at any point during the third year of the performance period, then approximately $25 million (or if the maximum performance was not also achieved at any point during the second year, then approximately $50 million) of LTIP Units were to be earned. Other than in connection with a change in control of the Company, no acceleration could occur prior to the commencement of the second year or with respect to the final $25 million of LTIP Units. As a result of our stock price performance during the three-year performance period, our Compensation Committee determined that maximum performance had been achieved at or shortly after the beginning of each of the second and third years of the performance period and for the full performance period and, accordingly, 366,815 LTIP Units, 385,583 LTIP Units and 327,416 LTIP Units were earned under the 2010 Notional Unit Plan in December 2010, 2011 and 2012, respectively. Substantially in accordance with the original terms of the program, 50% of these LTIP Units vested on December 17, 2012 (accelerated from the original January 1, 2013 vesting date) and the remainder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scheduled to vest ratably on January 1, 2014 and 2015 based on continued employment. In accordance with the terms of the 2010 Notional Unit Plan, distributions were not paid on any LTIP Units until they were earned, at which time we paid all distributions that would have been paid on the earned LTIP Units since the beginning of the performance period.</w:t>
      </w:r>
    </w:p>
    <w:p>
      <w:pPr>
        <w:spacing w:after="0" w:line="19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2010 Notional Unit Plan also provide that if that named executive officer's employment is terminated by us without cause or by the executive officer for good reason, then the executive officer is treated under the 2010 Notional Unit Plan as if he had remained employed by us for 12 months after the date of his termination.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2011 Outperformance Plan</w:t>
      </w:r>
    </w:p>
    <w:p>
      <w:pPr>
        <w:spacing w:after="0" w:line="231"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August 2011, the Compensation Committee approved the general terms of the SL Green Realty Corp. 2011 Long-Term Outperformance Plan (the "2011 Outperformance Plan"). Participants in the 2011 Outperformance Plan may earn, in the aggregate, up to $85 million of LTIP Units in our operating partnership based on our total return to stockholders for the three-year period beginning September 1, 2011. Under the 2011 Outperformance Plan, participants will be entitled to share in a "performance pool" comprised of LTIP Units with a value equal to 10% of the amount, if any, by which our total return to stockholders during the three-year period exceeds a cumulative total return to stockholders of 25%, subject to the maximum of $85 million of LTIP Units; provided that if maximum performance has been achieved, approximately one-third of each award may be earned at any time after the beginning of the second year and an additional approximately one-third of each award may be earned at any time after the beginning of the third year. LTIP Units earned under the 2011 Outperformance Plan will be subject to continued vesting requirements, with 50% of any awards earned vesting on August 31, 2014 and the remaining 50% vesting on August 31, 2015, subject to continued employment with us through such dates. Participants will not be entitled to distributions with respect to LTIP Units granted under the 2011 Outperformance Plan unless and until they are earned. If LTIP Units are earned, each participant will also be entitled to the distributions that would have been paid had the number of earned LTIP Units been issued at the beginning of the performance period, with such distributions being paid partly in cash and partly in the form of additional LTIP Units. Thereafter, distributions will be paid currently with respect to all earned LTIP Units, whether vested or unvested.</w:t>
      </w:r>
    </w:p>
    <w:p>
      <w:pPr>
        <w:spacing w:after="0" w:line="17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event of a change in control of our company prior to September 1, 2012, the performance period will be shortened to end on a date immediately prior to such event and the cumulative stockholder return benchmark will be adjusted on a pro rata basis. In the event of a change in control of our company on or after September 1, 2012 but before August 31, 2014, the performance pool will be calculated assuming the performance period ended on August 31, 2014 and the total return continued at the same annualized rate from the date of the change in control to August 31, 2014 as was achieved from September 1, 2011 to the date of the change in control; provided that the performance pool may not exceed 200% of what it would have been if it was calculated using the total return from September 1, 2011 to the date of the change in control and a pro rated benchmark. In either case, the performance pool will be formed as described above if the adjusted benchmark target is achieved and all earned awards will be fully vested upon the change in control. If a change in control occurs after the performance period has ended, all unvested awards issued under the 2011 Outperformance Plan will become fully vested upon the change in control. Additionally, under the 2011 Outperformance Plan, an award recipient's termination due to death or disability will be treated in the same manner, for that award recipient, as if a change in control had occurred on the date of such termination.</w:t>
      </w:r>
    </w:p>
    <w:p>
      <w:pPr>
        <w:spacing w:after="0" w:line="17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2011 Outperformance Plan also provide that if that named executive officer's employment is terminated by us without cause or by the executive officer for good reason, then the executive officer is treated under the 2011 Outperformance Plan as if he had remained employed by us for 12 months after the date of his termination.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2012, we have granted approximately all of the awards available under the 2011 Outperformance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Table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summarizes information, as of December 31, 2012, relating to our equity compensation plans pursuant to which shares of our common stock or other equity securities may be granted from time to time.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for future</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issuance under</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equity compensation</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securities reflected</w:t>
            </w:r>
          </w:p>
        </w:tc>
      </w:tr>
      <w:tr>
        <w:trPr>
          <w:trHeight w:val="161"/>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warrants and rights</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column (a))</w:t>
            </w: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holders(1)</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3,336,200(2)$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75.05(3)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433,667(4)</w:t>
            </w: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9"/>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433,667</w:t>
            </w:r>
          </w:p>
        </w:tc>
        <w:tc>
          <w:tcPr>
            <w:tcW w:w="2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192" w:lineRule="exact"/>
        <w:rPr>
          <w:sz w:val="20"/>
          <w:szCs w:val="20"/>
          <w:color w:val="auto"/>
        </w:rPr>
      </w:pPr>
    </w:p>
    <w:p>
      <w:pPr>
        <w:ind w:left="1680" w:right="340" w:hanging="531"/>
        <w:spacing w:after="0" w:line="239" w:lineRule="auto"/>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information related to our Second Amended and Restated 2005 Stock Option and Incentive Plan, Amended 1997 Stock Option and Incentive Plan, as amended and 2008 Employee Stock Purchase Plan.</w:t>
      </w:r>
    </w:p>
    <w:p>
      <w:pPr>
        <w:spacing w:after="0" w:line="111" w:lineRule="exact"/>
        <w:rPr>
          <w:rFonts w:ascii="Arial" w:cs="Arial" w:eastAsia="Arial" w:hAnsi="Arial"/>
          <w:sz w:val="14"/>
          <w:szCs w:val="14"/>
          <w:color w:val="auto"/>
        </w:rPr>
      </w:pPr>
    </w:p>
    <w:p>
      <w:pPr>
        <w:ind w:left="1680" w:right="40" w:hanging="531"/>
        <w:spacing w:after="0" w:line="273"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(i) 1,201,000 shares of common stock issuable upon the exercise of outstanding options (480,000 of which are vested and exercisable), (ii) 412,500 restricted stock units and 75,156 phantom stock units that may be settled in shares of common stock (377,100 of which are vested), (iii) 541,166 LTIP units that, upon the satisfaction of certain conditions, are convertible into common units, which may be presented to us for redemption and acquired by us for shares of our common stock (none of which are vested) and (iv) shares of common stock reserved in connection with LTIP units issued pursuant to the 2011 Long-Term Outperformance Plan, all of which remain subject to performance-based vesting and a dollar value limitation on the number of LTIP units that may be earned based on our common stock price when the LTIP units are earned.</w:t>
      </w:r>
    </w:p>
    <w:p>
      <w:pPr>
        <w:spacing w:after="0" w:line="93" w:lineRule="exact"/>
        <w:rPr>
          <w:rFonts w:ascii="Arial" w:cs="Arial" w:eastAsia="Arial" w:hAnsi="Arial"/>
          <w:sz w:val="12"/>
          <w:szCs w:val="12"/>
          <w:color w:val="auto"/>
        </w:rPr>
      </w:pPr>
    </w:p>
    <w:p>
      <w:pPr>
        <w:ind w:left="1680" w:right="120" w:hanging="531"/>
        <w:spacing w:after="0" w:line="239" w:lineRule="auto"/>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Because there is no exercise price associated with restricted stock units, phantom stock units or LTIP units, these awards are not included in the weighted-average exercise price calculation.</w:t>
      </w:r>
    </w:p>
    <w:p>
      <w:pPr>
        <w:spacing w:after="0" w:line="111" w:lineRule="exact"/>
        <w:rPr>
          <w:rFonts w:ascii="Arial" w:cs="Arial" w:eastAsia="Arial" w:hAnsi="Arial"/>
          <w:sz w:val="14"/>
          <w:szCs w:val="14"/>
          <w:color w:val="auto"/>
        </w:rPr>
      </w:pPr>
    </w:p>
    <w:p>
      <w:pPr>
        <w:ind w:left="1680" w:right="200" w:hanging="531"/>
        <w:spacing w:after="0" w:line="288"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Balance is after reserving for shares underlying outstanding restricted stock units, phantom stock units granted pursuant to our Non-Employee Directors' Deferral Program and LTIP Units, including, among others, outstanding LTIP Units issued under our 2011 Long-Term Outperformance Plan, which remain subject to performance-based vesting. Number of securities remaining available consists exclusively of shares remaining available for issuance under our 2008 Employee Stock Purchase Plan.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Company does not provide supplemental pension or other retirement benefits other than our tax-qualified 401(k) Plan. See "Summary Compensation Table." In addition, the Company does not have a nonqualified deferred compensation plan that provides for deferral of compensation on a basis that is not tax-qualified for our named executive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immaterial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amounts shown below assume that such Change-in-Control or such termination was effective as of December 31, 2012 and are estimates of the amounts that would be paid out to the named executive officers upon such Change-in-Control or termination of employment. The value of the acceleration of vesting of shares of restricted stock and the LTIP Units is based on the value of unvested awards set forth in the "Outstanding Equity Awards" table above.</w:t>
      </w:r>
    </w:p>
    <w:p>
      <w:pPr>
        <w:spacing w:after="0" w:line="16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Health and welfare benefits are valued based on the estimated amount of future premiums that would be paid on behalf of the named executive officer under our existing plans, based on the premiums in effect as of December 31, 2012.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We have designed our equity-based awards to encourage retention and continued performance. As a result, the executive would suffer a material economic forfeiture should an executive leave our employment without Good Reason.</w:t>
      </w:r>
    </w:p>
    <w:p>
      <w:pPr>
        <w:spacing w:after="0" w:line="191"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color w:val="auto"/>
        </w:rPr>
        <w:t>Stephen L. Green.</w:t>
      </w:r>
      <w:r>
        <w:rPr>
          <w:sz w:val="20"/>
          <w:szCs w:val="20"/>
          <w:color w:val="auto"/>
        </w:rPr>
        <w:tab/>
      </w:r>
      <w:r>
        <w:rPr>
          <w:rFonts w:ascii="Arial" w:cs="Arial" w:eastAsia="Arial" w:hAnsi="Arial"/>
          <w:sz w:val="15"/>
          <w:szCs w:val="15"/>
          <w:color w:val="auto"/>
        </w:rPr>
        <w:t>Stephen L. Green's amended and restated employment and non-competition agreement had an initial term commencing 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December 24, 2010 and ending on December 31, 2011, subject to automatic renewal for successive one-year periods unless either party delivers six months'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of non-renewal under the agreement. As neither party provided written notice of non-renewal prior to June 30, 2012, the term was automatically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extended through December 31, 2013. The agreement provides for an annual salary of no less than $750,000 from January 1, 2011 through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period, and such discretionary annual bonuses as we, in our sole discretion, may deem appropriate to reward Mr. Green for job performance.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to annual salary and bonuses, the agreement provides for annual contributions of notional stock units with a value equal to $150,000, on January 1st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year during the employment period, into a deferred compensation account maintained on Mr. Green's behalf, with vesting of each annual contribution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occurring on December 31st of that year subject to continued employment. Under the agreement, we are also obligated to maintain a life insurance policy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of Mr. Green's beneficiaries in the face amount of $5 million, or if not available at reasonable rates, to self-insure Mr. Green up to the maximum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payable under the agreement. The benefit payable under this policy to Mr. Green's beneficiaries will offset certain other benefits that would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provided to his estate under this agreement, as more fully described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Green's employment is terminated for any reason, under the agreement he will be subject to the following continuing obligations after termination:</w:t>
      </w:r>
    </w:p>
    <w:p>
      <w:pPr>
        <w:spacing w:after="0" w:line="38" w:lineRule="exact"/>
        <w:rPr>
          <w:sz w:val="20"/>
          <w:szCs w:val="20"/>
          <w:color w:val="auto"/>
        </w:rPr>
      </w:pPr>
    </w:p>
    <w:p>
      <w:pPr>
        <w:ind w:firstLine="8"/>
        <w:spacing w:after="0" w:line="292"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Green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2012, Mr. Green would have been entitled to the following payments and benefits:</w:t>
      </w:r>
    </w:p>
    <w:p>
      <w:pPr>
        <w:spacing w:after="0" w:line="184" w:lineRule="exact"/>
        <w:rPr>
          <w:rFonts w:ascii="Arial" w:cs="Arial" w:eastAsia="Arial" w:hAnsi="Arial"/>
          <w:sz w:val="16"/>
          <w:szCs w:val="16"/>
          <w:color w:val="auto"/>
        </w:rPr>
      </w:pPr>
    </w:p>
    <w:p>
      <w:pPr>
        <w:ind w:left="1080" w:hanging="532"/>
        <w:spacing w:after="0" w:line="283" w:lineRule="auto"/>
        <w:tabs>
          <w:tab w:leader="none" w:pos="108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the time-based vesting of the remaining unvested awards would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accelerated. The accelerated time-based vesting under the 2010 Notional Unit Plan would have resulted in Mr. Green receiving a total value of $5,035,905. With respect to Mr. Green's allocation under the 2011 Outperformance Plan, based on total return levels from plan inception through year-end 2012, an award would have been earned in connection with a December 31, 2012 Change-in-Control under the</w:t>
      </w:r>
    </w:p>
    <w:p>
      <w:pPr>
        <w:spacing w:after="0" w:line="2" w:lineRule="exact"/>
        <w:rPr>
          <w:rFonts w:ascii="Arial" w:cs="Arial" w:eastAsia="Arial" w:hAnsi="Arial"/>
          <w:sz w:val="16"/>
          <w:szCs w:val="16"/>
          <w:color w:val="auto"/>
        </w:rPr>
      </w:pPr>
    </w:p>
    <w:p>
      <w:pPr>
        <w:ind w:left="1080" w:right="20"/>
        <w:spacing w:after="0" w:line="286" w:lineRule="auto"/>
        <w:rPr>
          <w:rFonts w:ascii="Arial" w:cs="Arial" w:eastAsia="Arial" w:hAnsi="Arial"/>
          <w:sz w:val="16"/>
          <w:szCs w:val="16"/>
          <w:color w:val="auto"/>
        </w:rPr>
      </w:pPr>
      <w:r>
        <w:rPr>
          <w:rFonts w:ascii="Arial" w:cs="Arial" w:eastAsia="Arial" w:hAnsi="Arial"/>
          <w:sz w:val="16"/>
          <w:szCs w:val="16"/>
          <w:color w:val="auto"/>
        </w:rPr>
        <w:t>2011 Outperformance Plan in the amount of $423,655. Mr. Green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2012 Change-in-Control, Mr. Green's payments and benefits would not have been reduced as a result of this provision. In order to avoid creating an opportunity for a successor to induce Mr. Green to terminate his employment without Good Reason following a Change-in-Control, Mr. Green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would have received no payments or benefits.</w:t>
      </w:r>
    </w:p>
    <w:p>
      <w:pPr>
        <w:spacing w:after="0" w:line="238" w:lineRule="exact"/>
        <w:rPr>
          <w:rFonts w:ascii="Arial" w:cs="Arial" w:eastAsia="Arial" w:hAnsi="Arial"/>
          <w:sz w:val="18"/>
          <w:szCs w:val="18"/>
          <w:color w:val="auto"/>
        </w:rPr>
      </w:pPr>
    </w:p>
    <w:p>
      <w:pPr>
        <w:ind w:left="1080" w:right="100" w:hanging="532"/>
        <w:spacing w:after="0" w:line="301" w:lineRule="auto"/>
        <w:tabs>
          <w:tab w:leader="none" w:pos="1080" w:val="left"/>
        </w:tabs>
        <w:numPr>
          <w:ilvl w:val="1"/>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Green's employment agreement, Mr. Green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$9,802,084,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Green's employment was terminated (and the prior year if such bonus had not yet been determined) based on Mr. Green's Average Annual Cash Bonus. Under Mr. Green's employment agreement,</w:t>
      </w:r>
    </w:p>
    <w:p>
      <w:pPr>
        <w:spacing w:after="0" w:line="4" w:lineRule="exact"/>
        <w:rPr>
          <w:rFonts w:ascii="Arial" w:cs="Arial" w:eastAsia="Arial" w:hAnsi="Arial"/>
          <w:sz w:val="15"/>
          <w:szCs w:val="15"/>
          <w:color w:val="auto"/>
        </w:rPr>
      </w:pPr>
    </w:p>
    <w:p>
      <w:pPr>
        <w:ind w:left="1080" w:right="660"/>
        <w:spacing w:after="0" w:line="255" w:lineRule="auto"/>
        <w:rPr>
          <w:rFonts w:ascii="Arial" w:cs="Arial" w:eastAsia="Arial" w:hAnsi="Arial"/>
          <w:sz w:val="15"/>
          <w:szCs w:val="15"/>
          <w:color w:val="auto"/>
        </w:rPr>
      </w:pPr>
      <w:r>
        <w:rPr>
          <w:rFonts w:ascii="Arial" w:cs="Arial" w:eastAsia="Arial" w:hAnsi="Arial"/>
          <w:sz w:val="18"/>
          <w:szCs w:val="18"/>
          <w:color w:val="auto"/>
        </w:rPr>
        <w:t>Mr. Green also would have received his medical and welfare benefits for 12 months, the cost of which to us is projected to aggregate approximately $20,825. Under Mr. Green's employment agreement, all of his outstanding equity awards, other than those made under the 2010 Notional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02" w:lineRule="auto"/>
        <w:rPr>
          <w:sz w:val="20"/>
          <w:szCs w:val="20"/>
          <w:color w:val="auto"/>
        </w:rPr>
      </w:pPr>
      <w:r>
        <w:rPr>
          <w:rFonts w:ascii="Arial" w:cs="Arial" w:eastAsia="Arial" w:hAnsi="Arial"/>
          <w:sz w:val="15"/>
          <w:szCs w:val="15"/>
          <w:color w:val="auto"/>
        </w:rPr>
        <w:t>Unit Plan and the 2011 Outperformance Plan, and all of his outstanding unvested deferred compensation contributions would have fully vested upon termination. As Mr. Green did not have any such unvested equity awards or deferred compensation contributions, this acceleration of vesting would not have resulted in any additional value being received. Under the 2010 Notional Unit Plan and the 2011 Outperformance Plan, Mr. Green also would have 12 months of additional vesting for his awards under those plans. However, as the remaining unvested awards under the</w:t>
      </w:r>
    </w:p>
    <w:p>
      <w:pPr>
        <w:spacing w:after="0" w:line="3" w:lineRule="exact"/>
        <w:rPr>
          <w:sz w:val="20"/>
          <w:szCs w:val="20"/>
          <w:color w:val="auto"/>
        </w:rPr>
      </w:pPr>
    </w:p>
    <w:p>
      <w:pPr>
        <w:ind w:left="1080" w:right="140"/>
        <w:spacing w:after="0" w:line="254" w:lineRule="auto"/>
        <w:rPr>
          <w:sz w:val="20"/>
          <w:szCs w:val="20"/>
          <w:color w:val="auto"/>
        </w:rPr>
      </w:pPr>
      <w:r>
        <w:rPr>
          <w:rFonts w:ascii="Arial" w:cs="Arial" w:eastAsia="Arial" w:hAnsi="Arial"/>
          <w:sz w:val="18"/>
          <w:szCs w:val="18"/>
          <w:color w:val="auto"/>
        </w:rPr>
        <w:t>2010 Notional Unit Plan do not begin to vest until January 1, 2014 and awards under the 2011 Outperformance Plan do not begin to vest until August 31, 2014, Mr. Green would not have received any benefit from this 12 months of additional vesting. Mr. Green only would have been entitled to receive the severance payments, accelerated vesting and other benefits provided for in his employment agreement, as described above, if he executed a general release of claims with us.</w:t>
      </w:r>
    </w:p>
    <w:p>
      <w:pPr>
        <w:spacing w:after="0" w:line="211" w:lineRule="exact"/>
        <w:rPr>
          <w:sz w:val="20"/>
          <w:szCs w:val="20"/>
          <w:color w:val="auto"/>
        </w:rPr>
      </w:pPr>
    </w:p>
    <w:p>
      <w:pPr>
        <w:ind w:left="1080" w:right="20" w:hanging="532"/>
        <w:spacing w:after="0" w:line="302" w:lineRule="auto"/>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Green's employment agreement, if Mr. Green had been terminated by us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Cause or by Mr. Green for Good Reason in connection with or within 18 months after a Change-in-Control, Mr. Green would have received a cash severance payment of $20,504,168,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w:t>
      </w:r>
    </w:p>
    <w:p>
      <w:pPr>
        <w:spacing w:after="0" w:line="1" w:lineRule="exact"/>
        <w:rPr>
          <w:rFonts w:ascii="Arial" w:cs="Arial" w:eastAsia="Arial" w:hAnsi="Arial"/>
          <w:sz w:val="15"/>
          <w:szCs w:val="15"/>
          <w:color w:val="auto"/>
        </w:rPr>
      </w:pPr>
    </w:p>
    <w:p>
      <w:pPr>
        <w:ind w:left="1080" w:right="160"/>
        <w:spacing w:after="0" w:line="300" w:lineRule="auto"/>
        <w:rPr>
          <w:rFonts w:ascii="Arial" w:cs="Arial" w:eastAsia="Arial" w:hAnsi="Arial"/>
          <w:sz w:val="15"/>
          <w:szCs w:val="15"/>
          <w:color w:val="auto"/>
        </w:rPr>
      </w:pPr>
      <w:r>
        <w:rPr>
          <w:rFonts w:ascii="Arial" w:cs="Arial" w:eastAsia="Arial" w:hAnsi="Arial"/>
          <w:sz w:val="15"/>
          <w:szCs w:val="15"/>
          <w:color w:val="auto"/>
        </w:rPr>
        <w:t>Mr. Green also would have received his medical and welfare benefits for 24 months, the cost of which to us is projected to aggregate approximately $41,650. Mr. Green's equity awards and outstanding unvested deferred compensation contributions would have fully vested in the same manner as described in the preceding paragraph, except with respect to Mr. Green's awards under the 2010 Notional Unit Plan and the</w:t>
      </w:r>
    </w:p>
    <w:p>
      <w:pPr>
        <w:spacing w:after="0" w:line="1" w:lineRule="exact"/>
        <w:rPr>
          <w:rFonts w:ascii="Arial" w:cs="Arial" w:eastAsia="Arial" w:hAnsi="Arial"/>
          <w:sz w:val="15"/>
          <w:szCs w:val="15"/>
          <w:color w:val="auto"/>
        </w:rPr>
      </w:pPr>
    </w:p>
    <w:p>
      <w:pPr>
        <w:ind w:left="1080"/>
        <w:spacing w:after="0" w:line="281" w:lineRule="auto"/>
        <w:rPr>
          <w:rFonts w:ascii="Arial" w:cs="Arial" w:eastAsia="Arial" w:hAnsi="Arial"/>
          <w:sz w:val="15"/>
          <w:szCs w:val="15"/>
          <w:color w:val="auto"/>
        </w:rPr>
      </w:pPr>
      <w:r>
        <w:rPr>
          <w:rFonts w:ascii="Arial" w:cs="Arial" w:eastAsia="Arial" w:hAnsi="Arial"/>
          <w:sz w:val="16"/>
          <w:szCs w:val="16"/>
          <w:color w:val="auto"/>
        </w:rPr>
        <w:t>2011 Outperformance Plan. Under the 2010 Notional Unit Plan, the time-based vesting of the awards would have been accelerated. With respect to Mr. Green's allocation under the 2011 Outperformance Plan, based on total return levels from plan inception through year-end 2012, an award would have been earned in connection with a December 31, 2012 termination in connection with a Change-in-Control under the</w:t>
      </w:r>
    </w:p>
    <w:p>
      <w:pPr>
        <w:spacing w:after="0" w:line="2" w:lineRule="exact"/>
        <w:rPr>
          <w:rFonts w:ascii="Arial" w:cs="Arial" w:eastAsia="Arial" w:hAnsi="Arial"/>
          <w:sz w:val="15"/>
          <w:szCs w:val="15"/>
          <w:color w:val="auto"/>
        </w:rPr>
      </w:pPr>
    </w:p>
    <w:p>
      <w:pPr>
        <w:ind w:left="1080" w:right="120"/>
        <w:spacing w:after="0" w:line="300" w:lineRule="auto"/>
        <w:rPr>
          <w:rFonts w:ascii="Arial" w:cs="Arial" w:eastAsia="Arial" w:hAnsi="Arial"/>
          <w:sz w:val="15"/>
          <w:szCs w:val="15"/>
          <w:color w:val="auto"/>
        </w:rPr>
      </w:pPr>
      <w:r>
        <w:rPr>
          <w:rFonts w:ascii="Arial" w:cs="Arial" w:eastAsia="Arial" w:hAnsi="Arial"/>
          <w:sz w:val="15"/>
          <w:szCs w:val="15"/>
          <w:color w:val="auto"/>
        </w:rPr>
        <w:t>2011 Outperformance Plan. The combination of the accelerated vesting under Mr. Green's employment agreement and 2010 Notional Unit Plan and the earning of an award under the 2011 Outperformance Plan results in total value of $5,459,560. Under Mr. Green's employment agreement, in the event that any payment or benefit constitutes an excess "parachute payment" under Section 280G of the IRC subject to an excise tax,</w:t>
      </w:r>
    </w:p>
    <w:p>
      <w:pPr>
        <w:spacing w:after="0" w:line="1" w:lineRule="exact"/>
        <w:rPr>
          <w:rFonts w:ascii="Arial" w:cs="Arial" w:eastAsia="Arial" w:hAnsi="Arial"/>
          <w:sz w:val="15"/>
          <w:szCs w:val="15"/>
          <w:color w:val="auto"/>
        </w:rPr>
      </w:pPr>
    </w:p>
    <w:p>
      <w:pPr>
        <w:ind w:left="1080" w:right="60"/>
        <w:spacing w:after="0" w:line="302" w:lineRule="auto"/>
        <w:rPr>
          <w:rFonts w:ascii="Arial" w:cs="Arial" w:eastAsia="Arial" w:hAnsi="Arial"/>
          <w:sz w:val="15"/>
          <w:szCs w:val="15"/>
          <w:color w:val="auto"/>
        </w:rPr>
      </w:pPr>
      <w:r>
        <w:rPr>
          <w:rFonts w:ascii="Arial" w:cs="Arial" w:eastAsia="Arial" w:hAnsi="Arial"/>
          <w:sz w:val="16"/>
          <w:szCs w:val="16"/>
          <w:color w:val="auto"/>
        </w:rPr>
        <w:t>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2012 Change-in-Control, Mr. Green's payments and benefits would not have been reduced as a result of this provision.</w:t>
      </w:r>
    </w:p>
    <w:p>
      <w:pPr>
        <w:spacing w:after="0" w:line="190" w:lineRule="exact"/>
        <w:rPr>
          <w:rFonts w:ascii="Arial" w:cs="Arial" w:eastAsia="Arial" w:hAnsi="Arial"/>
          <w:sz w:val="15"/>
          <w:szCs w:val="15"/>
          <w:color w:val="auto"/>
        </w:rPr>
      </w:pPr>
    </w:p>
    <w:p>
      <w:pPr>
        <w:ind w:left="1080" w:hanging="532"/>
        <w:spacing w:after="0" w:line="312" w:lineRule="auto"/>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disability. </w:t>
      </w:r>
      <w:r>
        <w:rPr>
          <w:rFonts w:ascii="Arial" w:cs="Arial" w:eastAsia="Arial" w:hAnsi="Arial"/>
          <w:sz w:val="15"/>
          <w:szCs w:val="15"/>
          <w:color w:val="auto"/>
        </w:rPr>
        <w:t>Under Mr. Green's employment agreement, Mr. Green would have received a cash severance payment of $9,802,084,</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 Mr. Green also would have continued to receive his medical and welfare benefits for 36 months, the cost of which to us is projected to aggregate approximately $62,475. Mr. Green also would have received 24 months of additional vesting for his outstanding equity awards, other than awards made under the 2010 Notional Unit Plan and the 2011 Outperformance Plan, and full vesting for his stock options, equity awards granted in lieu of cash bonuses and any unvested deferred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3" w:lineRule="auto"/>
        <w:rPr>
          <w:sz w:val="20"/>
          <w:szCs w:val="20"/>
          <w:color w:val="auto"/>
        </w:rPr>
      </w:pPr>
      <w:r>
        <w:rPr>
          <w:rFonts w:ascii="Arial" w:cs="Arial" w:eastAsia="Arial" w:hAnsi="Arial"/>
          <w:sz w:val="18"/>
          <w:szCs w:val="18"/>
          <w:color w:val="auto"/>
        </w:rPr>
        <w:t>compensation contributions. Under the 2010 Notional Unit Plan, the time-based vesting of the award would have been accelerated. With respect to Mr. Green's allocation under the 2011 Outperformance Plan, based on total return levels from plan inception through year-end 2012, an award would have been earned in connection with a December 31, 2012 termination upon a disability under the 2011 Outperformance Plan. The combination of the accelerated vesting under Mr. Green's employment agreement and 2010 Notional Unit Plan and the earning of an award under the 2011 Outperformance Plan results in total value of $5,459,560. Mr. Green only would have been entitled to receive the severance payments, accelerated vesting and other benefits provided for in his employment agreement, as described above, if he had executed a general release of claims with us.</w:t>
      </w:r>
    </w:p>
    <w:p>
      <w:pPr>
        <w:spacing w:after="0" w:line="215" w:lineRule="exact"/>
        <w:rPr>
          <w:sz w:val="20"/>
          <w:szCs w:val="20"/>
          <w:color w:val="auto"/>
        </w:rPr>
      </w:pPr>
    </w:p>
    <w:p>
      <w:pPr>
        <w:ind w:left="1080" w:hanging="532"/>
        <w:spacing w:after="0" w:line="28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Green's employment agreement, Mr. Green's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his pro rata bonus for the year in which his employment was terminated (and the prior year if such bonus had not yet been determined) based on his Average Annual Cash Bonus, (ii) 24 months of additional vesting for his outstanding equity awards, other than awards made under the</w:t>
      </w:r>
    </w:p>
    <w:p>
      <w:pPr>
        <w:spacing w:after="0" w:line="1" w:lineRule="exact"/>
        <w:rPr>
          <w:rFonts w:ascii="Arial" w:cs="Arial" w:eastAsia="Arial" w:hAnsi="Arial"/>
          <w:sz w:val="16"/>
          <w:szCs w:val="16"/>
          <w:color w:val="auto"/>
        </w:rPr>
      </w:pPr>
    </w:p>
    <w:p>
      <w:pPr>
        <w:ind w:left="1080" w:right="20"/>
        <w:spacing w:after="0" w:line="286" w:lineRule="auto"/>
        <w:rPr>
          <w:rFonts w:ascii="Arial" w:cs="Arial" w:eastAsia="Arial" w:hAnsi="Arial"/>
          <w:sz w:val="16"/>
          <w:szCs w:val="16"/>
          <w:color w:val="auto"/>
        </w:rPr>
      </w:pPr>
      <w:r>
        <w:rPr>
          <w:rFonts w:ascii="Arial" w:cs="Arial" w:eastAsia="Arial" w:hAnsi="Arial"/>
          <w:sz w:val="16"/>
          <w:szCs w:val="16"/>
          <w:color w:val="auto"/>
        </w:rPr>
        <w:t>2010 Notional Unit Plan and the 2011 Outperformance Plan, and (iii) full vesting for his equity awards granted in lieu of cash bonuses and his outstanding unvested deferred compensation contributions. Under the general terms of our equity plans, all of the stock options granted to Mr. Green would have fully vested. Under the 2010 Notional Unit Plan, the time-based vesting of the award would have been accelerated. With respect to Mr. Green's allocation under the 2011 Outperformance Plan, based on total return levels from plan inception through year-end 2012, an award would have been earned in connection with a December 31, 2012 termination upon death under the 2011 Outperformance Plan. However, notwithstanding the foregoing, Mr. Green's estate only would have been entitled to receive the pro rata bonus, vesting credit, payments and other benefits described above to the extent that the aggregate value of such pro rata bonus, vesting credit, payments and other benefits exceeds the amount payable to Mr. Green's beneficiaries under the life insurance policy, or self-insurance, maintained by us. As we maintained a life insurance policy for the benefit of Mr. Green's beneficiaries in the face amount of $5 million as of December 31, 2012, the aggregate value that Mr. Green's estate would have received with respect to the pro rata bonus, vesting credit, payments and other benefits described above would have been $459,560, which equals the amount by which their value exceeded $5 million.</w:t>
      </w:r>
    </w:p>
    <w:p>
      <w:pPr>
        <w:spacing w:after="0" w:line="16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Marc Holliday's amended and restated employment and non-competition agreement had an initial term commencing on January 1, 2010</w:t>
      </w:r>
      <w:r>
        <w:rPr>
          <w:rFonts w:ascii="Arial" w:cs="Arial" w:eastAsia="Arial" w:hAnsi="Arial"/>
          <w:sz w:val="16"/>
          <w:szCs w:val="16"/>
          <w:b w:val="1"/>
          <w:bCs w:val="1"/>
          <w:color w:val="auto"/>
        </w:rPr>
        <w:t xml:space="preserve"> </w:t>
      </w:r>
      <w:r>
        <w:rPr>
          <w:rFonts w:ascii="Arial" w:cs="Arial" w:eastAsia="Arial" w:hAnsi="Arial"/>
          <w:sz w:val="16"/>
          <w:szCs w:val="16"/>
          <w:color w:val="auto"/>
        </w:rPr>
        <w:t>and ending on January 17, 2013, subject to automatic renewal for successive one-year periods unless either party delivers six months' prior written notice of non-renewal under the agreement; provided, in the event that Mr. Holliday gives prior written notice of non-renewal, the Company, in its sole discretion, may extend the current term or a renewal term by 90 days (such extension, the "Extension Period"), upon written notice to Mr. Holliday at least 120 days before the end of the current term or such renewal term, as applicable. As neither party provided written notice of non-renewal prior to the applicable deadline, the term was automatically extended through January 17, 2014. The agreement provides for an annual salary of no less than $1,000,000 from January 1, 2011 through the end of the employment period, and such discretionary annual bonuses as we, in our sole discretion, may deem appropriate to reward Mr. Holliday for job performance. In addition to annual salary and bonuses, the agreement provides for (i) annual contributions of notional stock units with a value equal to $450,000, on January 18th of each year during the employment period (but excluding the Extension Period), into a deferred compensation account maintained on</w:t>
      </w:r>
    </w:p>
    <w:p>
      <w:pPr>
        <w:spacing w:after="0" w:line="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Mr. Holliday's behalf, with vesting of each annual contribution occurring on January 17th of the following year subject to continued employment and (ii) a grant of an award under the 2010 Notional Unit Plan equal to at least 20% of the total units available under such plan. The agreement also contemplated that we would grant 300,000 restricted stock units to Mr. Holliday on January 1, 2010, with 200,000 of such units subject to time-based vesting occurring in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three equal annual installments on January 17th of each of 2011, 2012 and 2013, and 100,000 of such units subject to performance-based vesting occurring in three equal annual installments on January 17th of each of 2011, 2012 and 2013. The vesting each year for the performance-based restricted stock units was to be based on the achievement of any of the following financial performance goals during the prior year (or on a cumulative basis beginning with 2010 (or 2009, with respect to stock price appreciation relative to our peers)): (i) 7% or greater increase in funds from operations on a per-share basis (with 2010 being measured against results from the third and fourth quarters of 2009 annualized), (ii) 7% or greater stock price appreciation or (iii) stock price appreciation or percentage increase in funds from operations in the top one-third of a peer group of companies determined each year by our Compensation Committee. On January 1, 2010, we granted restricted stock units to Mr. Holliday on the terms contemplated by the agreement. During February 2012, the remaining unvested restricted stock units were replaced with LTIP Units equal in number to the unvested restricted stock units and subject to the same vesting requirements as the restricted stock units. Under the agreement, we are also obligated to maintain a life insurance policy for the benefit of Mr. Holliday's beneficiaries in the face amount of</w:t>
      </w:r>
    </w:p>
    <w:p>
      <w:pPr>
        <w:spacing w:after="0" w:line="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$10 million, or if not available at reasonable rates, to self-insure Mr. Holliday up to the maximum cash severance payable under the agreement. The benefit payable under this policy to Mr. Holliday's beneficiaries will offset certain other benefits that would otherwise be provided to his estate under this agreement, as more fully described below.</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Holliday's employment is terminated for any reason, under the agreement he will be subject to the following continuing obligations after termination:</w:t>
      </w:r>
    </w:p>
    <w:p>
      <w:pPr>
        <w:spacing w:after="0" w:line="38" w:lineRule="exact"/>
        <w:rPr>
          <w:sz w:val="20"/>
          <w:szCs w:val="20"/>
          <w:color w:val="auto"/>
        </w:rPr>
      </w:pPr>
    </w:p>
    <w:p>
      <w:pPr>
        <w:ind w:right="60" w:firstLine="8"/>
        <w:spacing w:after="0" w:line="252" w:lineRule="auto"/>
        <w:tabs>
          <w:tab w:leader="none" w:pos="2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2012, Mr. Holliday would have been entitled to the following payments and benefits:</w:t>
      </w:r>
    </w:p>
    <w:p>
      <w:pPr>
        <w:spacing w:after="0" w:line="215" w:lineRule="exact"/>
        <w:rPr>
          <w:rFonts w:ascii="Arial" w:cs="Arial" w:eastAsia="Arial" w:hAnsi="Arial"/>
          <w:sz w:val="18"/>
          <w:szCs w:val="18"/>
          <w:color w:val="auto"/>
        </w:rPr>
      </w:pPr>
    </w:p>
    <w:p>
      <w:pPr>
        <w:ind w:left="1080" w:right="40" w:hanging="532"/>
        <w:spacing w:after="0" w:line="301" w:lineRule="auto"/>
        <w:tabs>
          <w:tab w:leader="none" w:pos="1080" w:val="left"/>
        </w:tabs>
        <w:numPr>
          <w:ilvl w:val="1"/>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Change-in-Control without termination. </w:t>
      </w:r>
      <w:r>
        <w:rPr>
          <w:rFonts w:ascii="Arial" w:cs="Arial" w:eastAsia="Arial" w:hAnsi="Arial"/>
          <w:sz w:val="15"/>
          <w:szCs w:val="15"/>
          <w:color w:val="auto"/>
        </w:rPr>
        <w:t>Under the 2010 Notional Unit Plan, the time-based vesting of the award would have been accelerated.</w:t>
      </w:r>
      <w:r>
        <w:rPr>
          <w:rFonts w:ascii="Arial" w:cs="Arial" w:eastAsia="Arial" w:hAnsi="Arial"/>
          <w:sz w:val="15"/>
          <w:szCs w:val="15"/>
          <w:i w:val="1"/>
          <w:iCs w:val="1"/>
          <w:color w:val="auto"/>
        </w:rPr>
        <w:t xml:space="preserve"> </w:t>
      </w:r>
      <w:r>
        <w:rPr>
          <w:rFonts w:ascii="Arial" w:cs="Arial" w:eastAsia="Arial" w:hAnsi="Arial"/>
          <w:sz w:val="15"/>
          <w:szCs w:val="15"/>
          <w:color w:val="auto"/>
        </w:rPr>
        <w:t>The accelerated time-based vesting under the 2010 Notional Unit Plan would have resulted in Mr. Holliday receiving a total value of $9,513,721. With respect to Mr. Holliday's allocation under the 2011 Outperformance Plan, based on total return levels from plan inception through year-end 2012, an award would have been earned in connection with a December 31, 2012 Change-in-Control under the 2011 Outperformance Plan in the amount of $960,426. Mr. Holliday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Holliday will not be entitled to a tax gross-up payment; however,</w:t>
      </w:r>
    </w:p>
    <w:p>
      <w:pPr>
        <w:spacing w:after="0" w:line="4" w:lineRule="exact"/>
        <w:rPr>
          <w:rFonts w:ascii="Arial" w:cs="Arial" w:eastAsia="Arial" w:hAnsi="Arial"/>
          <w:sz w:val="15"/>
          <w:szCs w:val="15"/>
          <w:color w:val="auto"/>
        </w:rPr>
      </w:pPr>
    </w:p>
    <w:p>
      <w:pPr>
        <w:jc w:val="both"/>
        <w:ind w:left="1080" w:right="160"/>
        <w:spacing w:after="0" w:line="255" w:lineRule="auto"/>
        <w:rPr>
          <w:rFonts w:ascii="Arial" w:cs="Arial" w:eastAsia="Arial" w:hAnsi="Arial"/>
          <w:sz w:val="15"/>
          <w:szCs w:val="15"/>
          <w:color w:val="auto"/>
        </w:rPr>
      </w:pPr>
      <w:r>
        <w:rPr>
          <w:rFonts w:ascii="Arial" w:cs="Arial" w:eastAsia="Arial" w:hAnsi="Arial"/>
          <w:sz w:val="18"/>
          <w:szCs w:val="18"/>
          <w:color w:val="auto"/>
        </w:rPr>
        <w:t>Mr. Holliday's payments and benefits would be reduced to the extent necessary to avoid such excise taxes, but only if such a reduction of pay or benefits would result in a greater after-tax benefit to Mr. Holliday. Based on an assumed December 31, 2012 Change-in-Control, Mr. Holliday's payments and benefits would not have been reduced as a result of this provision.</w:t>
      </w:r>
    </w:p>
    <w:p>
      <w:pPr>
        <w:spacing w:after="0" w:line="225" w:lineRule="exact"/>
        <w:rPr>
          <w:rFonts w:ascii="Arial" w:cs="Arial" w:eastAsia="Arial" w:hAnsi="Arial"/>
          <w:sz w:val="15"/>
          <w:szCs w:val="15"/>
          <w:color w:val="auto"/>
        </w:rPr>
      </w:pPr>
    </w:p>
    <w:p>
      <w:pPr>
        <w:ind w:left="1080" w:hanging="532"/>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would have received no payments or benefits.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or for Good Reason. </w:t>
      </w:r>
      <w:r>
        <w:rPr>
          <w:rFonts w:ascii="Arial" w:cs="Arial" w:eastAsia="Arial" w:hAnsi="Arial"/>
          <w:sz w:val="18"/>
          <w:szCs w:val="18"/>
          <w:color w:val="auto"/>
        </w:rPr>
        <w:t>Under Mr. Holliday's employment agreement, Mr. Holliday would have received a cash</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 of $14,862,500, which is equal to the sum of (i) his average annual base salary in effect during the preceding 24 months, or his Average Annual Base Salary, plus (ii) a bonus equal to the average bonuses (including any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equity awarded as bonus) paid to him for the two most recently completed fiscal years, or his Average Annual Cash Bonus, plus (iii) his average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annual deferred compensation contribution during the preceding 24 months, calculated based on the cash value of the annual deferred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compensation contributions as of the dates of such contributions, or his Average Deferred Compensation, plus (iv) a pro rata bonus for the year in</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which Mr. Holliday's employment was terminated (and the prior year if such bonus had not yet been determined) based on Mr. Holliday's Average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Annual Cash Bonus. Under Mr. Holliday's employment agreement, Mr. Holliday also would have received his medical and welfare benefits for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12 months, the cost of which to us is projected to aggregate approximately $20,671. Under Mr. Holliday's employment agreement, all of his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outstanding equity awards, other than those made under the 2010 Notional Unit Plan and the 2011 Outperformance Plan, and all of his outstanding</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unvested deferred compensation contributions would have fully vested upon termination. The accelerated vesting results in total value of</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$8,115,000. Under the 2010 Notional Unit Plan and the 2011 Outperformance Plan, Mr. Holliday also would have 12 months of additional vesting</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for his awards under those plans. However, as the remaining unvested awards under the 2010 Notional Unit Plan do not begin to vest until</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January 1, 2014 and awards under the 2011 Outperformance Plan do not begin to vest until August 31, 2014, Mr. Holliday would not have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received any benefit from this 12 months of additional vesting. Mr. Holliday only would have been entitled to receive the severance payments,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accelerated vesting and other benefits provided for in his employment agreement, as described above, if he executed a general release of claims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us.</w:t>
      </w:r>
    </w:p>
    <w:p>
      <w:pPr>
        <w:spacing w:after="0" w:line="232" w:lineRule="exact"/>
        <w:rPr>
          <w:sz w:val="20"/>
          <w:szCs w:val="20"/>
          <w:color w:val="auto"/>
        </w:rPr>
      </w:pPr>
    </w:p>
    <w:p>
      <w:pPr>
        <w:ind w:left="1080" w:right="60" w:hanging="532"/>
        <w:spacing w:after="0" w:line="28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Holliday for Good Reason in connection with or within 18 months after a Change-in-Control, Mr. Holliday would have received a cash severance payment of $31,175,000,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received his medical and welfare benefits for 24 months, the cost of which to us is projected to aggregate approximately $41,341. Mr. Holliday's equity awards and outstanding unvested deferred compensation contributions would have fully vested in the same manner as described in the preceding paragraph, except with respect to Mr. Holliday's awards under the</w:t>
      </w:r>
    </w:p>
    <w:p>
      <w:pPr>
        <w:spacing w:after="0" w:line="5" w:lineRule="exact"/>
        <w:rPr>
          <w:rFonts w:ascii="Arial" w:cs="Arial" w:eastAsia="Arial" w:hAnsi="Arial"/>
          <w:sz w:val="16"/>
          <w:szCs w:val="16"/>
          <w:color w:val="auto"/>
        </w:rPr>
      </w:pPr>
    </w:p>
    <w:p>
      <w:pPr>
        <w:ind w:left="1080"/>
        <w:spacing w:after="0" w:line="286" w:lineRule="auto"/>
        <w:rPr>
          <w:rFonts w:ascii="Arial" w:cs="Arial" w:eastAsia="Arial" w:hAnsi="Arial"/>
          <w:sz w:val="16"/>
          <w:szCs w:val="16"/>
          <w:color w:val="auto"/>
        </w:rPr>
      </w:pPr>
      <w:r>
        <w:rPr>
          <w:rFonts w:ascii="Arial" w:cs="Arial" w:eastAsia="Arial" w:hAnsi="Arial"/>
          <w:sz w:val="16"/>
          <w:szCs w:val="16"/>
          <w:color w:val="auto"/>
        </w:rPr>
        <w:t>2010 Notional Unit Plan and the 2011 Outperformance Plan. Under the 2010 Notional Unit Plan, the time-based vesting of the award under the 2010 Notional Unit Plan would have been accelerated. With respect to Mr. Holliday's allocation under the 2011 Outperformance Plan, based on total return levels from plan inception through year-end 2012, an award would have been earned in connection with a December 31, 2012 termination in connection with a Change-in-Control under the 2011 Outperformance Plan. The combination of the accelerated vesting under Mr. Holliday's employment agreement and the 2010 Notional Unit Plan and the earning of an award under the 2011 Outperformance Plan results in total value of $18,589,148. Under Mr. Holliday's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 Based on an assumed December 31, 2012 Change-in-Control, Mr. Holliday's payments and benefits would not have been reduced as a result of this provision.</w:t>
      </w:r>
    </w:p>
    <w:p>
      <w:pPr>
        <w:spacing w:after="0" w:line="20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upon disability. </w:t>
      </w:r>
      <w:r>
        <w:rPr>
          <w:rFonts w:ascii="Arial" w:cs="Arial" w:eastAsia="Arial" w:hAnsi="Arial"/>
          <w:sz w:val="18"/>
          <w:szCs w:val="18"/>
          <w:color w:val="auto"/>
        </w:rPr>
        <w:t>Under Mr. Holliday's employment agreement, Mr. Holliday would have received a cash severance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$14,862,500, which is equal to the sum of (i) the sum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continued to receive his medical and welfare benefits for 36 months, the cost of which to us is projected to aggregate approximately $62,012. Mr. Holliday also would have received 24 months of additional vesting for his outstanding equity awards, other than awards made under the 2010 Notional Unit Plan and the 2011 Outperformance Plan, and full vesting for his stock options, equity awards granted in lieu of cash bonuses and any unvested deferred compensation contributions. Under the 2010 Notional Unit Plan, the time-based vesting of the award under would have been accelerated. With respect to Mr. Holliday's allocation under the 2011 Outperformance Plan, based on total return levels from plan inception through year-end 2012, an award would have been earned in connection with a December 31, 2012 termination upon a disability under the 2011 Outperformance Plan. The combination of the accelerated time-based vesting under Mr. Holliday's employment agreement and the 2010 Notional Unit Plan and earning of an award under the 2011 Outperformance Plan results in total value of $18,589,148. Mr. Holliday only would have been entitled to receive the severance payments, accelerated vesting and other benefits provided for in his employment agreement, as described above, if he had executed a general release of claims with us.</w:t>
      </w:r>
    </w:p>
    <w:p>
      <w:pPr>
        <w:spacing w:after="0" w:line="188" w:lineRule="exact"/>
        <w:rPr>
          <w:sz w:val="20"/>
          <w:szCs w:val="20"/>
          <w:color w:val="auto"/>
        </w:rPr>
      </w:pPr>
    </w:p>
    <w:p>
      <w:pPr>
        <w:ind w:left="1080" w:right="80" w:hanging="532"/>
        <w:spacing w:after="0" w:line="283"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Holliday's employment agreement, Mr. Holliday's estate would have received (i)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the prior year if such bonus had not yet been determined) based on his Average Annual Cash Bonus, (ii) 24 months of additional vesting for his outstanding equity awards, other than awards made under the 2010 Notional Unit Plan and the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60"/>
        <w:spacing w:after="0" w:line="286" w:lineRule="auto"/>
        <w:rPr>
          <w:rFonts w:ascii="Arial" w:cs="Arial" w:eastAsia="Arial" w:hAnsi="Arial"/>
          <w:sz w:val="16"/>
          <w:szCs w:val="16"/>
          <w:color w:val="auto"/>
        </w:rPr>
      </w:pPr>
      <w:r>
        <w:rPr>
          <w:rFonts w:ascii="Arial" w:cs="Arial" w:eastAsia="Arial" w:hAnsi="Arial"/>
          <w:sz w:val="16"/>
          <w:szCs w:val="16"/>
          <w:color w:val="auto"/>
        </w:rPr>
        <w:t>Mr. Holliday would have fully vested. Under the 2010 Notional Unit Plan, the time-based vesting of the award would have been accelerated. With respect to Mr. Holliday's allocation under the 2011 Outperformance Plan, based on total return levels from plan inception through year-end 2012, an award would have been earned in connection with a December 31, 2012 termination upon death under the 2011 Outperformance Plan. The time-based vesting of Mr. Holliday's awards under the 2011 Outperformance Plan also would have fully vested. However, notwithstanding the foregoing, Mr. Holliday's estate only would have been entitled to receive the pro rata bonus, vesting credit, payments and other benefits described above to the extent that the aggregate value of such pro rata bonus, vesting credit, payments and other benefits exceeds the amount payable to Mr. Holliday's beneficiaries under the life insurance policy, or self-insurance, maintained by us. As we maintained a life insurance policy for the benefit of Mr. Holliday's beneficiaries in the face amount of $10 million as of December 31, 2012, the aggregate value that Mr. Holliday's estate would have received with respect to the pro rata bonus, vesting credit, payments and other benefits described above would have been $8,589,148, which equals the amount by which their value exceeded $10 million.</w:t>
      </w:r>
    </w:p>
    <w:p>
      <w:pPr>
        <w:spacing w:after="0" w:line="172"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employment and non-competition agreement has a term commencing on January 1, 2011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December 31, 2013, which will automatically renew for successive one-year periods unless either party delivers six months' prior written notice of non-renewal under the agreement; provided, in the event that Mr. Mathias gives prior written notice of non-renewal, the Company, in its sole discretion, may extend the current term or a renewal term by 90 days (such extension, the "Extension Period"), upon written notice to Mr. Mathias at least 120 days before the end of the current term or such renewal term, as applicable. The agreement provides for an annual salary of no less than $750,000 during the employment period,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discretionary annual bonuses as we, in our sole discretion, may deem appropriate to reward Mr. Mathias for his job performance. Under the agreement, Mr. Mathias was also entitled to receive a one-time grant of 8,000 shares of unrestricted common stock. In addition to annual salary and bonuses, the agreement provides for annual contributions of notional stock units with a value equal to $350,000, on January 1st of each year during the employment period (but excluding the Extension Period), into a deferred compensation account maintained on Mr. Mathias' behalf, with vesting of each annual contribution occurring on December 31st of that year subject to continued employment. The agreement also provided that Good Reason would exist if we did not grant Mr. Mathias (1) a restricted stock award for 100,000 shares of common stock subject to time-based vesting occurring in three equal annual installments on December 31st of each of 2011, 2012 and 2013, and (2) a restricted stock unit award for 50,000 units subject to performance-based vesting, based on the goals described below, occurring in three equal annual installments on December 31st of each of 2011, 2012 and 2013. The vesting each year for the performance-based restricted stock units was to be based on the achievement of any of the following financial performance goals during the prior year (or on a cumulative basis beginning with 2011 (or 2010, with respect to stock price appreciation relative to our peers)): (i) 7% or greater increase in funds from operations on a per-share basis, (ii) 7% or greater stock price appreciation or (iii) stock price appreciation or percentage increase in funds from operations in the top one-third of a peer group of companies determined each year by our Compensation Committee. On January 6, 2011, we granted the restricted stock and restricted stock units to Mr. Mathias on the terms described above. During February 2012, the remaining unvested restricted stock and restricted stock units were replaced with LTIP Units equal in number to the unvested restricted stock units and restricted stock and subject to the same vesting requirements as the restricted stock units and restricted stock that the LTIP Units replaced.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Mathias' employment is terminated for any reason, under the agreement he will be subject to the following continuing obligations after termination:</w:t>
      </w:r>
    </w:p>
    <w:p>
      <w:pPr>
        <w:spacing w:after="0" w:line="38" w:lineRule="exact"/>
        <w:rPr>
          <w:sz w:val="20"/>
          <w:szCs w:val="20"/>
          <w:color w:val="auto"/>
        </w:rPr>
      </w:pPr>
    </w:p>
    <w:p>
      <w:pPr>
        <w:ind w:right="100" w:firstLine="8"/>
        <w:spacing w:after="0" w:line="252"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Mathias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2012, Mr. Mathias would have been entitled to the following payments and benefits:</w:t>
      </w:r>
    </w:p>
    <w:p>
      <w:pPr>
        <w:spacing w:after="0" w:line="215" w:lineRule="exact"/>
        <w:rPr>
          <w:rFonts w:ascii="Arial" w:cs="Arial" w:eastAsia="Arial" w:hAnsi="Arial"/>
          <w:sz w:val="18"/>
          <w:szCs w:val="18"/>
          <w:color w:val="auto"/>
        </w:rPr>
      </w:pPr>
    </w:p>
    <w:p>
      <w:pPr>
        <w:ind w:left="1080" w:right="80" w:hanging="532"/>
        <w:spacing w:after="0" w:line="301" w:lineRule="auto"/>
        <w:tabs>
          <w:tab w:leader="none" w:pos="1080" w:val="left"/>
        </w:tabs>
        <w:numPr>
          <w:ilvl w:val="1"/>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Change-in-Control without termination. </w:t>
      </w:r>
      <w:r>
        <w:rPr>
          <w:rFonts w:ascii="Arial" w:cs="Arial" w:eastAsia="Arial" w:hAnsi="Arial"/>
          <w:sz w:val="15"/>
          <w:szCs w:val="15"/>
          <w:color w:val="auto"/>
        </w:rPr>
        <w:t>Under the 2010 Notional Unit Plan, the time-based vesting of the award would have been accelerated.</w:t>
      </w:r>
      <w:r>
        <w:rPr>
          <w:rFonts w:ascii="Arial" w:cs="Arial" w:eastAsia="Arial" w:hAnsi="Arial"/>
          <w:sz w:val="15"/>
          <w:szCs w:val="15"/>
          <w:i w:val="1"/>
          <w:iCs w:val="1"/>
          <w:color w:val="auto"/>
        </w:rPr>
        <w:t xml:space="preserve"> </w:t>
      </w:r>
      <w:r>
        <w:rPr>
          <w:rFonts w:ascii="Arial" w:cs="Arial" w:eastAsia="Arial" w:hAnsi="Arial"/>
          <w:sz w:val="15"/>
          <w:szCs w:val="15"/>
          <w:color w:val="auto"/>
        </w:rPr>
        <w:t>The accelerated time-based vesting under the 2010 Notional Unit Plan would have resulted in Mr. Mathias receiving a total value of $8,393,175. With respect to Mr. Mathias' allocation under the 2011 Outperformance Plan, based on total return levels from plan inception through year-end 2012, an award would have been earned in connection with a December 31, 2012 Change-in-Control under the 2011 Outperformance Plan in the amount of $677,848. Mr. Mathias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Mathias will not be entitled to a tax gross-up payment; however,</w:t>
      </w:r>
    </w:p>
    <w:p>
      <w:pPr>
        <w:spacing w:after="0" w:line="4" w:lineRule="exact"/>
        <w:rPr>
          <w:rFonts w:ascii="Arial" w:cs="Arial" w:eastAsia="Arial" w:hAnsi="Arial"/>
          <w:sz w:val="15"/>
          <w:szCs w:val="15"/>
          <w:color w:val="auto"/>
        </w:rPr>
      </w:pPr>
    </w:p>
    <w:p>
      <w:pPr>
        <w:ind w:left="1080" w:right="320"/>
        <w:spacing w:after="0" w:line="255" w:lineRule="auto"/>
        <w:rPr>
          <w:rFonts w:ascii="Arial" w:cs="Arial" w:eastAsia="Arial" w:hAnsi="Arial"/>
          <w:sz w:val="15"/>
          <w:szCs w:val="15"/>
          <w:color w:val="auto"/>
        </w:rPr>
      </w:pPr>
      <w:r>
        <w:rPr>
          <w:rFonts w:ascii="Arial" w:cs="Arial" w:eastAsia="Arial" w:hAnsi="Arial"/>
          <w:sz w:val="18"/>
          <w:szCs w:val="18"/>
          <w:color w:val="auto"/>
        </w:rPr>
        <w:t>Mr. Mathias' payments and benefits would be reduced to the extent necessary to avoid such excise taxes, but only if such a reduction of pay or benefits would result in a greater after-tax benefit to Mr. Mathias. Based on an assumed December 31, 2012 Change-in-Control, Mr. Mathias' payments and benefits would not have been reduced as a result of this provision.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would have received no payments or benefits.</w:t>
      </w:r>
    </w:p>
    <w:p>
      <w:pPr>
        <w:spacing w:after="0" w:line="252"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Mathias' employment agreement, Mr. Mathias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$9,987,500,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Mathias' employment was terminated (and the prior year if such bonus had not yet been determined) based on Mr. Mathias' Average Annual Cash Bonus. Under Mr. Mathias' employment agreement,</w:t>
      </w:r>
    </w:p>
    <w:p>
      <w:pPr>
        <w:spacing w:after="0" w:line="4" w:lineRule="exact"/>
        <w:rPr>
          <w:rFonts w:ascii="Arial" w:cs="Arial" w:eastAsia="Arial" w:hAnsi="Arial"/>
          <w:sz w:val="15"/>
          <w:szCs w:val="15"/>
          <w:color w:val="auto"/>
        </w:rPr>
      </w:pPr>
    </w:p>
    <w:p>
      <w:pPr>
        <w:ind w:left="1080" w:right="20"/>
        <w:spacing w:after="0" w:line="287" w:lineRule="auto"/>
        <w:rPr>
          <w:rFonts w:ascii="Arial" w:cs="Arial" w:eastAsia="Arial" w:hAnsi="Arial"/>
          <w:sz w:val="15"/>
          <w:szCs w:val="15"/>
          <w:color w:val="auto"/>
        </w:rPr>
      </w:pPr>
      <w:r>
        <w:rPr>
          <w:rFonts w:ascii="Arial" w:cs="Arial" w:eastAsia="Arial" w:hAnsi="Arial"/>
          <w:sz w:val="16"/>
          <w:szCs w:val="16"/>
          <w:color w:val="auto"/>
        </w:rPr>
        <w:t>Mr. Mathias also would have received his medical and welfare benefits for 12 months, the cost of which to us is projected to aggregate approximately $21,407. Under Mr. Mathias' employment agreement, all of his outstanding equity awards, other than those made under the 2010 Notional Unit Plan and the 2011 Outperformance Plan, and all of his outstanding unvested deferred compensation contributions would have fully vested upon termination. The accelerated vesting results in total value of $3,832,500. Under the 2010 Notional Unit Plan and the 2011 Outperformance Plan, Mr. Mathias also would have 12 months of additional vesting for his awards under those plans. However, as the remaining unvested awards under the 2010 Notional Unit Plan do not begin to vest until January 1, 2014 and awards under the 2011 Outperformance Plan do not begin to vest until August 31, 2014, Mr. Mathias would not have received any benefit from this 12 months of additional vesting. Mr. Mathias only would have been entitled to receive the severance payments, accelerated vesting and other benefits provided for in his employment agreement, as described above, if he executed a general release of claims with us.</w:t>
      </w:r>
    </w:p>
    <w:p>
      <w:pPr>
        <w:spacing w:after="0" w:line="187" w:lineRule="exact"/>
        <w:rPr>
          <w:rFonts w:ascii="Arial" w:cs="Arial" w:eastAsia="Arial" w:hAnsi="Arial"/>
          <w:sz w:val="15"/>
          <w:szCs w:val="15"/>
          <w:color w:val="auto"/>
        </w:rPr>
      </w:pPr>
    </w:p>
    <w:p>
      <w:pPr>
        <w:ind w:left="1080" w:hanging="532"/>
        <w:spacing w:after="0" w:line="301"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Mathias' employment agreement, if Mr. Mathias had been terminated by us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Cause or by Mr. Mathias for Good Reason in connection with or within 18 months after a Change-in-Control, Mr. Mathias would have received a cash severance payment of $18,303,125, which is equal to the sum of (i) 2.5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received his medical and welfare benefits for 24 months, the cost of which to us is projected to aggregate approximately $42,815. Mr. Mathias' equity awards and outstanding unvested deferred compensation contributions would have fully vested in the same manner as described in the preceding paragraph, except with respect to Mr. Mathias' awards under the 2010 Notional Unit Plan and the 2011 Outperformance Plan. Under the 2010 Notional Unit Plan, the time-based vesting of the award would have been accelerated. With respect to Mr. Mathias' allocation under the 2011 Outperformance Plan, based on total return levels from plan inception through year-end 2012, an award would have been earned in connection with a December 31, 2012 termination in connection with a Change-in-Control under the 2011 Outperformance Plan. The combination of the accelerated vesting under Mr. Mathias' employment agreement and the 2010 Notional Unit Plan and the earning of an award under the 2011 Outperformance Plan results in total value of $12,903,523. Under Mr. Mathias' employment agreement, in the event that any payment or benefit constitutes an excess "parachute payment" under Section 280G of the IRC subject to an excise tax,</w:t>
      </w:r>
    </w:p>
    <w:p>
      <w:pPr>
        <w:spacing w:after="0" w:line="2" w:lineRule="exact"/>
        <w:rPr>
          <w:rFonts w:ascii="Arial" w:cs="Arial" w:eastAsia="Arial" w:hAnsi="Arial"/>
          <w:sz w:val="15"/>
          <w:szCs w:val="15"/>
          <w:color w:val="auto"/>
        </w:rPr>
      </w:pPr>
    </w:p>
    <w:p>
      <w:pPr>
        <w:ind w:left="1080" w:right="20"/>
        <w:spacing w:after="0" w:line="261" w:lineRule="auto"/>
        <w:rPr>
          <w:rFonts w:ascii="Arial" w:cs="Arial" w:eastAsia="Arial" w:hAnsi="Arial"/>
          <w:sz w:val="15"/>
          <w:szCs w:val="15"/>
          <w:color w:val="auto"/>
        </w:rPr>
      </w:pPr>
      <w:r>
        <w:rPr>
          <w:rFonts w:ascii="Arial" w:cs="Arial" w:eastAsia="Arial" w:hAnsi="Arial"/>
          <w:sz w:val="18"/>
          <w:szCs w:val="18"/>
          <w:color w:val="auto"/>
        </w:rPr>
        <w:t>Mr. Mathias will not be entitled to a tax gross-up payment; however, Mr. Mathias' payments and benefits would be reduced to the extent necessary to avoid such excise taxes, but only if such a reduction of pay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or benefits would result in a greater after-tax benefit to Mr. Mathias. Based on an assumed December 31, 2012 Change-in-Control, Mr. Mathias' payments and benefits would not have been reduced as a result of this provision.</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would have received a cash severance payment of</w:t>
      </w:r>
    </w:p>
    <w:p>
      <w:pPr>
        <w:spacing w:after="0" w:line="38" w:lineRule="exact"/>
        <w:rPr>
          <w:rFonts w:ascii="Arial" w:cs="Arial" w:eastAsia="Arial" w:hAnsi="Arial"/>
          <w:sz w:val="16"/>
          <w:szCs w:val="16"/>
          <w:color w:val="auto"/>
        </w:rPr>
      </w:pPr>
    </w:p>
    <w:p>
      <w:pPr>
        <w:ind w:left="1080"/>
        <w:spacing w:after="0" w:line="285" w:lineRule="auto"/>
        <w:rPr>
          <w:rFonts w:ascii="Arial" w:cs="Arial" w:eastAsia="Arial" w:hAnsi="Arial"/>
          <w:sz w:val="16"/>
          <w:szCs w:val="16"/>
          <w:color w:val="auto"/>
        </w:rPr>
      </w:pPr>
      <w:r>
        <w:rPr>
          <w:rFonts w:ascii="Arial" w:cs="Arial" w:eastAsia="Arial" w:hAnsi="Arial"/>
          <w:sz w:val="16"/>
          <w:szCs w:val="16"/>
          <w:color w:val="auto"/>
        </w:rPr>
        <w:t>$9,987,500,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continued to receive his medical and welfare benefits for 36 months, the cost of which to us is projected to aggregate approximately $64,222. Mr. Mathias also would have received 12 months of additional vesting for his outstanding equity awards, other than awards made under the 2010 Notional Unit Plan and the 2011 Outperformance Plan, and full vesting for his stock options, equity awards granted in lieu of cash bonuses and any unvested deferred compensation contributions. Under the 2010 Notional Unit Plan, the time-based vesting of the award would have been accelerated. With respect to Mr. Mathias' allocation under the 2011 Outperformance Plan, based on total return levels from plan inception through year-end 2012, an award would have been earned in connection with a December 31, 2012 termination upon a disability under the 2011 Outperformance Plan. The combination of the accelerated vesting under Mr. Mathias' employment agreement and the 2010 Notional Unit Plan and the earning of an award under the 2011 Outperformance Plan results in total value of $12,903,523. Mr. Mathias only would have been entitled to receive the severance payments, accelerated vesting and other benefits provided for in his employment agreement, as described above, if he had executed a general release of claims with us.</w:t>
      </w:r>
    </w:p>
    <w:p>
      <w:pPr>
        <w:spacing w:after="0" w:line="205" w:lineRule="exact"/>
        <w:rPr>
          <w:rFonts w:ascii="Arial" w:cs="Arial" w:eastAsia="Arial" w:hAnsi="Arial"/>
          <w:sz w:val="16"/>
          <w:szCs w:val="16"/>
          <w:color w:val="auto"/>
        </w:rPr>
      </w:pPr>
    </w:p>
    <w:p>
      <w:pPr>
        <w:ind w:left="1080" w:hanging="532"/>
        <w:spacing w:after="0" w:line="283"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his pro rata bonus for the year in which his employment was terminated (and the prior year if such bonus had not yet been determined) based on his Average Annual Cash Bonus, (ii) 12 months of additional vesting for his outstanding equity awards, other than awards made under the 2010 Notional Unit Plan and the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80"/>
        <w:spacing w:after="0" w:line="253" w:lineRule="auto"/>
        <w:rPr>
          <w:rFonts w:ascii="Arial" w:cs="Arial" w:eastAsia="Arial" w:hAnsi="Arial"/>
          <w:sz w:val="16"/>
          <w:szCs w:val="16"/>
          <w:color w:val="auto"/>
        </w:rPr>
      </w:pPr>
      <w:r>
        <w:rPr>
          <w:rFonts w:ascii="Arial" w:cs="Arial" w:eastAsia="Arial" w:hAnsi="Arial"/>
          <w:sz w:val="18"/>
          <w:szCs w:val="18"/>
          <w:color w:val="auto"/>
        </w:rPr>
        <w:t>Mr. Mathias would have fully vested. Under the 2010 Notional Unit Plan, the time-based vesting would have been accelerated. With respect to Mr. Mathias' allocation under the 2011 Outperformance Plan, based on total return levels from plan inception through year-end 2012, an award would have been earned in connection with a December 31, 2012 termination upon death under the 2011 Outperformance Plan. The aggregate value that Mr. Mathias' estate would have received with respect to the pro rata bonus, vesting credit, payments and other benefits described above would have been $12,903,523.</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James Mead. </w:t>
      </w:r>
      <w:r>
        <w:rPr>
          <w:rFonts w:ascii="Arial" w:cs="Arial" w:eastAsia="Arial" w:hAnsi="Arial"/>
          <w:sz w:val="16"/>
          <w:szCs w:val="16"/>
          <w:color w:val="auto"/>
        </w:rPr>
        <w:t>In connection with the appointment of Mr. Mead as our Chief Financial Officer, we entered into an employment and non-competition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Mr. Mead as of November 4, 2010. The original term of the agreement will end on December 31, 2013, but will automatically renew for successive six-month periods unless either party serves the required notice under the agreement. The agreement provides for an annual salary of at least $500,000, and such discretionary annual bonuses as we, in our sole discretion, may deem appropriate to reward Mr. Mead for his job performance. Pursuant to his employment agreement, on November 4, 2010, we granted Mr. Mead 15,000 shares of restricted stock subject to time-based vesting and 7,500 restricted stock units subject to performance-based vesting, based on the goals described below, occurring in three equal annual installments on December 31 of each of 2011, 2012 and 2013. The vesting each year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performance-based restricted stock units is to be based on the achievement of any of the following financial performance goals during the year (or on a cumulative basis beginning with 2011): (1) 7% or greater increase in funds from operations per year on a per-share basis, (2) 7% or greater stock price appreciation per year or (3) stock price appreciation or percentage increase in funds from operations in the top one-third of a peer group of companies determined each year by our Compensation Committee. Mr. Mead is also eligible for the health and welfare benefits provided by us to our senior executive officers. Pursuant to the agreement, if Mr. Mead is terminated for any reason (other than termination by us without Cause or by Mr. Mead with Good Reason in connection with or within 18 months after a Change-in-Control in the case of clause (ii) below), he will be subject to the following obligations: (i) non-competition with the Company for six months (or three months in the event of a termination upon or after the expiration of the term of the employment agreement); (ii) non-solicitation of our employees for 24 months; (iii) non-disparagement of the Company and non-interference with its business for one year; and (iv) perpetual nondisclosure of confidential information. In connection with a Triggering Event occurring as of December 31, 2012, Mr. Mead would have been entitled to the following payments and benefits under the agreements and our other applicable executive compensation programs:</w:t>
      </w:r>
    </w:p>
    <w:p>
      <w:pPr>
        <w:spacing w:after="0" w:line="190" w:lineRule="exact"/>
        <w:rPr>
          <w:sz w:val="20"/>
          <w:szCs w:val="20"/>
          <w:color w:val="auto"/>
        </w:rPr>
      </w:pPr>
    </w:p>
    <w:p>
      <w:pPr>
        <w:ind w:left="1080" w:right="60" w:hanging="532"/>
        <w:spacing w:after="0" w:line="287"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the time-based vesting of the award would have been accelerated.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accelerated time-based vesting under the 2010 Notional Unit Plan would have resulted in Mr. Mead receiving a total value of $608,218. With respect to Mr. Mead's allocation under the 2011 Outperformance Plan, based on total return levels from plan inception through year-end 2012, an award would have been earned in connection with a December 31, 2012 Change-in-Control under the 2011 Outperformance Plan in the amount of $107,185. Mr. Mead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2012 Change-in-Control, Mr. Mead's payments and benefits would not have been reduced as a result of this provision.</w:t>
      </w:r>
    </w:p>
    <w:p>
      <w:pPr>
        <w:spacing w:after="0" w:line="203"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Mead would have received no payments or benefits.</w:t>
      </w:r>
    </w:p>
    <w:p>
      <w:pPr>
        <w:spacing w:after="0" w:line="238"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Mead's employment agreement, Mr. Mead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$2,061,920,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a pro rata bonus for the year in which Mr. Mead's employment was terminated (and a bonus for the prior year if such bonus had not yet been determined) based on Mr. Mead's Average Annual Cash Bonus. Under Mr. Mead's employment agreement, Mr. Mead also would have received his medical and welfare benefits for 12 months, the cost of which to us is projected to aggregate approximately $21,407. Under Mr. Mead's employment agreement, all of his outstanding equity awards, other than those made under the 2010 Notional Unit Plan and the 2011 Outperformance Plan, would have fully vested at termination. The accelerated vesting results in total value to be received of $574,875. Under the 2010 Notional Unit Plan and the 2011 Outperformance Plan, Mr. Mead also would have 12 months of additional vesting for his awards under those plans. However, as the remaining unvested awards under the 2010 Notional Unit Plan do not begin to vest until January 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120"/>
        <w:spacing w:after="0" w:line="256" w:lineRule="auto"/>
        <w:rPr>
          <w:sz w:val="20"/>
          <w:szCs w:val="20"/>
          <w:color w:val="auto"/>
        </w:rPr>
      </w:pPr>
      <w:r>
        <w:rPr>
          <w:rFonts w:ascii="Arial" w:cs="Arial" w:eastAsia="Arial" w:hAnsi="Arial"/>
          <w:sz w:val="18"/>
          <w:szCs w:val="18"/>
          <w:color w:val="auto"/>
        </w:rPr>
        <w:t>and awards under the 2011 Outperformance Plan do not begin to vest until August 31, 2014, Mr. Mead would not have received any benefit from this 12 months of additional vesting. Mr. Mead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211" w:lineRule="exact"/>
        <w:rPr>
          <w:sz w:val="20"/>
          <w:szCs w:val="20"/>
          <w:color w:val="auto"/>
        </w:rPr>
      </w:pPr>
    </w:p>
    <w:p>
      <w:pPr>
        <w:ind w:left="1080" w:hanging="532"/>
        <w:spacing w:after="0" w:line="305"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Mead's employment agreement, if Mr. Mead had been terminated by us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Cause or by Mr. Mead for Good Reason in connection with or within 18 months after a Change-in-Control, Mr. Mead would have received a cash severance payment of $3,342,880, which is equal to the sum of (i) two times his Average Annual Base Salary, plus (ii) two times his Average Annual Cash Bonus, plus (iii) a pro rata bonus for the year in which Mr. Mead's employment was terminated (and a bonus for the prior year if such bonus had not yet been determined) based on Mr. Mead's Average Annual Cash Bonus. Under Mr. Mead's employment agreement, Mr. Mead also would have received his medical and welfare benefits for 24 months, the cost of which to us is projected to aggregate approximately $42,815. Under Mr. Mead's employment agreement, all of his outstanding equity awards, other than those made under the 2010 Notional Unit Plan and the 2011 Outperformance Plan, would have fully vested at termination. Under the 2010 Notional Unit Plan, the time-based vesting of the award would have been accelerated. With respect to Mr. Mead's allocation under the 2011 Outperformance Plan, based on total return levels from plan inception through year-end 2012, an award would have been earned in connection with a December 31, 2012 termination in connection with a Change-in-Control under the 2011 Outperformance Plan. The combination of the accelerated vesting under Mr. Mead's employment agreement and the 2010 Notional Unit Plan and the earning of an award under the 2011 Outperformance Plan results in total value of $1,290,278.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2012 Change-in-Control, Mr. Mead's payments and benefits would not have been reduced as a result of this provision.</w:t>
      </w:r>
    </w:p>
    <w:p>
      <w:pPr>
        <w:spacing w:after="0" w:line="193" w:lineRule="exact"/>
        <w:rPr>
          <w:rFonts w:ascii="Arial" w:cs="Arial" w:eastAsia="Arial" w:hAnsi="Arial"/>
          <w:sz w:val="15"/>
          <w:szCs w:val="15"/>
          <w:color w:val="auto"/>
        </w:rPr>
      </w:pPr>
    </w:p>
    <w:p>
      <w:pPr>
        <w:ind w:left="1080" w:right="80" w:hanging="532"/>
        <w:spacing w:after="0" w:line="302"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disability. </w:t>
      </w:r>
      <w:r>
        <w:rPr>
          <w:rFonts w:ascii="Arial" w:cs="Arial" w:eastAsia="Arial" w:hAnsi="Arial"/>
          <w:sz w:val="15"/>
          <w:szCs w:val="15"/>
          <w:color w:val="auto"/>
        </w:rPr>
        <w:t>Under Mr. Mead's employment agreement, Mr. Mead would have received a cash severance payment of $2,061,920,</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Mead's employment agreement, Mr. Mead also would have continued to receive his medical and welfare benefits for</w:t>
      </w:r>
    </w:p>
    <w:p>
      <w:pPr>
        <w:spacing w:after="0" w:line="2" w:lineRule="exact"/>
        <w:rPr>
          <w:rFonts w:ascii="Arial" w:cs="Arial" w:eastAsia="Arial" w:hAnsi="Arial"/>
          <w:sz w:val="15"/>
          <w:szCs w:val="15"/>
          <w:color w:val="auto"/>
        </w:rPr>
      </w:pPr>
    </w:p>
    <w:p>
      <w:pPr>
        <w:ind w:left="1080" w:right="160"/>
        <w:spacing w:after="0" w:line="287" w:lineRule="auto"/>
        <w:rPr>
          <w:rFonts w:ascii="Arial" w:cs="Arial" w:eastAsia="Arial" w:hAnsi="Arial"/>
          <w:sz w:val="15"/>
          <w:szCs w:val="15"/>
          <w:color w:val="auto"/>
        </w:rPr>
      </w:pPr>
      <w:r>
        <w:rPr>
          <w:rFonts w:ascii="Arial" w:cs="Arial" w:eastAsia="Arial" w:hAnsi="Arial"/>
          <w:sz w:val="16"/>
          <w:szCs w:val="16"/>
          <w:color w:val="auto"/>
        </w:rPr>
        <w:t>36 months, the cost of which to us is projected to aggregate approximately $64,222. Mr. Mead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the time-based vesting of the award would have been accelerated. With respect to Mr. Mead's allocation under the 2011 Outperformance Plan, based on total return levels from plan inception through year-end 2012, an award would have been earned in connection with a December 31, 2012 termination upon a disability under the 2011 Outperformance Plan. The combination of the accelerated vesting under Mr. Mead's employment agreement and the 2010 Notional Unit Plan and the earning of an award under the 2011 Outperformance Plan results in total value of $1,290,278. Mr. Mead only would have been entitled to the severance payments and the acceleration of vesting of equity awards provided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in his employment agreement, as described above, upon Mr. Mead's execution of a mutual release agreement that released us from all claims he may have against us.</w:t>
      </w:r>
    </w:p>
    <w:p>
      <w:pPr>
        <w:spacing w:after="0" w:line="199" w:lineRule="exact"/>
        <w:rPr>
          <w:sz w:val="20"/>
          <w:szCs w:val="20"/>
          <w:color w:val="auto"/>
        </w:rPr>
      </w:pPr>
    </w:p>
    <w:p>
      <w:pPr>
        <w:ind w:left="1080" w:hanging="532"/>
        <w:spacing w:after="0" w:line="28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Mead's employment agreement, Mr. Mead's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a bonus for the prior year if such bonus had not yet been determined) based on his Average Annual Cash Bonus. Mr. Mead's estate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the time-based vesting of the award would have been accelerated. With respect to Mr. Mead's allocation under the 2011 Outperformance Plan, based on total return levels from plan inception through year-end 2012, an award would have been earned in connection with a December 31, 2012 termination upon death under the 2011 Outperformance Plan. The combination of the accelerated vesting under Mr. Mead's employment agreement and the 2010 Notional Unit Plan and the earning of an award under the 2011 Outperformance Plan results in total value of $1,290,278.</w:t>
      </w:r>
    </w:p>
    <w:p>
      <w:pPr>
        <w:spacing w:after="0" w:line="16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Andrew Levine's amended and restated employment and non-competition agreement has a term commencing on January 1, 2010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January 1, 2013, which will automatically renew for successive six-month periods unless either party delivers three months' prior written notice of non-renewal under the agreement; provided, in the event that Mr. Levine gives prior written notice of non-renewal, the Company, in its sole discretion, may extend the current term or a renewal term by 90 days (such extension, the "Extension Period"), upon written notice to Mr. Levine at least 80 days before the end of the current term or such renewal term, as applicable. As neither party provided written notice of non-renewal prior to the applicable deadline, the term was automatically extended through January 1, 2014. The agreement provides for an annual salary of no less than $450,000 during the employment period, and such discretionary annual bonuses as we, in our sole discretion, may deem appropriate to reward Mr. Levine for job performance. The agreement also provided that Good Reason would exist if we did not grant Mr. Levine a restricted stock award for 42,000 shares of common stock subject to time-based vesting occurring in three equal installments on January 1, 2011 (or the date of grant if later) and January 1, 2012 and 2013 subject to continued employment through such dates. On January 6, 2011, we granted restricted stock to Mr. Levine on the terms described above.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Levine's employment is terminated for any reason, under the agreement he will be subject to the following continuing obligations after termination:</w:t>
      </w:r>
    </w:p>
    <w:p>
      <w:pPr>
        <w:spacing w:after="0" w:line="38" w:lineRule="exact"/>
        <w:rPr>
          <w:sz w:val="20"/>
          <w:szCs w:val="20"/>
          <w:color w:val="auto"/>
        </w:rPr>
      </w:pPr>
    </w:p>
    <w:p>
      <w:pPr>
        <w:ind w:right="60" w:firstLine="8"/>
        <w:spacing w:after="0" w:line="292" w:lineRule="auto"/>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noncompetition with us for 12 months unless employment is terminated upon non-renewal of the agreement or by us without Cause or Mr. Levine for Good Reason within 18 months after a Change-in-Control; (ii) nonsolicitation of our employees for 24 months (unless employment is terminated by us without Cause or Mr. Levine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2012, Mr. Levine would have been entitled to the following payments and benefits:</w:t>
      </w:r>
    </w:p>
    <w:p>
      <w:pPr>
        <w:spacing w:after="0" w:line="19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the time-based vesting of the award would have been accelerated.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accelerated time-based vesting under the 2010 Notional Unit Plan would have resulted in Mr. Levine receiving a total value of $1,896,628. With respect to Mr. Levine's allocation under the 2011 Outperformance Plan, based on total return levels from plan inception through year-end 2012, an award would have been earned in connection with a December 31, 2012 Change-in-Control under the 2011 Outperformance Plan in the amount of $174,546. Mr. Levine would not have received any additional benefits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302" w:lineRule="auto"/>
        <w:rPr>
          <w:sz w:val="20"/>
          <w:szCs w:val="20"/>
          <w:color w:val="auto"/>
        </w:rPr>
      </w:pPr>
      <w:r>
        <w:rPr>
          <w:rFonts w:ascii="Arial" w:cs="Arial" w:eastAsia="Arial" w:hAnsi="Arial"/>
          <w:sz w:val="15"/>
          <w:szCs w:val="15"/>
          <w:color w:val="auto"/>
        </w:rPr>
        <w:t>payments in the event of a Change-in-Control under his employment agreement or otherwise.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Based on an assumed December 31, 2012 Change-in-Control, Mr. Levine's payments and benefits would not have been reduced as a result of this provision. In order to avoid creating an opportunity for a successor to induce Mr. Levine to terminate his employment without Good Reason following a Change-in-Control,</w:t>
      </w:r>
    </w:p>
    <w:p>
      <w:pPr>
        <w:spacing w:after="0" w:line="1" w:lineRule="exact"/>
        <w:rPr>
          <w:sz w:val="20"/>
          <w:szCs w:val="20"/>
          <w:color w:val="auto"/>
        </w:rPr>
      </w:pPr>
    </w:p>
    <w:p>
      <w:pPr>
        <w:ind w:left="1080" w:right="60"/>
        <w:spacing w:after="0" w:line="254" w:lineRule="auto"/>
        <w:rPr>
          <w:sz w:val="20"/>
          <w:szCs w:val="20"/>
          <w:color w:val="auto"/>
        </w:rPr>
      </w:pPr>
      <w:r>
        <w:rPr>
          <w:rFonts w:ascii="Arial" w:cs="Arial" w:eastAsia="Arial" w:hAnsi="Arial"/>
          <w:sz w:val="18"/>
          <w:szCs w:val="18"/>
          <w:color w:val="auto"/>
        </w:rPr>
        <w:t>Mr. Levine will be entitled to receive cash compensation following a Change-in-Control at a per annum rate equal to the sum of his base salary in effect prior to the Change-in-Control plus his annual bonus and the value of his equity awards (other than those granted under outperformance plans) that vested during the most recent fiscal year prior to the Change-in-Control, and the failure to pay such compensation after a Change-in-Control will constitute Good Reason.</w:t>
      </w:r>
    </w:p>
    <w:p>
      <w:pPr>
        <w:spacing w:after="0" w:line="21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would have received no payments or benefits.</w:t>
      </w:r>
    </w:p>
    <w:p>
      <w:pPr>
        <w:spacing w:after="0" w:line="252"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$2,571,440,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Under Mr. Levine's employment agreement, Mr. Levine also would have received his medical and welfare benefits for 12 months, the cost of which to us is projected to aggregate approximately $21,407. Under Mr. Levine's employment agreement, all of his outstanding equity awards, other than those made under the 2010 Notional Unit Plan and the 2011 Outperformance Plan, would have fully vested at termination. Under the 2010 Notional Unit Plan and the 2011 Outperformance Plan, Mr. Levine also would have 12 months of additional vesting for his awards under those plans. However, as the remaining unvested awards under the 2010 Notional Unit Plan do not begin to vest until January 1, 2014 and awards under the 2011 Outperformance Plan do not begin to vest until August 31, 2014, Mr. Levine would not have received any benefit from this 12 months of additional vesting. Mr. Levine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91"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Levine's employment agreement, if Mr. Levine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Levine for Good Reason in connection with or within 18 months after a Change-in-Control, Mr. Levine would have received a cash severance payment of $4,082,160, which is equal to the sum of (i) two times his Average Annual Base Salary, plus (ii) two times his Average Annual Cash Bonus, plus (iii) a pro rata bonus for the year in which Mr. Levine's employment was terminated (and a bonus for the prior year if such bonus had not yet been determined) based on Mr. Levine's Average Annual Cash Bonus. Under Mr. Levine's employment agreement, Mr. Levine also would have received his medical and welfare benefits for 24 months, the cost of which to us is projected to aggregate approximately $42,815. Under Mr. Levine's employment agreement, all of his outstanding equity awards, other than those made under the 2010 Notional Unit Plan and the 2011 Outperformance Plan, would have fully vested at termination. Under the 2010 Notional Unit Plan, the time-based vesting of the award would have been accelerated. With respect to Mr. Levine's allocation under the 2011 Outperformance Plan, based on total return levels from</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302" w:lineRule="auto"/>
        <w:rPr>
          <w:sz w:val="20"/>
          <w:szCs w:val="20"/>
          <w:color w:val="auto"/>
        </w:rPr>
      </w:pPr>
      <w:r>
        <w:rPr>
          <w:rFonts w:ascii="Arial" w:cs="Arial" w:eastAsia="Arial" w:hAnsi="Arial"/>
          <w:sz w:val="15"/>
          <w:szCs w:val="15"/>
          <w:color w:val="auto"/>
        </w:rPr>
        <w:t>plan inception through year-end 2012, an award would have been earned in connection with a December 31, 2012 termination in connection with a Change-in-Control under the 2011 Outperformance Plan. The combination of the accelerated vesting under Mr. Levine's employment agreement and the 2010 Notional Unit Plan and the earning of an award under the 2011 Outperformance Plan results in total value of $2,071,174.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w:t>
      </w:r>
    </w:p>
    <w:p>
      <w:pPr>
        <w:spacing w:after="0" w:line="1"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Mr. Levine. Based on an assumed December 31, 2012 Change-in-Control, Mr. Levine's payments and benefits would not have been reduced as a result of this provision.</w:t>
      </w:r>
    </w:p>
    <w:p>
      <w:pPr>
        <w:spacing w:after="0" w:line="205"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would have received a cash severance payment of</w:t>
      </w:r>
    </w:p>
    <w:p>
      <w:pPr>
        <w:spacing w:after="0" w:line="38" w:lineRule="exact"/>
        <w:rPr>
          <w:rFonts w:ascii="Arial" w:cs="Arial" w:eastAsia="Arial" w:hAnsi="Arial"/>
          <w:sz w:val="16"/>
          <w:szCs w:val="16"/>
          <w:color w:val="auto"/>
        </w:rPr>
      </w:pPr>
    </w:p>
    <w:p>
      <w:pPr>
        <w:ind w:left="1080" w:right="120"/>
        <w:spacing w:after="0" w:line="281" w:lineRule="auto"/>
        <w:rPr>
          <w:rFonts w:ascii="Arial" w:cs="Arial" w:eastAsia="Arial" w:hAnsi="Arial"/>
          <w:sz w:val="16"/>
          <w:szCs w:val="16"/>
          <w:color w:val="auto"/>
        </w:rPr>
      </w:pPr>
      <w:r>
        <w:rPr>
          <w:rFonts w:ascii="Arial" w:cs="Arial" w:eastAsia="Arial" w:hAnsi="Arial"/>
          <w:sz w:val="16"/>
          <w:szCs w:val="16"/>
          <w:color w:val="auto"/>
        </w:rPr>
        <w:t>$2,571,440, 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Levine's employment agreement, Mr. Levine also would have continued to receive his medical and welfare benefits for 36 months, the cost of which to us is projected to aggregate approximately $64,222. Mr. Levine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the time-based vesting of the award would have been accelerated. With respect to Mr. Levine's allocation under the 2011 Outperformance Plan, based on total return levels from plan inception through year-end 2012, an award would have been earned in connection with a December 31, 2012 termination upon a disability under the 2011 Outperformance Plan. The combination of the accelerated vesting under</w:t>
      </w:r>
    </w:p>
    <w:p>
      <w:pPr>
        <w:spacing w:after="0" w:line="6" w:lineRule="exact"/>
        <w:rPr>
          <w:rFonts w:ascii="Arial" w:cs="Arial" w:eastAsia="Arial" w:hAnsi="Arial"/>
          <w:sz w:val="16"/>
          <w:szCs w:val="16"/>
          <w:color w:val="auto"/>
        </w:rPr>
      </w:pPr>
    </w:p>
    <w:p>
      <w:pPr>
        <w:ind w:left="1080" w:right="80"/>
        <w:spacing w:after="0" w:line="254" w:lineRule="auto"/>
        <w:rPr>
          <w:rFonts w:ascii="Arial" w:cs="Arial" w:eastAsia="Arial" w:hAnsi="Arial"/>
          <w:sz w:val="16"/>
          <w:szCs w:val="16"/>
          <w:color w:val="auto"/>
        </w:rPr>
      </w:pPr>
      <w:r>
        <w:rPr>
          <w:rFonts w:ascii="Arial" w:cs="Arial" w:eastAsia="Arial" w:hAnsi="Arial"/>
          <w:sz w:val="18"/>
          <w:szCs w:val="18"/>
          <w:color w:val="auto"/>
        </w:rPr>
        <w:t>Mr. Levine's employment agreement and the 2010 Notional Unit Plan and the earning of an award under the 2011 Outperformance Plan results in total value of $2,071,174.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224"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a bonus for the prior year if such bonus had not yet been determined) based on his Average Annual Cash Bonus. Mr. Levine's estate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the time-based vesting of the award would have been accelerated. With respect to Mr. Levine's allocation under the 2011 Outperformance Plan, based on total return levels from plan inception through year-end 2012, an award would have been earned in connection with a December 31, 2012 termination upon death under the 2011 Outperformance Plan. The combination of the accelerated vesting under Mr. Levine's employment agreement and the 2010 Notional Unit Plan and the earning of an award under the 2011 Outperformance Plan results in total value of $2,071,174.</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Jr., Edwin Thomas Burton, III and John S. Levy. There are no Compensation Committee interlocks and none of our employees is a member of the Compensation Committee.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March 28, 2013, unless otherwise noted, for</w:t>
      </w:r>
    </w:p>
    <w:p>
      <w:pPr>
        <w:spacing w:after="0" w:line="38" w:lineRule="exact"/>
        <w:rPr>
          <w:sz w:val="20"/>
          <w:szCs w:val="20"/>
          <w:color w:val="auto"/>
        </w:rPr>
      </w:pPr>
    </w:p>
    <w:p>
      <w:pPr>
        <w:ind w:right="100" w:firstLine="8"/>
        <w:spacing w:after="0" w:line="253"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28, 2013, there were 91,552,922 shares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Amount And Nature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10,405,671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FMR LLC(2)</w:t>
            </w:r>
          </w:p>
        </w:tc>
        <w:tc>
          <w:tcPr>
            <w:tcW w:w="1520" w:type="dxa"/>
            <w:vAlign w:val="bottom"/>
          </w:tcPr>
          <w:p>
            <w:pPr>
              <w:jc w:val="right"/>
              <w:spacing w:after="0"/>
              <w:rPr>
                <w:sz w:val="20"/>
                <w:szCs w:val="20"/>
                <w:color w:val="auto"/>
              </w:rPr>
            </w:pPr>
            <w:r>
              <w:rPr>
                <w:rFonts w:ascii="Arial" w:cs="Arial" w:eastAsia="Arial" w:hAnsi="Arial"/>
                <w:sz w:val="18"/>
                <w:szCs w:val="18"/>
                <w:color w:val="auto"/>
              </w:rPr>
              <w:t>8,135,499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7,854,140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Cohen &amp; Steers, Inc.(4)</w:t>
            </w:r>
          </w:p>
        </w:tc>
        <w:tc>
          <w:tcPr>
            <w:tcW w:w="1520" w:type="dxa"/>
            <w:vAlign w:val="bottom"/>
          </w:tcPr>
          <w:p>
            <w:pPr>
              <w:jc w:val="right"/>
              <w:spacing w:after="0"/>
              <w:rPr>
                <w:sz w:val="20"/>
                <w:szCs w:val="20"/>
                <w:color w:val="auto"/>
              </w:rPr>
            </w:pPr>
            <w:r>
              <w:rPr>
                <w:rFonts w:ascii="Arial" w:cs="Arial" w:eastAsia="Arial" w:hAnsi="Arial"/>
                <w:sz w:val="18"/>
                <w:szCs w:val="18"/>
                <w:color w:val="auto"/>
              </w:rPr>
              <w:t>7,136,450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CBRE Clarion Securities, LLC(5)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5,116,985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John H. Alschuler, Jr.(6)</w:t>
            </w:r>
          </w:p>
        </w:tc>
        <w:tc>
          <w:tcPr>
            <w:tcW w:w="1520" w:type="dxa"/>
            <w:vAlign w:val="bottom"/>
          </w:tcPr>
          <w:p>
            <w:pPr>
              <w:jc w:val="right"/>
              <w:spacing w:after="0"/>
              <w:rPr>
                <w:sz w:val="20"/>
                <w:szCs w:val="20"/>
                <w:color w:val="auto"/>
              </w:rPr>
            </w:pPr>
            <w:r>
              <w:rPr>
                <w:rFonts w:ascii="Arial" w:cs="Arial" w:eastAsia="Arial" w:hAnsi="Arial"/>
                <w:sz w:val="18"/>
                <w:szCs w:val="18"/>
                <w:color w:val="auto"/>
              </w:rPr>
              <w:t>56,000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Edwin Thomas Burton, III(7)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Stephen L. Green(8)</w:t>
            </w:r>
          </w:p>
        </w:tc>
        <w:tc>
          <w:tcPr>
            <w:tcW w:w="1520" w:type="dxa"/>
            <w:vAlign w:val="bottom"/>
          </w:tcPr>
          <w:p>
            <w:pPr>
              <w:jc w:val="right"/>
              <w:spacing w:after="0"/>
              <w:rPr>
                <w:sz w:val="20"/>
                <w:szCs w:val="20"/>
                <w:color w:val="auto"/>
              </w:rPr>
            </w:pPr>
            <w:r>
              <w:rPr>
                <w:rFonts w:ascii="Arial" w:cs="Arial" w:eastAsia="Arial" w:hAnsi="Arial"/>
                <w:sz w:val="18"/>
                <w:szCs w:val="18"/>
                <w:color w:val="auto"/>
              </w:rPr>
              <w:t>916,393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Craig M. Hatkoff(9)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Marc Holliday</w:t>
            </w:r>
          </w:p>
        </w:tc>
        <w:tc>
          <w:tcPr>
            <w:tcW w:w="1520" w:type="dxa"/>
            <w:vAlign w:val="bottom"/>
          </w:tcPr>
          <w:p>
            <w:pPr>
              <w:jc w:val="right"/>
              <w:spacing w:after="0"/>
              <w:rPr>
                <w:sz w:val="20"/>
                <w:szCs w:val="20"/>
                <w:color w:val="auto"/>
              </w:rPr>
            </w:pPr>
            <w:r>
              <w:rPr>
                <w:rFonts w:ascii="Arial" w:cs="Arial" w:eastAsia="Arial" w:hAnsi="Arial"/>
                <w:sz w:val="18"/>
                <w:szCs w:val="18"/>
                <w:color w:val="auto"/>
              </w:rPr>
              <w:t>337,069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John S. Levy(10)</w:t>
            </w:r>
          </w:p>
        </w:tc>
        <w:tc>
          <w:tcPr>
            <w:tcW w:w="1520" w:type="dxa"/>
            <w:vAlign w:val="bottom"/>
          </w:tcPr>
          <w:p>
            <w:pPr>
              <w:jc w:val="right"/>
              <w:spacing w:after="0"/>
              <w:rPr>
                <w:sz w:val="20"/>
                <w:szCs w:val="20"/>
                <w:color w:val="auto"/>
              </w:rPr>
            </w:pPr>
            <w:r>
              <w:rPr>
                <w:rFonts w:ascii="Arial" w:cs="Arial" w:eastAsia="Arial" w:hAnsi="Arial"/>
                <w:sz w:val="18"/>
                <w:szCs w:val="18"/>
                <w:color w:val="auto"/>
              </w:rPr>
              <w:t>97,978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Mathias(11)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520" w:type="dxa"/>
            <w:vAlign w:val="bottom"/>
          </w:tcPr>
          <w:p>
            <w:pPr>
              <w:jc w:val="right"/>
              <w:spacing w:after="0"/>
              <w:rPr>
                <w:sz w:val="20"/>
                <w:szCs w:val="20"/>
                <w:color w:val="auto"/>
              </w:rPr>
            </w:pPr>
            <w:r>
              <w:rPr>
                <w:rFonts w:ascii="Arial" w:cs="Arial" w:eastAsia="Arial" w:hAnsi="Arial"/>
                <w:sz w:val="18"/>
                <w:szCs w:val="18"/>
                <w:color w:val="auto"/>
              </w:rPr>
              <w:t>16,778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1680" w:hanging="531"/>
        <w:spacing w:after="0" w:line="261" w:lineRule="auto"/>
        <w:tabs>
          <w:tab w:leader="none" w:pos="1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12, 2013, as of December 31, 2012, The Vanguard Group ("Vanguard") may be deemed to beneficially own an aggregate of 10,405,671 shares of our common stock in its capacity as an investment advisor, which includes 60,652 shares of our common stock held by Vanguard Fiduciary Trust Company as a result of its serving as investment manager of collective trust accounts and 283,366 shares of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5,967,882 shares, representing 6.52% of our outstanding common stock, that Vanguard Specialized Funds—Vanguard REIT Index Fund separately reported as beneficially owned in a</w:t>
      </w:r>
    </w:p>
    <w:p>
      <w:pPr>
        <w:spacing w:after="0" w:line="2"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4"/>
          <w:szCs w:val="14"/>
          <w:color w:val="auto"/>
        </w:rPr>
        <w:t>Schedule 13G/A filed on February 14, 2013 with the SEC.</w:t>
      </w:r>
    </w:p>
    <w:p>
      <w:pPr>
        <w:spacing w:after="0" w:line="110" w:lineRule="exact"/>
        <w:rPr>
          <w:rFonts w:ascii="Arial" w:cs="Arial" w:eastAsia="Arial" w:hAnsi="Arial"/>
          <w:sz w:val="12"/>
          <w:szCs w:val="12"/>
          <w:color w:val="auto"/>
        </w:rPr>
      </w:pPr>
    </w:p>
    <w:p>
      <w:pPr>
        <w:ind w:left="1680" w:right="100" w:hanging="531"/>
        <w:spacing w:after="0" w:line="288" w:lineRule="auto"/>
        <w:tabs>
          <w:tab w:leader="none" w:pos="1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14, 2013, as of December 31, 2012, FMR LLC, Edward C. Johnson 3d, Fidelity Management &amp; Research Company, Strategic Advisers, Inc., Pyramis Global Advisors, LLC, Pyramis Global Advisors Trust Company and FIL Limited, or, collectively, Fidelity, may be deemed to beneficially own an aggregate of 8,135,499 shares of our common stock. The business address for Fidelity is 82 Devonshire Street, Boston, MA 02109.</w:t>
      </w:r>
    </w:p>
    <w:p>
      <w:pPr>
        <w:spacing w:after="0" w:line="83" w:lineRule="exact"/>
        <w:rPr>
          <w:rFonts w:ascii="Arial" w:cs="Arial" w:eastAsia="Arial" w:hAnsi="Arial"/>
          <w:sz w:val="12"/>
          <w:szCs w:val="12"/>
          <w:color w:val="auto"/>
        </w:rPr>
      </w:pPr>
    </w:p>
    <w:p>
      <w:pPr>
        <w:ind w:left="1680" w:hanging="531"/>
        <w:spacing w:after="0" w:line="288" w:lineRule="auto"/>
        <w:tabs>
          <w:tab w:leader="none" w:pos="1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1, 2013, as of December 31, 2012, BlackRock, Inc., BlackRock Japan Co. Ltd., BlackRock Advisors (UK) Limited, BlackRock Asset Management Deutschland AG, BlackRock Institutional Trust Company, N.A., BlackRock Fund Advisors, BlackRock Asset Management Canada Limited, BlackRock Asset Management Australia Limited, BlackRock Advisors, LLC, BlackRock Capital Management, Inc.,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line="230" w:lineRule="auto"/>
        <w:rPr>
          <w:sz w:val="20"/>
          <w:szCs w:val="20"/>
          <w:color w:val="auto"/>
        </w:rPr>
      </w:pPr>
      <w:r>
        <w:rPr>
          <w:rFonts w:ascii="Arial" w:cs="Arial" w:eastAsia="Arial" w:hAnsi="Arial"/>
          <w:sz w:val="14"/>
          <w:szCs w:val="14"/>
          <w:color w:val="auto"/>
        </w:rPr>
        <w:t>BlackRock Investment Management, LLC, BlackRock Investment Management (Australia) Limited, BlackRock (Luxembourg) S.A., BlackRock Fund Managers Limited, BlackRock International Limited, BlackRock Financial Management, Inc., BlackRock (Netherlands) B.V., BlackRock Life Limited, BlackRock Asset Management Ireland Limited and BlackRock Investment Management (UK) Limited, or, collectively, BlackRock, may be deemed to beneficially own an aggregate of 7,854,140 shares of our common stock. The business address for BlackRock is 40 East 52nd Street, New York, NY 10022.</w:t>
      </w:r>
    </w:p>
    <w:p>
      <w:pPr>
        <w:spacing w:after="0" w:line="180" w:lineRule="exact"/>
        <w:rPr>
          <w:sz w:val="20"/>
          <w:szCs w:val="20"/>
          <w:color w:val="auto"/>
        </w:rPr>
      </w:pPr>
    </w:p>
    <w:p>
      <w:pPr>
        <w:ind w:left="1680" w:right="60" w:hanging="531"/>
        <w:spacing w:after="0" w:line="230"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14, 2013, as of December 31, 2012, Cohen &amp; Steers, Inc., Cohen &amp; Steers Capital Management, Inc. and Cohen &amp; Steers Europe S.A., collectively, may be deemed to beneficially own an aggregate of 7,136,450 shares of our common stock. The business address for Cohen &amp; Steers, Inc. and Cohen &amp; Steers Capital Management, Inc. is 280 Park Avenue, 10th Floor, New York, NY 10017. The business address for Cohen &amp; Steers Europe S.A. is Chausee de la Hulpe 116, 1170 Brussels, Belgium.</w:t>
      </w:r>
    </w:p>
    <w:p>
      <w:pPr>
        <w:spacing w:after="0" w:line="112" w:lineRule="exact"/>
        <w:rPr>
          <w:rFonts w:ascii="Arial" w:cs="Arial" w:eastAsia="Arial" w:hAnsi="Arial"/>
          <w:sz w:val="14"/>
          <w:szCs w:val="14"/>
          <w:color w:val="auto"/>
        </w:rPr>
      </w:pPr>
    </w:p>
    <w:p>
      <w:pPr>
        <w:ind w:left="1680" w:right="100" w:hanging="531"/>
        <w:spacing w:after="0" w:line="233"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13, 2013, as of December 31, 2012, CBRE Clarion Securities, LLC may be deemed to beneficially own an aggregate of 5,116,985 shares of our common stock. The business address for CBRE Clarion Securities, LLC is 201 King of Prussia Road, Suite 600, Radnor, Pennsylvania 19087.</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36,000 shares of our common stock subject to options exercisable within 60 days of April 26, 2013 and 17,966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18,000 shares of our common stock subject to options exercisable within 60 days of April 26, 2013 and 29,038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822,240 limited partnership units in SL Green Operating Partnership, L.P. held directly or indirectly through certain partnerships and other similar entities.</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12,000 shares of our common stock subject to options exercisable within 60 days of April 26,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54,000 shares of our common stock subject to options exercisable within 60 days of April 26, 2013 and 28,151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66,666 limited partnership units in SL Green Operating Partnership, L.P. held directly or indirectly through certain partnerships and other similar entities.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not involved in any legal proceeding in which any of our directors or executive officers is adverse to the Company or in any material pending legal proceeding.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our board of directors.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 The aggregate amount of fees Alliance paid to the Service Corporation was approximately $4.0 million in 2012, $2.7 million in 2011 and $2.2 million in 2010. The aggregate amount of fees we paid to Alliance for these services (excluding services provided directly to tenants) was approximately $17.9 million in 2012, $16.1 million in 2011 and $14.2 million in 2010.</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The aggregate amount of fees paid to S.L. Green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Corp. from such entity was approximately $384,900 in 2012, $420,300 in 2011 and $390,700 in 2010.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jc w:val="both"/>
        <w:ind w:right="140" w:firstLine="351"/>
        <w:spacing w:after="0" w:line="370" w:lineRule="auto"/>
        <w:rPr>
          <w:sz w:val="20"/>
          <w:szCs w:val="20"/>
          <w:color w:val="auto"/>
        </w:rPr>
      </w:pPr>
      <w:r>
        <w:rPr>
          <w:rFonts w:ascii="Arial" w:cs="Arial" w:eastAsia="Arial" w:hAnsi="Arial"/>
          <w:sz w:val="15"/>
          <w:szCs w:val="15"/>
          <w:color w:val="auto"/>
        </w:rPr>
        <w:t>Nancy Peck and Company leases 1,003 square feet of space at 420 Lexington Avenue under a lease that ends in August 2015. Nancy Peck and Company is owned by Nancy Peck, the wife of Stephen L. Green. The rent due pursuant to the lease is $35,516 per annum for year one increasing to $40,000 in year seven.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Services</w:t>
      </w:r>
    </w:p>
    <w:p>
      <w:pPr>
        <w:spacing w:after="0" w:line="231" w:lineRule="exact"/>
        <w:rPr>
          <w:sz w:val="20"/>
          <w:szCs w:val="20"/>
          <w:color w:val="auto"/>
        </w:rPr>
      </w:pPr>
    </w:p>
    <w:p>
      <w:pPr>
        <w:ind w:right="680" w:firstLine="341"/>
        <w:spacing w:after="0" w:line="332" w:lineRule="auto"/>
        <w:rPr>
          <w:sz w:val="20"/>
          <w:szCs w:val="20"/>
          <w:color w:val="auto"/>
        </w:rPr>
      </w:pPr>
      <w:r>
        <w:rPr>
          <w:rFonts w:ascii="Arial" w:cs="Arial" w:eastAsia="Arial" w:hAnsi="Arial"/>
          <w:sz w:val="16"/>
          <w:szCs w:val="16"/>
          <w:color w:val="auto"/>
        </w:rPr>
        <w:t>A-List Marketing, LLC, or A-List, provided marketing services to us. Ms. Deena Wolff, a sister of Mr. Marc Holliday, is the founder of A-List. The aggregate amount of fees we paid to A-List for these marketing services was approximately $155,500 in 2012, $140,500 in 2011 and $86,000 in 2010.</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related parties at December 31, 2012 and 2011 consisted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Due from joint ventures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7"/>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Due to joint ventures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Property Trust Inc.</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April 2004, we formed Gramercy as a commercial real estate finance business. Gramercy qualified as a REIT for federal income tax purposes and expects to qualify for its current fiscal year.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December 31, 2012, we held 0.7 million shares, or approximately 1.3% of Gramercy's common stock. Our total investment of approximately $2.2 million is based on the market value of our common stock investment in Gramercy at December 31, 2012. As we no longer have any significant influence over Gramercy, we account for our investment as available-for-sale securities. During 2012, we sold 2.5 million shares of Gramercy common stock and realized a gain of approximately $4.9 million on the sale. During 2011, we sold 2.1 million shares of Gramercy common stock and realized a gain of approximately $4.5 million on the sale. During 2010, we sold 870,000 shares of Gramercy common stock and realized a gain of approximately $1.4 million on the sale. These gains were reclassified out of Accumulated Other Comprehensive Loss.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May 2005, June 2009 and October 2009, Gramercy entered into lease agreements with an affiliate of ours, for their corporate offices at 420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Lexington Avenue, New York, New York. The first lease is for approximately 7,300 square feet and carries a term of ten years with rents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$249,000 per annum for year one increasing to $315,000 per annum in year ten. The second lease is for approximately 900 square feet pursuant to a lease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ends in April 2015, with annual rent under this lease of approximately $35,300 per annum for year one increasing to $42,800 per annum in year six.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is for approximately 1,400 square feet pursuant to a lease which ends in April 2015, with annual rent under this lease of approximately $67,300 per annum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year one increasing to $80,500 per annum in year six.</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Gramercy was the borrower under a junior participation loan that we held. We sold this loan, which consisted of mortgage and mezzanine financing, for $35.8 million, in May 2011. We realized $1.2 million of additional income upon the sale, which is included in loan loss and other reserves, net of recoveries. Also, Gramercy held a pari passu interest in a mezzanine loan that we held. This loan was repaid in March 2011.</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Marc Holliday, our chief executive officer, remains a board member of Gramercy on the basis described more fully above on pages 8-9.</w:t>
      </w: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$12,500 plus out-of-pocket expenses.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2014 annual meeting must submit their proposals to our Corporate Secretary on or before December 26, 2013.</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183"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less than 90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Assuming that our 2014 annual meeting is not advanced by more than seven calendar days or delayed by more than 60 days from the anniversary date of the 2013 annual meeting, we must receive notice of your intention to introduce a nomination or other item of business at the 2014 annual meeting after December 15, 2013 and no later than March 15, 2014.</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that is a depositary) and any person that, directly or indirectly through one or more intermediaries, controls, is controlled by or is under common control with such stockholder or Stockholder Associated Person (a "Stockholder Associated Person"), the information required by our bylaws, including (i) the name and address of such stockholder, as they appear on SL Green's books, and the current name, business address and residence address of any such Stockholder Associated Person or Proposed Nominee, (ii)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(iii)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178"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auto"/>
        </w:rPr>
        <w:t>THIRD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14"/>
                <w:szCs w:val="14"/>
                <w:color w:val="auto"/>
              </w:rPr>
            </w:pPr>
          </w:p>
        </w:tc>
        <w:tc>
          <w:tcPr>
            <w:tcW w:w="140" w:type="dxa"/>
            <w:vAlign w:val="bottom"/>
            <w:vMerge w:val="restart"/>
          </w:tcPr>
          <w:p>
            <w:pPr>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w:t>
              </w:r>
            </w:hyperlink>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5"/>
            <w:vMerge w:val="restart"/>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DEFINITIONS</w:t>
              </w:r>
            </w:hyperlink>
          </w:p>
        </w:tc>
        <w:tc>
          <w:tcPr>
            <w:tcW w:w="7000" w:type="dxa"/>
            <w:vAlign w:val="bottom"/>
            <w:gridSpan w:val="30"/>
            <w:vMerge w:val="restart"/>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4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bottom w:val="single" w:sz="8" w:color="0000EE"/>
            </w:tcBorders>
            <w:gridSpan w:val="5"/>
            <w:vMerge w:val="continue"/>
          </w:tcPr>
          <w:p>
            <w:pPr>
              <w:spacing w:after="0"/>
              <w:rPr>
                <w:sz w:val="14"/>
                <w:szCs w:val="14"/>
                <w:color w:val="auto"/>
              </w:rPr>
            </w:pPr>
          </w:p>
        </w:tc>
        <w:tc>
          <w:tcPr>
            <w:tcW w:w="7000" w:type="dxa"/>
            <w:vAlign w:val="bottom"/>
            <w:gridSpan w:val="30"/>
            <w:vMerge w:val="continue"/>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A-1</w:t>
              </w:r>
            </w:hyperlink>
          </w:p>
        </w:tc>
        <w:tc>
          <w:tcPr>
            <w:tcW w:w="20" w:type="dxa"/>
            <w:vAlign w:val="bottom"/>
            <w:tcBorders>
              <w:top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EFFECTIVE DATE AND TERMINATION OF PLAN</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1140"/>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A-5</w:t>
              </w:r>
            </w:hyperlink>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5"/>
              </w:rPr>
            </w:pPr>
            <w:hyperlink w:anchor="page95">
              <w:r>
                <w:rPr>
                  <w:rFonts w:ascii="Arial" w:cs="Arial" w:eastAsia="Arial" w:hAnsi="Arial"/>
                  <w:sz w:val="18"/>
                  <w:szCs w:val="18"/>
                  <w:color w:val="0000EE"/>
                  <w:w w:val="95"/>
                </w:rPr>
                <w:t>ADMINISTRATION OF PLAN</w:t>
              </w:r>
            </w:hyperlink>
          </w:p>
        </w:tc>
        <w:tc>
          <w:tcPr>
            <w:tcW w:w="1580" w:type="dxa"/>
            <w:vAlign w:val="bottom"/>
            <w:tcBorders>
              <w:top w:val="single" w:sz="8" w:color="0000EE"/>
            </w:tcBorders>
            <w:gridSpan w:val="14"/>
          </w:tcPr>
          <w:p>
            <w:pPr>
              <w:spacing w:after="0"/>
              <w:rPr>
                <w:sz w:val="24"/>
                <w:szCs w:val="24"/>
                <w:color w:val="auto"/>
              </w:rPr>
            </w:pPr>
          </w:p>
        </w:tc>
        <w:tc>
          <w:tcPr>
            <w:tcW w:w="424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bottom w:val="single" w:sz="8" w:color="0000EE"/>
            </w:tcBorders>
          </w:tcPr>
          <w:p>
            <w:pPr>
              <w:jc w:val="right"/>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A-5</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SHARES AND UNITS SUBJECT TO THE PLAN</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1140"/>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A-6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PROVISIONS APPLICABLE TO STOCK OPTIONS</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1140"/>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A-7</w:t>
              </w:r>
            </w:hyperlink>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180" w:type="dxa"/>
            <w:vAlign w:val="bottom"/>
            <w:tcBorders>
              <w:top w:val="single" w:sz="8" w:color="0000EE"/>
            </w:tcBorders>
            <w:gridSpan w:val="2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Grant of Option</w:t>
              </w:r>
            </w:hyperlink>
          </w:p>
        </w:tc>
        <w:tc>
          <w:tcPr>
            <w:tcW w:w="428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tcPr>
          <w:p>
            <w:pPr>
              <w:jc w:val="right"/>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A-7</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5.</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Option Price</w:t>
              </w:r>
            </w:hyperlink>
          </w:p>
        </w:tc>
        <w:tc>
          <w:tcPr>
            <w:tcW w:w="220" w:type="dxa"/>
            <w:vAlign w:val="bottom"/>
            <w:tcBorders>
              <w:top w:val="single" w:sz="8" w:color="0000EE"/>
            </w:tcBorders>
            <w:gridSpan w:val="3"/>
          </w:tcPr>
          <w:p>
            <w:pPr>
              <w:spacing w:after="0"/>
              <w:rPr>
                <w:sz w:val="17"/>
                <w:szCs w:val="17"/>
                <w:color w:val="auto"/>
              </w:rPr>
            </w:pPr>
          </w:p>
        </w:tc>
        <w:tc>
          <w:tcPr>
            <w:tcW w:w="634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A-7</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3</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Period of Option and Vesting</w:t>
              </w:r>
            </w:hyperlink>
          </w:p>
        </w:tc>
        <w:tc>
          <w:tcPr>
            <w:tcW w:w="540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A-8</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4</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Exercisability Upon and After Termination of Optionee</w:t>
              </w:r>
            </w:hyperlink>
          </w:p>
        </w:tc>
        <w:tc>
          <w:tcPr>
            <w:tcW w:w="3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A-8</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5</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Exercise of Options</w:t>
              </w:r>
            </w:hyperlink>
          </w:p>
        </w:tc>
        <w:tc>
          <w:tcPr>
            <w:tcW w:w="6060" w:type="dxa"/>
            <w:vAlign w:val="bottom"/>
            <w:gridSpan w:val="21"/>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A-8</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6</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99">
              <w:r>
                <w:rPr>
                  <w:rFonts w:ascii="Arial" w:cs="Arial" w:eastAsia="Arial" w:hAnsi="Arial"/>
                  <w:sz w:val="18"/>
                  <w:szCs w:val="18"/>
                  <w:color w:val="0000EE"/>
                  <w:w w:val="84"/>
                </w:rPr>
                <w:t>Payment</w:t>
              </w:r>
            </w:hyperlink>
          </w:p>
        </w:tc>
        <w:tc>
          <w:tcPr>
            <w:tcW w:w="6840" w:type="dxa"/>
            <w:vAlign w:val="bottom"/>
            <w:gridSpan w:val="28"/>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0000EE"/>
            </w:tcBorders>
          </w:tcPr>
          <w:p>
            <w:pPr>
              <w:jc w:val="right"/>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A-9</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7</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Stock Appreciation Rights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1140"/>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A-9</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8</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4"/>
              </w:rPr>
            </w:pPr>
            <w:hyperlink w:anchor="page99">
              <w:r>
                <w:rPr>
                  <w:rFonts w:ascii="Arial" w:cs="Arial" w:eastAsia="Arial" w:hAnsi="Arial"/>
                  <w:sz w:val="18"/>
                  <w:szCs w:val="18"/>
                  <w:color w:val="0000EE"/>
                  <w:w w:val="84"/>
                </w:rPr>
                <w:t>Exercise by Successors</w:t>
              </w:r>
            </w:hyperlink>
          </w:p>
        </w:tc>
        <w:tc>
          <w:tcPr>
            <w:tcW w:w="220" w:type="dxa"/>
            <w:vAlign w:val="bottom"/>
            <w:tcBorders>
              <w:top w:val="single" w:sz="8" w:color="0000EE"/>
            </w:tcBorders>
            <w:gridSpan w:val="3"/>
          </w:tcPr>
          <w:p>
            <w:pPr>
              <w:spacing w:after="0"/>
              <w:rPr>
                <w:sz w:val="17"/>
                <w:szCs w:val="17"/>
                <w:color w:val="auto"/>
              </w:rPr>
            </w:pPr>
          </w:p>
        </w:tc>
        <w:tc>
          <w:tcPr>
            <w:tcW w:w="560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A-9</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9</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Nontransferability of Option</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right"/>
              <w:ind w:right="1140"/>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A-9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4"/>
              </w:rPr>
            </w:pPr>
            <w:hyperlink w:anchor="page100">
              <w:r>
                <w:rPr>
                  <w:rFonts w:ascii="Arial" w:cs="Arial" w:eastAsia="Arial" w:hAnsi="Arial"/>
                  <w:sz w:val="18"/>
                  <w:szCs w:val="18"/>
                  <w:color w:val="0000EE"/>
                  <w:w w:val="74"/>
                </w:rPr>
                <w:t>5.</w:t>
              </w:r>
              <w:r>
                <w:rPr>
                  <w:rFonts w:ascii="Arial" w:cs="Arial" w:eastAsia="Arial" w:hAnsi="Arial"/>
                  <w:sz w:val="18"/>
                  <w:szCs w:val="18"/>
                  <w:u w:val="single" w:color="auto"/>
                  <w:color w:val="0000EE"/>
                  <w:w w:val="74"/>
                </w:rPr>
                <w:t>10</w:t>
              </w:r>
            </w:hyperlink>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Deferral</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A-10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4"/>
              </w:rPr>
            </w:pPr>
            <w:hyperlink w:anchor="page100">
              <w:r>
                <w:rPr>
                  <w:rFonts w:ascii="Arial" w:cs="Arial" w:eastAsia="Arial" w:hAnsi="Arial"/>
                  <w:sz w:val="18"/>
                  <w:szCs w:val="18"/>
                  <w:color w:val="0000EE"/>
                  <w:w w:val="74"/>
                </w:rPr>
                <w:t>5.</w:t>
              </w:r>
              <w:r>
                <w:rPr>
                  <w:rFonts w:ascii="Arial" w:cs="Arial" w:eastAsia="Arial" w:hAnsi="Arial"/>
                  <w:sz w:val="18"/>
                  <w:szCs w:val="18"/>
                  <w:u w:val="single" w:color="auto"/>
                  <w:color w:val="0000EE"/>
                  <w:w w:val="74"/>
                </w:rPr>
                <w:t>11</w:t>
              </w:r>
            </w:hyperlink>
          </w:p>
        </w:tc>
        <w:tc>
          <w:tcPr>
            <w:tcW w:w="340" w:type="dxa"/>
            <w:vAlign w:val="bottom"/>
          </w:tcPr>
          <w:p>
            <w:pPr>
              <w:spacing w:after="0"/>
              <w:rPr>
                <w:sz w:val="17"/>
                <w:szCs w:val="17"/>
                <w:color w:val="auto"/>
              </w:rPr>
            </w:pPr>
          </w:p>
        </w:tc>
        <w:tc>
          <w:tcPr>
            <w:tcW w:w="29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Certain Incentive Stock Option Provisions</w:t>
              </w:r>
            </w:hyperlink>
          </w:p>
        </w:tc>
        <w:tc>
          <w:tcPr>
            <w:tcW w:w="448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A-10</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PROVISIONS APPLICABLE TO RESTRICTED STOCK</w:t>
              </w:r>
            </w:hyperlink>
          </w:p>
        </w:tc>
        <w:tc>
          <w:tcPr>
            <w:tcW w:w="40" w:type="dxa"/>
            <w:vAlign w:val="bottom"/>
          </w:tcPr>
          <w:p>
            <w:pPr>
              <w:spacing w:after="0"/>
              <w:rPr>
                <w:sz w:val="24"/>
                <w:szCs w:val="24"/>
                <w:color w:val="auto"/>
              </w:rPr>
            </w:pPr>
          </w:p>
        </w:tc>
        <w:tc>
          <w:tcPr>
            <w:tcW w:w="1500" w:type="dxa"/>
            <w:vAlign w:val="bottom"/>
            <w:gridSpan w:val="4"/>
          </w:tcPr>
          <w:p>
            <w:pPr>
              <w:jc w:val="right"/>
              <w:ind w:right="114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A-10</w:t>
              </w:r>
            </w:hyperlink>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6.</w:t>
              </w:r>
              <w:r>
                <w:rPr>
                  <w:rFonts w:ascii="Arial" w:cs="Arial" w:eastAsia="Arial" w:hAnsi="Arial"/>
                  <w:sz w:val="18"/>
                  <w:szCs w:val="18"/>
                  <w:u w:val="single" w:color="auto"/>
                  <w:color w:val="0000EE"/>
                  <w:w w:val="79"/>
                </w:rPr>
                <w:t>1</w:t>
              </w:r>
            </w:hyperlink>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500" w:type="dxa"/>
            <w:vAlign w:val="bottom"/>
            <w:tcBorders>
              <w:top w:val="single" w:sz="8" w:color="0000EE"/>
            </w:tcBorders>
            <w:gridSpan w:val="2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Grant of Restricted Stock</w:t>
              </w:r>
            </w:hyperlink>
          </w:p>
        </w:tc>
        <w:tc>
          <w:tcPr>
            <w:tcW w:w="39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A-10</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6.</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Certificates</w:t>
              </w:r>
            </w:hyperlink>
          </w:p>
        </w:tc>
        <w:tc>
          <w:tcPr>
            <w:tcW w:w="568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A-11</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6.</w:t>
              </w:r>
              <w:r>
                <w:rPr>
                  <w:rFonts w:ascii="Arial" w:cs="Arial" w:eastAsia="Arial" w:hAnsi="Arial"/>
                  <w:sz w:val="18"/>
                  <w:szCs w:val="18"/>
                  <w:u w:val="single" w:color="auto"/>
                  <w:color w:val="0000EE"/>
                  <w:w w:val="79"/>
                </w:rPr>
                <w:t>3</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Restrictions and Conditions</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A-11</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PROVISIONS APPLICABLE TO PHANTOM SHARES</w:t>
              </w:r>
            </w:hyperlink>
          </w:p>
        </w:tc>
        <w:tc>
          <w:tcPr>
            <w:tcW w:w="40" w:type="dxa"/>
            <w:vAlign w:val="bottom"/>
          </w:tcPr>
          <w:p>
            <w:pPr>
              <w:spacing w:after="0"/>
              <w:rPr>
                <w:sz w:val="24"/>
                <w:szCs w:val="24"/>
                <w:color w:val="auto"/>
              </w:rPr>
            </w:pPr>
          </w:p>
        </w:tc>
        <w:tc>
          <w:tcPr>
            <w:tcW w:w="1500" w:type="dxa"/>
            <w:vAlign w:val="bottom"/>
            <w:gridSpan w:val="4"/>
          </w:tcPr>
          <w:p>
            <w:pPr>
              <w:jc w:val="right"/>
              <w:ind w:right="1140"/>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A-12</w:t>
              </w:r>
            </w:hyperlink>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0000EE"/>
            </w:tcBorders>
          </w:tcPr>
          <w:p>
            <w:pPr>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1</w:t>
              </w:r>
            </w:hyperlink>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0" w:type="dxa"/>
            <w:vAlign w:val="bottom"/>
            <w:tcBorders>
              <w:top w:val="single" w:sz="8" w:color="0000EE"/>
            </w:tcBorders>
            <w:gridSpan w:val="2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Grant of Phantom Shares</w:t>
              </w:r>
            </w:hyperlink>
          </w:p>
        </w:tc>
        <w:tc>
          <w:tcPr>
            <w:tcW w:w="40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A-12</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Term</w:t>
              </w:r>
            </w:hyperlink>
          </w:p>
        </w:tc>
        <w:tc>
          <w:tcPr>
            <w:tcW w:w="570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A-12</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3</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Vesting</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A-12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7.</w:t>
              </w:r>
              <w:r>
                <w:rPr>
                  <w:rFonts w:ascii="Arial" w:cs="Arial" w:eastAsia="Arial" w:hAnsi="Arial"/>
                  <w:sz w:val="18"/>
                  <w:szCs w:val="18"/>
                  <w:u w:val="single" w:color="auto"/>
                  <w:color w:val="0000EE"/>
                  <w:w w:val="79"/>
                </w:rPr>
                <w:t>4</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Settlement of Phantom Shares</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A-12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7.</w:t>
              </w:r>
              <w:r>
                <w:rPr>
                  <w:rFonts w:ascii="Arial" w:cs="Arial" w:eastAsia="Arial" w:hAnsi="Arial"/>
                  <w:sz w:val="18"/>
                  <w:szCs w:val="18"/>
                  <w:u w:val="single" w:color="auto"/>
                  <w:color w:val="0000EE"/>
                  <w:w w:val="79"/>
                </w:rPr>
                <w:t>5</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Borders>
              <w:bottom w:val="single" w:sz="8" w:color="0000EE"/>
            </w:tcBorders>
            <w:gridSpan w:val="21"/>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Other Phantom Share Provisions</w:t>
              </w:r>
            </w:hyperlink>
          </w:p>
        </w:tc>
        <w:tc>
          <w:tcPr>
            <w:tcW w:w="516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A-13</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7.</w:t>
              </w:r>
              <w:r>
                <w:rPr>
                  <w:rFonts w:ascii="Arial" w:cs="Arial" w:eastAsia="Arial" w:hAnsi="Arial"/>
                  <w:sz w:val="18"/>
                  <w:szCs w:val="18"/>
                  <w:u w:val="single" w:color="auto"/>
                  <w:color w:val="0000EE"/>
                  <w:w w:val="79"/>
                </w:rPr>
                <w:t>6</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Claims Procedures</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A-14</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PROVISIONS APPLICABLE TO DIVIDEND EQUIVALENT RIGHTS</w:t>
              </w:r>
            </w:hyperlink>
          </w:p>
        </w:tc>
        <w:tc>
          <w:tcPr>
            <w:tcW w:w="40" w:type="dxa"/>
            <w:vAlign w:val="bottom"/>
          </w:tcPr>
          <w:p>
            <w:pPr>
              <w:spacing w:after="0"/>
              <w:rPr>
                <w:sz w:val="24"/>
                <w:szCs w:val="24"/>
                <w:color w:val="auto"/>
              </w:rPr>
            </w:pPr>
          </w:p>
        </w:tc>
        <w:tc>
          <w:tcPr>
            <w:tcW w:w="1500" w:type="dxa"/>
            <w:vAlign w:val="bottom"/>
            <w:gridSpan w:val="4"/>
          </w:tcPr>
          <w:p>
            <w:pPr>
              <w:jc w:val="right"/>
              <w:ind w:right="1140"/>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A-14</w:t>
              </w:r>
            </w:hyperlink>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8.</w:t>
              </w:r>
              <w:r>
                <w:rPr>
                  <w:rFonts w:ascii="Arial" w:cs="Arial" w:eastAsia="Arial" w:hAnsi="Arial"/>
                  <w:sz w:val="18"/>
                  <w:szCs w:val="18"/>
                  <w:u w:val="single" w:color="auto"/>
                  <w:color w:val="0000EE"/>
                  <w:w w:val="79"/>
                </w:rPr>
                <w:t>1</w:t>
              </w:r>
            </w:hyperlink>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Grant of Dividend Equivalent Rights</w:t>
              </w:r>
            </w:hyperlink>
          </w:p>
        </w:tc>
        <w:tc>
          <w:tcPr>
            <w:tcW w:w="1900" w:type="dxa"/>
            <w:vAlign w:val="bottom"/>
            <w:tcBorders>
              <w:top w:val="single" w:sz="8" w:color="0000EE"/>
            </w:tcBorders>
            <w:gridSpan w:val="9"/>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A-14</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8.</w:t>
              </w:r>
              <w:r>
                <w:rPr>
                  <w:rFonts w:ascii="Arial" w:cs="Arial" w:eastAsia="Arial" w:hAnsi="Arial"/>
                  <w:sz w:val="18"/>
                  <w:szCs w:val="18"/>
                  <w:u w:val="single" w:color="auto"/>
                  <w:color w:val="0000EE"/>
                  <w:w w:val="79"/>
                </w:rPr>
                <w:t>2</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Certain Terms</w:t>
              </w:r>
            </w:hyperlink>
          </w:p>
        </w:tc>
        <w:tc>
          <w:tcPr>
            <w:tcW w:w="6460" w:type="dxa"/>
            <w:vAlign w:val="bottom"/>
            <w:gridSpan w:val="25"/>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A-15</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8.</w:t>
              </w:r>
              <w:r>
                <w:rPr>
                  <w:rFonts w:ascii="Arial" w:cs="Arial" w:eastAsia="Arial" w:hAnsi="Arial"/>
                  <w:sz w:val="18"/>
                  <w:szCs w:val="18"/>
                  <w:u w:val="single" w:color="auto"/>
                  <w:color w:val="0000EE"/>
                  <w:w w:val="79"/>
                </w:rPr>
                <w:t>3</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Other Types of Dividend Equivalent Rights</w:t>
              </w:r>
            </w:hyperlink>
          </w:p>
        </w:tc>
        <w:tc>
          <w:tcPr>
            <w:tcW w:w="44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A-15</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8.</w:t>
              </w:r>
              <w:r>
                <w:rPr>
                  <w:rFonts w:ascii="Arial" w:cs="Arial" w:eastAsia="Arial" w:hAnsi="Arial"/>
                  <w:sz w:val="18"/>
                  <w:szCs w:val="18"/>
                  <w:u w:val="single" w:color="auto"/>
                  <w:color w:val="0000EE"/>
                  <w:w w:val="79"/>
                </w:rPr>
                <w:t>4</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Deferral</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A-15</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OTHER EQUITY-BASED AWARDS</w:t>
              </w:r>
            </w:hyperlink>
          </w:p>
        </w:tc>
        <w:tc>
          <w:tcPr>
            <w:tcW w:w="542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A-15</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w:t>
              </w:r>
            </w:hyperlink>
          </w:p>
        </w:tc>
        <w:tc>
          <w:tcPr>
            <w:tcW w:w="420" w:type="dxa"/>
            <w:vAlign w:val="bottom"/>
          </w:tcPr>
          <w:p>
            <w:pPr>
              <w:spacing w:after="0"/>
              <w:rPr>
                <w:sz w:val="24"/>
                <w:szCs w:val="24"/>
                <w:color w:val="auto"/>
              </w:rPr>
            </w:pPr>
          </w:p>
        </w:tc>
        <w:tc>
          <w:tcPr>
            <w:tcW w:w="1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PERFORMANCE GOALS</w:t>
              </w:r>
            </w:hyperlink>
          </w:p>
        </w:tc>
        <w:tc>
          <w:tcPr>
            <w:tcW w:w="6140" w:type="dxa"/>
            <w:vAlign w:val="bottom"/>
            <w:gridSpan w:val="2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A-16</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11.</w:t>
              </w:r>
            </w:hyperlink>
          </w:p>
        </w:tc>
        <w:tc>
          <w:tcPr>
            <w:tcW w:w="420" w:type="dxa"/>
            <w:vAlign w:val="bottom"/>
          </w:tcPr>
          <w:p>
            <w:pPr>
              <w:spacing w:after="0"/>
              <w:rPr>
                <w:sz w:val="24"/>
                <w:szCs w:val="24"/>
                <w:color w:val="auto"/>
              </w:rPr>
            </w:pPr>
          </w:p>
        </w:tc>
        <w:tc>
          <w:tcPr>
            <w:tcW w:w="166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06">
              <w:r>
                <w:rPr>
                  <w:rFonts w:ascii="Arial" w:cs="Arial" w:eastAsia="Arial" w:hAnsi="Arial"/>
                  <w:sz w:val="18"/>
                  <w:szCs w:val="18"/>
                  <w:color w:val="0000EE"/>
                  <w:w w:val="97"/>
                </w:rPr>
                <w:t>TAX WITHHOLDING</w:t>
              </w:r>
            </w:hyperlink>
          </w:p>
        </w:tc>
        <w:tc>
          <w:tcPr>
            <w:tcW w:w="6440" w:type="dxa"/>
            <w:vAlign w:val="bottom"/>
            <w:gridSpan w:val="2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A-16</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gridSpan w:val="2"/>
          </w:tcPr>
          <w:p>
            <w:pPr>
              <w:spacing w:after="0"/>
              <w:rPr>
                <w:rFonts w:ascii="Arial" w:cs="Arial" w:eastAsia="Arial" w:hAnsi="Arial"/>
                <w:sz w:val="18"/>
                <w:szCs w:val="18"/>
                <w:color w:val="0000EE"/>
                <w:w w:val="74"/>
              </w:rPr>
            </w:pPr>
            <w:hyperlink w:anchor="page106">
              <w:r>
                <w:rPr>
                  <w:rFonts w:ascii="Arial" w:cs="Arial" w:eastAsia="Arial" w:hAnsi="Arial"/>
                  <w:sz w:val="18"/>
                  <w:szCs w:val="18"/>
                  <w:color w:val="0000EE"/>
                  <w:w w:val="74"/>
                </w:rPr>
                <w:t>11.</w:t>
              </w:r>
              <w:r>
                <w:rPr>
                  <w:rFonts w:ascii="Arial" w:cs="Arial" w:eastAsia="Arial" w:hAnsi="Arial"/>
                  <w:sz w:val="18"/>
                  <w:szCs w:val="18"/>
                  <w:u w:val="single" w:color="auto"/>
                  <w:color w:val="0000EE"/>
                  <w:w w:val="74"/>
                </w:rPr>
                <w:t>1</w:t>
              </w:r>
            </w:hyperlink>
          </w:p>
        </w:tc>
        <w:tc>
          <w:tcPr>
            <w:tcW w:w="340" w:type="dxa"/>
            <w:vAlign w:val="bottom"/>
          </w:tcPr>
          <w:p>
            <w:pPr>
              <w:spacing w:after="0"/>
              <w:rPr>
                <w:sz w:val="24"/>
                <w:szCs w:val="24"/>
                <w:color w:val="auto"/>
              </w:rPr>
            </w:pPr>
          </w:p>
        </w:tc>
        <w:tc>
          <w:tcPr>
            <w:tcW w:w="7460" w:type="dxa"/>
            <w:vAlign w:val="bottom"/>
            <w:gridSpan w:val="32"/>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In General</w:t>
              </w:r>
            </w:hyperlink>
          </w:p>
        </w:tc>
        <w:tc>
          <w:tcPr>
            <w:tcW w:w="40" w:type="dxa"/>
            <w:vAlign w:val="bottom"/>
          </w:tcPr>
          <w:p>
            <w:pPr>
              <w:spacing w:after="0"/>
              <w:rPr>
                <w:sz w:val="24"/>
                <w:szCs w:val="24"/>
                <w:color w:val="auto"/>
              </w:rPr>
            </w:pPr>
          </w:p>
        </w:tc>
        <w:tc>
          <w:tcPr>
            <w:tcW w:w="1500" w:type="dxa"/>
            <w:vAlign w:val="bottom"/>
            <w:gridSpan w:val="4"/>
          </w:tcPr>
          <w:p>
            <w:pPr>
              <w:jc w:val="right"/>
              <w:ind w:right="1140"/>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A-16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4"/>
              </w:rPr>
            </w:pPr>
            <w:hyperlink w:anchor="page107">
              <w:r>
                <w:rPr>
                  <w:rFonts w:ascii="Arial" w:cs="Arial" w:eastAsia="Arial" w:hAnsi="Arial"/>
                  <w:sz w:val="18"/>
                  <w:szCs w:val="18"/>
                  <w:color w:val="0000EE"/>
                  <w:w w:val="74"/>
                </w:rPr>
                <w:t>11.</w:t>
              </w:r>
              <w:r>
                <w:rPr>
                  <w:rFonts w:ascii="Arial" w:cs="Arial" w:eastAsia="Arial" w:hAnsi="Arial"/>
                  <w:sz w:val="18"/>
                  <w:szCs w:val="18"/>
                  <w:u w:val="single" w:color="auto"/>
                  <w:color w:val="0000EE"/>
                  <w:w w:val="74"/>
                </w:rPr>
                <w:t>2</w:t>
              </w:r>
            </w:hyperlink>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Share Withholding</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A-17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4"/>
              </w:rPr>
            </w:pPr>
            <w:hyperlink w:anchor="page108">
              <w:r>
                <w:rPr>
                  <w:rFonts w:ascii="Arial" w:cs="Arial" w:eastAsia="Arial" w:hAnsi="Arial"/>
                  <w:sz w:val="18"/>
                  <w:szCs w:val="18"/>
                  <w:color w:val="0000EE"/>
                  <w:w w:val="74"/>
                </w:rPr>
                <w:t>11.</w:t>
              </w:r>
              <w:r>
                <w:rPr>
                  <w:rFonts w:ascii="Arial" w:cs="Arial" w:eastAsia="Arial" w:hAnsi="Arial"/>
                  <w:sz w:val="18"/>
                  <w:szCs w:val="18"/>
                  <w:u w:val="single" w:color="auto"/>
                  <w:color w:val="0000EE"/>
                  <w:w w:val="74"/>
                </w:rPr>
                <w:t>3</w:t>
              </w:r>
            </w:hyperlink>
          </w:p>
        </w:tc>
        <w:tc>
          <w:tcPr>
            <w:tcW w:w="340" w:type="dxa"/>
            <w:vAlign w:val="bottom"/>
          </w:tcPr>
          <w:p>
            <w:pPr>
              <w:spacing w:after="0"/>
              <w:rPr>
                <w:sz w:val="17"/>
                <w:szCs w:val="17"/>
                <w:color w:val="auto"/>
              </w:rPr>
            </w:pPr>
          </w:p>
        </w:tc>
        <w:tc>
          <w:tcPr>
            <w:tcW w:w="7460" w:type="dxa"/>
            <w:vAlign w:val="bottom"/>
            <w:gridSpan w:val="3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Withholding Required</w:t>
              </w:r>
            </w:hyperlink>
          </w:p>
        </w:tc>
        <w:tc>
          <w:tcPr>
            <w:tcW w:w="40" w:type="dxa"/>
            <w:vAlign w:val="bottom"/>
          </w:tcPr>
          <w:p>
            <w:pPr>
              <w:spacing w:after="0"/>
              <w:rPr>
                <w:sz w:val="17"/>
                <w:szCs w:val="17"/>
                <w:color w:val="auto"/>
              </w:rPr>
            </w:pPr>
          </w:p>
        </w:tc>
        <w:tc>
          <w:tcPr>
            <w:tcW w:w="1500" w:type="dxa"/>
            <w:vAlign w:val="bottom"/>
            <w:gridSpan w:val="4"/>
          </w:tcPr>
          <w:p>
            <w:pPr>
              <w:jc w:val="right"/>
              <w:ind w:right="1140"/>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A-18</w:t>
              </w:r>
            </w:hyperlink>
          </w:p>
        </w:tc>
        <w:tc>
          <w:tcPr>
            <w:tcW w:w="0" w:type="dxa"/>
            <w:vAlign w:val="bottom"/>
          </w:tcPr>
          <w:p>
            <w:pPr>
              <w:spacing w:after="0"/>
              <w:rPr>
                <w:sz w:val="1"/>
                <w:szCs w:val="1"/>
                <w:color w:val="auto"/>
              </w:rPr>
            </w:pPr>
          </w:p>
        </w:tc>
      </w:tr>
      <w:tr>
        <w:trPr>
          <w:trHeight w:val="20"/>
        </w:trPr>
        <w:tc>
          <w:tcPr>
            <w:tcW w:w="1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gridSpan w:val="3"/>
          </w:tcPr>
          <w:p>
            <w:pPr>
              <w:ind w:left="1140"/>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12.</w:t>
              </w:r>
            </w:hyperlink>
          </w:p>
        </w:tc>
        <w:tc>
          <w:tcPr>
            <w:tcW w:w="420" w:type="dxa"/>
            <w:vAlign w:val="bottom"/>
          </w:tcPr>
          <w:p>
            <w:pPr>
              <w:spacing w:after="0"/>
              <w:rPr>
                <w:sz w:val="24"/>
                <w:szCs w:val="24"/>
                <w:color w:val="auto"/>
              </w:rPr>
            </w:pPr>
          </w:p>
        </w:tc>
        <w:tc>
          <w:tcPr>
            <w:tcW w:w="8100" w:type="dxa"/>
            <w:vAlign w:val="bottom"/>
            <w:gridSpan w:val="3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REGULATIONS AND APPROVALS</w:t>
              </w:r>
            </w:hyperlink>
          </w:p>
        </w:tc>
        <w:tc>
          <w:tcPr>
            <w:tcW w:w="40" w:type="dxa"/>
            <w:vAlign w:val="bottom"/>
          </w:tcPr>
          <w:p>
            <w:pPr>
              <w:spacing w:after="0"/>
              <w:rPr>
                <w:sz w:val="24"/>
                <w:szCs w:val="24"/>
                <w:color w:val="auto"/>
              </w:rPr>
            </w:pPr>
          </w:p>
        </w:tc>
        <w:tc>
          <w:tcPr>
            <w:tcW w:w="1500" w:type="dxa"/>
            <w:vAlign w:val="bottom"/>
            <w:gridSpan w:val="4"/>
          </w:tcPr>
          <w:p>
            <w:pPr>
              <w:jc w:val="right"/>
              <w:ind w:right="1140"/>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A-18</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7"/>
          </w:tcPr>
          <w:p>
            <w:pPr>
              <w:ind w:left="120"/>
              <w:spacing w:after="0"/>
              <w:rPr>
                <w:sz w:val="20"/>
                <w:szCs w:val="20"/>
                <w:color w:val="auto"/>
              </w:rPr>
            </w:pPr>
            <w:r>
              <w:rPr>
                <w:rFonts w:ascii="Arial" w:cs="Arial" w:eastAsia="Arial" w:hAnsi="Arial"/>
                <w:sz w:val="18"/>
                <w:szCs w:val="18"/>
                <w:color w:val="auto"/>
              </w:rPr>
              <w:t>A-i</w:t>
            </w: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Page</w:t>
            </w:r>
          </w:p>
        </w:tc>
      </w:tr>
      <w:tr>
        <w:trPr>
          <w:trHeight w:val="412"/>
        </w:trPr>
        <w:tc>
          <w:tcPr>
            <w:tcW w:w="220" w:type="dxa"/>
            <w:vAlign w:val="bottom"/>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13.</w:t>
              </w:r>
            </w:hyperlink>
          </w:p>
        </w:tc>
        <w:tc>
          <w:tcPr>
            <w:tcW w:w="420" w:type="dxa"/>
            <w:vAlign w:val="bottom"/>
          </w:tcPr>
          <w:p>
            <w:pPr>
              <w:spacing w:after="0"/>
              <w:rPr>
                <w:sz w:val="24"/>
                <w:szCs w:val="24"/>
                <w:color w:val="auto"/>
              </w:rPr>
            </w:pPr>
          </w:p>
        </w:tc>
        <w:tc>
          <w:tcPr>
            <w:tcW w:w="8100" w:type="dxa"/>
            <w:vAlign w:val="bottom"/>
            <w:gridSpan w:val="1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INTERPRETATION AND AMENDMENTS; OTHER RULES</w:t>
              </w:r>
            </w:hyperlink>
          </w:p>
        </w:tc>
        <w:tc>
          <w:tcPr>
            <w:tcW w:w="40" w:type="dxa"/>
            <w:vAlign w:val="bottom"/>
          </w:tcPr>
          <w:p>
            <w:pPr>
              <w:spacing w:after="0"/>
              <w:rPr>
                <w:sz w:val="24"/>
                <w:szCs w:val="24"/>
                <w:color w:val="auto"/>
              </w:rPr>
            </w:pPr>
          </w:p>
        </w:tc>
        <w:tc>
          <w:tcPr>
            <w:tcW w:w="360" w:type="dxa"/>
            <w:vAlign w:val="bottom"/>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A-19</w:t>
              </w:r>
            </w:hyperlink>
          </w:p>
        </w:tc>
      </w:tr>
      <w:tr>
        <w:trPr>
          <w:trHeight w:val="439"/>
        </w:trPr>
        <w:tc>
          <w:tcPr>
            <w:tcW w:w="220" w:type="dxa"/>
            <w:vAlign w:val="bottom"/>
            <w:tcBorders>
              <w:top w:val="single" w:sz="8" w:color="0000EE"/>
            </w:tcBorders>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14.</w:t>
              </w:r>
            </w:hyperlink>
          </w:p>
        </w:tc>
        <w:tc>
          <w:tcPr>
            <w:tcW w:w="420" w:type="dxa"/>
            <w:vAlign w:val="bottom"/>
          </w:tcPr>
          <w:p>
            <w:pPr>
              <w:spacing w:after="0"/>
              <w:rPr>
                <w:sz w:val="24"/>
                <w:szCs w:val="24"/>
                <w:color w:val="auto"/>
              </w:rPr>
            </w:pPr>
          </w:p>
        </w:tc>
        <w:tc>
          <w:tcPr>
            <w:tcW w:w="4440" w:type="dxa"/>
            <w:vAlign w:val="bottom"/>
            <w:tcBorders>
              <w:top w:val="single" w:sz="8" w:color="0000EE"/>
            </w:tcBorders>
            <w:gridSpan w:val="1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CHANGES IN CAPITAL STRUCTURE</w:t>
              </w:r>
            </w:hyperlink>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tcBorders>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A-19</w:t>
              </w:r>
            </w:hyperlink>
          </w:p>
        </w:tc>
      </w:tr>
      <w:tr>
        <w:trPr>
          <w:trHeight w:val="439"/>
        </w:trPr>
        <w:tc>
          <w:tcPr>
            <w:tcW w:w="220" w:type="dxa"/>
            <w:vAlign w:val="bottom"/>
            <w:tcBorders>
              <w:top w:val="single" w:sz="8" w:color="0000EE"/>
            </w:tcBorders>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15.</w:t>
              </w:r>
            </w:hyperlink>
          </w:p>
        </w:tc>
        <w:tc>
          <w:tcPr>
            <w:tcW w:w="42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MISCELLANEOUS</w:t>
              </w:r>
            </w:hyperlink>
          </w:p>
        </w:tc>
        <w:tc>
          <w:tcPr>
            <w:tcW w:w="52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tcBorders>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A-21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11">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1</w:t>
              </w:r>
            </w:hyperlink>
          </w:p>
        </w:tc>
        <w:tc>
          <w:tcPr>
            <w:tcW w:w="320" w:type="dxa"/>
            <w:vAlign w:val="bottom"/>
          </w:tcPr>
          <w:p>
            <w:pPr>
              <w:spacing w:after="0"/>
              <w:rPr>
                <w:sz w:val="24"/>
                <w:szCs w:val="24"/>
                <w:color w:val="auto"/>
              </w:rPr>
            </w:pPr>
          </w:p>
        </w:tc>
        <w:tc>
          <w:tcPr>
            <w:tcW w:w="3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No Rights to Employment or Other Service</w:t>
              </w:r>
            </w:hyperlink>
          </w:p>
        </w:tc>
        <w:tc>
          <w:tcPr>
            <w:tcW w:w="44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A-21</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2</w:t>
              </w:r>
            </w:hyperlink>
          </w:p>
        </w:tc>
        <w:tc>
          <w:tcPr>
            <w:tcW w:w="320" w:type="dxa"/>
            <w:vAlign w:val="bottom"/>
          </w:tcPr>
          <w:p>
            <w:pPr>
              <w:spacing w:after="0"/>
              <w:rPr>
                <w:sz w:val="17"/>
                <w:szCs w:val="17"/>
                <w:color w:val="auto"/>
              </w:rPr>
            </w:pPr>
          </w:p>
        </w:tc>
        <w:tc>
          <w:tcPr>
            <w:tcW w:w="7460" w:type="dxa"/>
            <w:vAlign w:val="bottom"/>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Right of First Refusal; Right of Repurchase</w:t>
              </w:r>
            </w:hyperlink>
          </w:p>
        </w:tc>
        <w:tc>
          <w:tcPr>
            <w:tcW w:w="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A-21</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3</w:t>
              </w:r>
            </w:hyperlink>
          </w:p>
        </w:tc>
        <w:tc>
          <w:tcPr>
            <w:tcW w:w="320" w:type="dxa"/>
            <w:vAlign w:val="bottom"/>
          </w:tcPr>
          <w:p>
            <w:pPr>
              <w:spacing w:after="0"/>
              <w:rPr>
                <w:sz w:val="17"/>
                <w:szCs w:val="17"/>
                <w:color w:val="auto"/>
              </w:rPr>
            </w:pPr>
          </w:p>
        </w:tc>
        <w:tc>
          <w:tcPr>
            <w:tcW w:w="3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No Fiduciary Relationship</w:t>
              </w:r>
            </w:hyperlink>
          </w:p>
        </w:tc>
        <w:tc>
          <w:tcPr>
            <w:tcW w:w="44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A-21</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4</w:t>
              </w:r>
            </w:hyperlink>
          </w:p>
        </w:tc>
        <w:tc>
          <w:tcPr>
            <w:tcW w:w="320" w:type="dxa"/>
            <w:vAlign w:val="bottom"/>
          </w:tcPr>
          <w:p>
            <w:pPr>
              <w:spacing w:after="0"/>
              <w:rPr>
                <w:sz w:val="17"/>
                <w:szCs w:val="17"/>
                <w:color w:val="auto"/>
              </w:rPr>
            </w:pPr>
          </w:p>
        </w:tc>
        <w:tc>
          <w:tcPr>
            <w:tcW w:w="1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No Fund Created</w:t>
              </w:r>
            </w:hyperlink>
          </w:p>
        </w:tc>
        <w:tc>
          <w:tcPr>
            <w:tcW w:w="56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A-22</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5</w:t>
              </w:r>
            </w:hyperlink>
          </w:p>
        </w:tc>
        <w:tc>
          <w:tcPr>
            <w:tcW w:w="3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Notices</w:t>
              </w:r>
            </w:hyperlink>
          </w:p>
        </w:tc>
        <w:tc>
          <w:tcPr>
            <w:tcW w:w="660" w:type="dxa"/>
            <w:vAlign w:val="bottom"/>
            <w:tcBorders>
              <w:top w:val="single" w:sz="8" w:color="0000EE"/>
            </w:tcBorders>
            <w:gridSpan w:val="4"/>
          </w:tcPr>
          <w:p>
            <w:pPr>
              <w:spacing w:after="0"/>
              <w:rPr>
                <w:sz w:val="17"/>
                <w:szCs w:val="17"/>
                <w:color w:val="auto"/>
              </w:rPr>
            </w:pPr>
          </w:p>
        </w:tc>
        <w:tc>
          <w:tcPr>
            <w:tcW w:w="6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A-22</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6</w:t>
              </w:r>
            </w:hyperlink>
          </w:p>
        </w:tc>
        <w:tc>
          <w:tcPr>
            <w:tcW w:w="320" w:type="dxa"/>
            <w:vAlign w:val="bottom"/>
          </w:tcPr>
          <w:p>
            <w:pPr>
              <w:spacing w:after="0"/>
              <w:rPr>
                <w:sz w:val="17"/>
                <w:szCs w:val="17"/>
                <w:color w:val="auto"/>
              </w:rPr>
            </w:pPr>
          </w:p>
        </w:tc>
        <w:tc>
          <w:tcPr>
            <w:tcW w:w="7460" w:type="dxa"/>
            <w:vAlign w:val="bottom"/>
            <w:gridSpan w:val="1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Exculpation and Indemnification</w:t>
              </w:r>
            </w:hyperlink>
          </w:p>
        </w:tc>
        <w:tc>
          <w:tcPr>
            <w:tcW w:w="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A-22</w:t>
              </w:r>
            </w:hyperlink>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7</w:t>
              </w:r>
            </w:hyperlink>
          </w:p>
        </w:tc>
        <w:tc>
          <w:tcPr>
            <w:tcW w:w="320" w:type="dxa"/>
            <w:vAlign w:val="bottom"/>
          </w:tcPr>
          <w:p>
            <w:pPr>
              <w:spacing w:after="0"/>
              <w:rPr>
                <w:sz w:val="17"/>
                <w:szCs w:val="17"/>
                <w:color w:val="auto"/>
              </w:rPr>
            </w:pPr>
          </w:p>
        </w:tc>
        <w:tc>
          <w:tcPr>
            <w:tcW w:w="2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Captions</w:t>
              </w:r>
            </w:hyperlink>
          </w:p>
        </w:tc>
        <w:tc>
          <w:tcPr>
            <w:tcW w:w="5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A-22</w:t>
              </w:r>
            </w:hyperlink>
          </w:p>
        </w:tc>
      </w:tr>
      <w:tr>
        <w:trPr>
          <w:trHeight w:val="20"/>
        </w:trPr>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8</w:t>
              </w:r>
            </w:hyperlink>
          </w:p>
        </w:tc>
        <w:tc>
          <w:tcPr>
            <w:tcW w:w="320" w:type="dxa"/>
            <w:vAlign w:val="bottom"/>
          </w:tcPr>
          <w:p>
            <w:pPr>
              <w:spacing w:after="0"/>
              <w:rPr>
                <w:sz w:val="17"/>
                <w:szCs w:val="17"/>
                <w:color w:val="auto"/>
              </w:rPr>
            </w:pPr>
          </w:p>
        </w:tc>
        <w:tc>
          <w:tcPr>
            <w:tcW w:w="7460" w:type="dxa"/>
            <w:vAlign w:val="bottom"/>
            <w:gridSpan w:val="1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Governing Law</w:t>
              </w:r>
            </w:hyperlink>
          </w:p>
        </w:tc>
        <w:tc>
          <w:tcPr>
            <w:tcW w:w="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A-22</w:t>
              </w:r>
            </w:hyperlink>
          </w:p>
        </w:tc>
      </w:tr>
      <w:tr>
        <w:trPr>
          <w:trHeight w:val="20"/>
        </w:trPr>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SL GREEN REALTY CORP.</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THIRD AMENDED AND RESTATED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2005 STOCK OPTION AND INCENTIVE PLAN</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Third Amended and Restated 2005 Stock Option and Incentive Plan, as amended as of June 13, 2013, is designed to provide equity-based incentives to certain Eligible Persons. Awards under the Plan may be made to Eligible Persons in the form of Options, Restricted Stock, Phantom Shares, Dividend Equivalent Rights or other forms of equity-based compensation.</w:t>
      </w:r>
    </w:p>
    <w:p>
      <w:pPr>
        <w:spacing w:after="0" w:line="170"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Whenever used herein, the following terms shall have the meanings set forth below:</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"Award," except where referring to a particular category of grant under the Plan, shall include Incentive Stock Options, Non-Qualified Stock Options, Restricted Stock, Phantom Shares, Dividend Equivalent Rights and other equity-based Awards as contemplated herein.</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"Cause" means, unless otherwise provided in the Participant's Award Agreement, (i) engaging in (A) willful or gross misconduct or (B) 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provided, however,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Control" means:</w:t>
      </w:r>
    </w:p>
    <w:p>
      <w:pPr>
        <w:spacing w:after="0" w:line="239" w:lineRule="exact"/>
        <w:rPr>
          <w:sz w:val="20"/>
          <w:szCs w:val="20"/>
          <w:color w:val="auto"/>
        </w:rPr>
      </w:pPr>
    </w:p>
    <w:p>
      <w:pPr>
        <w:ind w:left="1080" w:right="120" w:hanging="532"/>
        <w:spacing w:after="0" w:line="302" w:lineRule="auto"/>
        <w:tabs>
          <w:tab w:leader="none" w:pos="10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("Voting Securities") or</w:t>
      </w:r>
    </w:p>
    <w:p>
      <w:pPr>
        <w:spacing w:after="0" w:line="2" w:lineRule="exact"/>
        <w:rPr>
          <w:rFonts w:ascii="Arial" w:cs="Arial" w:eastAsia="Arial" w:hAnsi="Arial"/>
          <w:sz w:val="15"/>
          <w:szCs w:val="15"/>
          <w:color w:val="auto"/>
        </w:rPr>
      </w:pPr>
    </w:p>
    <w:p>
      <w:pPr>
        <w:ind w:left="1080" w:right="380"/>
        <w:spacing w:after="0" w:line="261" w:lineRule="auto"/>
        <w:rPr>
          <w:rFonts w:ascii="Arial" w:cs="Arial" w:eastAsia="Arial" w:hAnsi="Arial"/>
          <w:sz w:val="15"/>
          <w:szCs w:val="15"/>
          <w:color w:val="auto"/>
        </w:rPr>
      </w:pPr>
      <w:r>
        <w:rPr>
          <w:rFonts w:ascii="Arial" w:cs="Arial" w:eastAsia="Arial" w:hAnsi="Arial"/>
          <w:sz w:val="18"/>
          <w:szCs w:val="18"/>
          <w:color w:val="auto"/>
        </w:rPr>
        <w:t>(B) the then outstanding shares of all classes of stock of the Company (in either such case other than as a result of the acquisition of securities directly from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55"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members of the Board at the beginning of any consecutive 24-calendar-month period commencing on or after the initial effective date of the Plan (the "Incumbent Directors") cease for any reason other than death including without limitation, as a result of a tender offer, proxy contest, merger or similar transaction, to constitute at least a majority of the members of the Board; provided that any person becoming a director of the Company whose election or nomination was approved by a vote of at least a majority of the Incumbent Directors shall, for purposes hereof, be considered an Incumbent Director;</w:t>
      </w:r>
    </w:p>
    <w:p>
      <w:pPr>
        <w:spacing w:after="0" w:line="223"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or any subsidiary that would result in the Voting Securities outstanding immediately prior to such merger or consolidation representing (either by remaining outstanding or by being converted into voting securities of the surviving entity) less than 50% of the total voting power of the voting securities of the surviving entity outstanding immediately after such merger or consolidation or ceasing to have the power to elect at least a majority of the board of directors or other governing body of such surviving entity or (2) any sale, lease, exchange or other transfer (in one transaction or a series of transactions contemplated or arranged by any party as a single plan) of all or substantially all of the assets of the Company, if the stockholders of the Company and unitholders of SL Green Operating Partnership, L.P. taken as a whole and considered as one class immediately before such transaction own, immediately after consummation of such transaction, equity securities and partnership units possessing less than 50% of the surviving or acquiring company and partnership taken as a whole; or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stockholders of the Company shall approve any plan or proposal for the liquidation or dissolution of the Company.</w:t>
      </w:r>
    </w:p>
    <w:p>
      <w:pPr>
        <w:spacing w:after="0" w:line="225"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w:t>
      </w:r>
    </w:p>
    <w:p>
      <w:pPr>
        <w:spacing w:after="0" w:line="1" w:lineRule="exact"/>
        <w:rPr>
          <w:sz w:val="20"/>
          <w:szCs w:val="20"/>
          <w:color w:val="auto"/>
        </w:rPr>
      </w:pPr>
    </w:p>
    <w:p>
      <w:pPr>
        <w:ind w:right="180" w:firstLine="8"/>
        <w:spacing w:after="0" w:line="295"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169"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Notwithstanding the foregoing, no event or condition shall constitute a Change in Control to the extent that, if it were, a 20% tax would be imposed under Section 409A of the Code; provided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"Committee" means the Compensation Committee of the Board.</w:t>
      </w:r>
    </w:p>
    <w:p>
      <w:pPr>
        <w:spacing w:after="0" w:line="225" w:lineRule="exact"/>
        <w:rPr>
          <w:sz w:val="20"/>
          <w:szCs w:val="20"/>
          <w:color w:val="auto"/>
        </w:rPr>
      </w:pPr>
    </w:p>
    <w:p>
      <w:pPr>
        <w:jc w:val="both"/>
        <w:ind w:right="180" w:firstLine="351"/>
        <w:spacing w:after="0" w:line="332" w:lineRule="auto"/>
        <w:rPr>
          <w:sz w:val="20"/>
          <w:szCs w:val="20"/>
          <w:color w:val="auto"/>
        </w:rPr>
      </w:pPr>
      <w:r>
        <w:rPr>
          <w:rFonts w:ascii="Arial" w:cs="Arial" w:eastAsia="Arial" w:hAnsi="Arial"/>
          <w:sz w:val="16"/>
          <w:szCs w:val="16"/>
          <w:color w:val="auto"/>
        </w:rPr>
        <w:t>"Common Stock"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"Company" means SL Green Realty Corp., a Maryland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means a non-employee director of the Company or its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 the extent that, if it were, a 20% tax would be imposed under Section 409A of the Code; provided that, in such a case, the event or condition shall continue to constitute a Disability to the maximum extent possible (e.g., if applicable, in regard of vesting without an acceleration of distribution) without causing the imposition of such 20% tax.</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"Dividend Equivalent Right" means a right awarded under Section 8 of the Plan to receive (or have credited) the equivalent value of dividends paid on Common Stock.</w:t>
      </w:r>
    </w:p>
    <w:p>
      <w:pPr>
        <w:spacing w:after="0" w:line="186"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"Fair Market Value" per Share as of a particular date means (i) if Shares are then listed on a national stock exchange, the closing sales price per Share on the exchange for the last preceding date on which there was a sale of Shares on such exchange, as determined by the Committee, (ii) 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 Committee, or (iii) if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15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"Full-Value Award" means an Award other than an Option, Stock Appreciation Right or other Award that does not deliver the full value at grant thereof of the underlying shares.</w:t>
      </w:r>
    </w:p>
    <w:p>
      <w:pPr>
        <w:spacing w:after="0" w:line="186"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color w:val="auto"/>
        </w:rPr>
        <w:t>"Fungible Pool Unit" shall be the measuring unit used for purposes of the Plan, as specified in Section 4, to determine the number of Shares which may be subject to Awards hereunder, which shall consist of Shares in the proportions (a) with respect to Awards granted prior to June 15, 2010 (ranging from 0.7 to 3.0),</w:t>
      </w:r>
    </w:p>
    <w:p>
      <w:pPr>
        <w:ind w:right="200" w:firstLine="8"/>
        <w:spacing w:after="0" w:line="261"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Awards granted on or after June 15, 2010 but before June 13, 2013 (ranging from 0.79 to 1.65) and (c) with respect to Awards granted on or after June 13, 2013 (ranging from 0.77 to 2.76), as set forth in Section 4(a).</w:t>
      </w:r>
    </w:p>
    <w:p>
      <w:pPr>
        <w:spacing w:after="0" w:line="19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"Grantee" means an Eligible Person granted Restricted Stock, Phantom Shares, Dividend Equivalent Rights or such other equity-based Awards as may be granted pursuant to Section 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"Incentive Stock Option" means an "incentive stock option" within the meaning of Section 422(b) of the Code.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"Non-Qualified Stock Option" means an Option which is not an Incentive Stock Option.</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"Optionee" means an Eligible Person to whom an Option is granted, or the Successors of the Optionee, as the context so requires.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Price" means the price per Share, determined by the Board or the Committee, at which an Option may be exercised.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 means a Grantee or Optionee.</w:t>
      </w:r>
    </w:p>
    <w:p>
      <w:pPr>
        <w:spacing w:after="0" w:line="225"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"Performance Criteria" means the following business criteria (or any combination thereof) with respect to one or more of the Company, any Subsidiary or any division or operating unit thereof: (i) pre-tax income, (ii) after-tax income, (iii) net income (meaning net income as reflected in the Company's financial reports for the applicable period, on an aggregate, diluted and/or per share basis), (iv) operating income, (iv) cash flow, (v) earnings per share, (vi) return on equity, (vii) return on invested capital or assets, (viii) cash and/or funds available for distribution, (ix) appreciation in the fair market value of the Common Stock,</w:t>
      </w:r>
    </w:p>
    <w:p>
      <w:pPr>
        <w:spacing w:after="0" w:line="3" w:lineRule="exact"/>
        <w:rPr>
          <w:sz w:val="20"/>
          <w:szCs w:val="20"/>
          <w:color w:val="auto"/>
        </w:rPr>
      </w:pPr>
    </w:p>
    <w:p>
      <w:pPr>
        <w:jc w:val="both"/>
        <w:ind w:right="420" w:firstLine="8"/>
        <w:spacing w:after="0" w:line="281"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return on investment, (xi) total return to shareholders, (xii) net earnings growth, (xiii) stock appreciation (meaning an increase in the price or value of the Common Stock after the date of grant of an award and during the applicable period), (xiv) related return ratios, (xv) increase in revenues, (xvi) net earnings,</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(or the absence of changes) in the per share or aggregate market price of the Company's Common Stock, (xviii) number of securities sold,</w:t>
      </w:r>
    </w:p>
    <w:p>
      <w:pPr>
        <w:spacing w:after="0" w:line="32" w:lineRule="exact"/>
        <w:rPr>
          <w:rFonts w:ascii="Arial" w:cs="Arial" w:eastAsia="Arial" w:hAnsi="Arial"/>
          <w:sz w:val="16"/>
          <w:szCs w:val="16"/>
          <w:color w:val="auto"/>
        </w:rPr>
      </w:pPr>
    </w:p>
    <w:p>
      <w:pPr>
        <w:ind w:right="100" w:firstLine="8"/>
        <w:spacing w:after="0" w:line="254" w:lineRule="auto"/>
        <w:tabs>
          <w:tab w:leader="none" w:pos="3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items: interest, taxes, depreciation or amortization for the applicable period, as reflected in the Company's financial reports for the applicable period, (xx) total revenue growth (meaning the increase in total revenues after the date of grant of an award and during the applicable period, as reflected in the Company's financial reports for the applicable period), (xxi) the Company's published ranking against its peer group of real estate investment trusts based on total shareholder return, and (xxii) FFO.</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"Performance Goals" means (i) 7% FFO growth, (ii) 10% total return to shareholders and (iii) Total return to shareholders in the top one-third of the "peer group". For purposes of this definition, "peer group" shall be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Such "peer group" may not change with respect to any particular Award.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"Phantom Share" means a right, pursuant to the Plan, of the Grantee to payment of the Phantom Share Value.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"Phantom Share Value," per Phantom Share, means the Fair Market Value of a Share of Class A Common Stock, or, if so provided by the Committee, such Fair Market Value to the extent in excess of a base value established by the Committee at the time of grant.</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"Plan" means the Company's Third Amended and Restated 2005 Stock Option and Incentive Plan, as amended and restated on June 13, 2013, as set forth herein and as the same may from time to time be amended.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Stock" means an award of Shares that are subject to restrictions hereunder.</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"Settlement Date" means the date determined under Section 7.4(c).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"Shares" means shares of Common Stock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Appreciation Right" means the right to settle an Option as provided for in Section 5.7.</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"Subsidiary" means any corporation (other than the Company) that is a "subsidiary corporation" with respect to the Company under Section 424(f) of the Code. In the event the Company becomes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"Termination of Service" means a Participant's termination of employment or other service, as applicable, with the Company and its Subsidiaries.</w:t>
      </w:r>
    </w:p>
    <w:p>
      <w:pPr>
        <w:spacing w:after="0" w:line="248"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EFFECTIVE DATE AND TERMINATION OF PLAN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effective date of the Plan is June 13, 2013. The amendments reflected in this Third Amended and Restated 2005 Stock Option and Incentive Plan shall not become effective unless and until it is approved by the requisite percentage of the holders of the Common Stock of the Company. The Plan shall terminate on, and no Award shall be granted hereunder on or after, the 10-year anniversary of the approval of this Third Amended and Restated 2005 Stock Option and Incentive Plan by the shareholders of the Company; provided, that no Incentive Stock Options shall be granted hereunder on or after the 10-year anniversary of the approval of this Third Amended and Restated 2005 Stock Option and Incentive Plan by the Board; provided further that the Board may at any time prior to that date terminate the Plan; and provided, further, that all Awards made under the Plan prior to a Plan termination shall remain in effect until such Awards have been satisfied or terminated in accordance with the terms and provisions of the Plan and the applicable Award Agreement.</w:t>
      </w:r>
    </w:p>
    <w:p>
      <w:pPr>
        <w:spacing w:after="0" w:line="17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ADMINISTRATION OF PLAN</w:t>
      </w:r>
    </w:p>
    <w:p>
      <w:pPr>
        <w:spacing w:after="0" w:line="225" w:lineRule="exact"/>
        <w:rPr>
          <w:rFonts w:ascii="Arial" w:cs="Arial" w:eastAsia="Arial" w:hAnsi="Arial"/>
          <w:sz w:val="18"/>
          <w:szCs w:val="18"/>
          <w:color w:val="auto"/>
        </w:rPr>
      </w:pPr>
    </w:p>
    <w:p>
      <w:pPr>
        <w:ind w:firstLine="359"/>
        <w:spacing w:after="0" w:line="288" w:lineRule="auto"/>
        <w:tabs>
          <w:tab w:leader="none" w:pos="675"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Plan shall be administered by the Committee appointed by the Board. Unless 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 extent relief from the limitation of Section 162(m) of the Code is sought with respect to Awards), qualify as "outside directors" for purposes of Section 162(m) of the Code; provided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173" w:lineRule="exact"/>
        <w:rPr>
          <w:rFonts w:ascii="Arial" w:cs="Arial" w:eastAsia="Arial" w:hAnsi="Arial"/>
          <w:sz w:val="16"/>
          <w:szCs w:val="16"/>
          <w:color w:val="auto"/>
        </w:rPr>
      </w:pPr>
    </w:p>
    <w:p>
      <w:pPr>
        <w:jc w:val="both"/>
        <w:ind w:firstLine="359"/>
        <w:spacing w:after="0" w:line="298" w:lineRule="auto"/>
        <w:tabs>
          <w:tab w:leader="none" w:pos="688"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in its discretion (i) authorize the granting of Awards to Eligible Persons; and (ii) 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166" w:lineRule="exact"/>
        <w:rPr>
          <w:rFonts w:ascii="Arial" w:cs="Arial" w:eastAsia="Arial" w:hAnsi="Arial"/>
          <w:sz w:val="16"/>
          <w:szCs w:val="16"/>
          <w:color w:val="auto"/>
        </w:rPr>
      </w:pPr>
    </w:p>
    <w:p>
      <w:pPr>
        <w:ind w:right="140" w:firstLine="359"/>
        <w:spacing w:after="0" w:line="259" w:lineRule="auto"/>
        <w:tabs>
          <w:tab w:leader="none" w:pos="67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167" w:lineRule="exact"/>
        <w:rPr>
          <w:sz w:val="20"/>
          <w:szCs w:val="20"/>
          <w:color w:val="auto"/>
        </w:rPr>
      </w:pPr>
    </w:p>
    <w:p>
      <w:pPr>
        <w:jc w:val="both"/>
        <w:ind w:right="20" w:firstLine="359"/>
        <w:spacing w:after="0" w:line="306" w:lineRule="auto"/>
        <w:tabs>
          <w:tab w:leader="none" w:pos="684"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160" w:lineRule="exact"/>
        <w:rPr>
          <w:rFonts w:ascii="Arial" w:cs="Arial" w:eastAsia="Arial" w:hAnsi="Arial"/>
          <w:sz w:val="16"/>
          <w:szCs w:val="16"/>
          <w:color w:val="auto"/>
        </w:rPr>
      </w:pPr>
    </w:p>
    <w:p>
      <w:pPr>
        <w:ind w:right="100" w:firstLine="359"/>
        <w:spacing w:after="0" w:line="253" w:lineRule="auto"/>
        <w:tabs>
          <w:tab w:leader="none" w:pos="67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SHARES AND UNITS SUBJECT TO THE PLAN</w:t>
      </w:r>
    </w:p>
    <w:p>
      <w:pPr>
        <w:spacing w:after="0" w:line="225" w:lineRule="exact"/>
        <w:rPr>
          <w:rFonts w:ascii="Arial" w:cs="Arial" w:eastAsia="Arial" w:hAnsi="Arial"/>
          <w:sz w:val="18"/>
          <w:szCs w:val="18"/>
          <w:color w:val="auto"/>
        </w:rPr>
      </w:pPr>
    </w:p>
    <w:p>
      <w:pPr>
        <w:ind w:firstLine="359"/>
        <w:spacing w:after="0" w:line="301" w:lineRule="auto"/>
        <w:tabs>
          <w:tab w:leader="none" w:pos="678" w:val="left"/>
        </w:tabs>
        <w:numPr>
          <w:ilvl w:val="1"/>
          <w:numId w:val="66"/>
        </w:numPr>
        <w:rPr>
          <w:rFonts w:ascii="Arial" w:cs="Arial" w:eastAsia="Arial" w:hAnsi="Arial"/>
          <w:sz w:val="15"/>
          <w:szCs w:val="15"/>
          <w:color w:val="auto"/>
        </w:rPr>
      </w:pPr>
      <w:r>
        <w:rPr>
          <w:rFonts w:ascii="Arial" w:cs="Arial" w:eastAsia="Arial" w:hAnsi="Arial"/>
          <w:sz w:val="15"/>
          <w:szCs w:val="15"/>
          <w:color w:val="auto"/>
        </w:rPr>
        <w:t>Subject to adjustments as provided in Section 14, the total number of Shares subject to Awards granted under the Plan, in the aggregate, may not exceed 17,130,000 (the "Fungible Pool Limit"). Each Share issued or to be issued in connection with Full-Value Awards that vest or are granted based on the achievement of the Performance Goals granted prior to June 15, 2010 shall be counted against the Fungible Pool Limit as 2.0 Fungible Pool Units. Each Share issued or to be issued in connection with any other Full-Value Awards granted prior to June 15, 2010 shall be counted against the Fungible Pool Limit as 3.0 Fungible Pool Units. Each Share issued or to be issued in connection with any Full-Value Awards granted on or after June 15, 2010 but before June 13, 2013 shall be counted against the Fungible Pool Limit as 1.65 Fungible Pool Units. Each Share issued or to be issued in connection with any Full-Value Awards granted on or after June 13, 2013 shall be counted against the Fungible Pool Limit as 2.76 Fungible Pool Units. Options, 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(i) granted prior to June 15, 2010 shall be counted against the Fungible Pool Limit as 0.7 of a Fungible Pool Unit,</w:t>
      </w:r>
    </w:p>
    <w:p>
      <w:pPr>
        <w:spacing w:after="0" w:line="3" w:lineRule="exact"/>
        <w:rPr>
          <w:rFonts w:ascii="Arial" w:cs="Arial" w:eastAsia="Arial" w:hAnsi="Arial"/>
          <w:sz w:val="15"/>
          <w:szCs w:val="15"/>
          <w:color w:val="auto"/>
        </w:rPr>
      </w:pPr>
    </w:p>
    <w:p>
      <w:pPr>
        <w:spacing w:after="0" w:line="288" w:lineRule="auto"/>
        <w:rPr>
          <w:rFonts w:ascii="Arial" w:cs="Arial" w:eastAsia="Arial" w:hAnsi="Arial"/>
          <w:sz w:val="15"/>
          <w:szCs w:val="15"/>
          <w:color w:val="auto"/>
        </w:rPr>
      </w:pPr>
      <w:r>
        <w:rPr>
          <w:rFonts w:ascii="Arial" w:cs="Arial" w:eastAsia="Arial" w:hAnsi="Arial"/>
          <w:sz w:val="16"/>
          <w:szCs w:val="16"/>
          <w:color w:val="auto"/>
        </w:rPr>
        <w:t>(ii) granted on or after June 15, 2010 but before June 13, 2013 shall be counted against the Fungible Pool Limit as 0.79 of a Fungible Pool Unit and (iii) granted on or after June 13, 2013 shall be counted against the Fungible Pool Limit as 0.77 of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 Such Shares shall be added back to the Plan using the same ratio as in effect when such Awards were granted, except that the ratios for Awards forfeited after June 13, 2013 shall not be less than the ratios in effect for such Awards as of the date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forfeiture. The following Shares shall not be added to the Shares authorized for grant under the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194" w:lineRule="exact"/>
        <w:rPr>
          <w:sz w:val="20"/>
          <w:szCs w:val="20"/>
          <w:color w:val="auto"/>
        </w:rPr>
      </w:pPr>
    </w:p>
    <w:p>
      <w:pPr>
        <w:ind w:right="140" w:firstLine="359"/>
        <w:spacing w:after="0" w:line="323" w:lineRule="auto"/>
        <w:tabs>
          <w:tab w:leader="none" w:pos="688" w:val="left"/>
        </w:tabs>
        <w:numPr>
          <w:ilvl w:val="1"/>
          <w:numId w:val="67"/>
        </w:numPr>
        <w:rPr>
          <w:rFonts w:ascii="Arial" w:cs="Arial" w:eastAsia="Arial" w:hAnsi="Arial"/>
          <w:sz w:val="15"/>
          <w:szCs w:val="15"/>
          <w:color w:val="auto"/>
        </w:rPr>
      </w:pPr>
      <w:r>
        <w:rPr>
          <w:rFonts w:ascii="Arial" w:cs="Arial" w:eastAsia="Arial" w:hAnsi="Arial"/>
          <w:sz w:val="15"/>
          <w:szCs w:val="15"/>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4(a). If any Phantom Shares, Dividend Equivalent Rights or other equity-based Awards under Section 9 are paid out in cash, then, notwithstanding the first sentence of Section 4(a) above (but subject to the second sentence thereof) the underlying Shares may again be made the subject of Awards under the Plan.</w:t>
      </w:r>
    </w:p>
    <w:p>
      <w:pPr>
        <w:spacing w:after="0" w:line="151" w:lineRule="exact"/>
        <w:rPr>
          <w:rFonts w:ascii="Arial" w:cs="Arial" w:eastAsia="Arial" w:hAnsi="Arial"/>
          <w:sz w:val="15"/>
          <w:szCs w:val="15"/>
          <w:color w:val="auto"/>
        </w:rPr>
      </w:pPr>
    </w:p>
    <w:p>
      <w:pPr>
        <w:ind w:firstLine="359"/>
        <w:spacing w:after="0" w:line="268" w:lineRule="auto"/>
        <w:tabs>
          <w:tab w:leader="none" w:pos="6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185" w:lineRule="exact"/>
        <w:rPr>
          <w:rFonts w:ascii="Arial" w:cs="Arial" w:eastAsia="Arial" w:hAnsi="Arial"/>
          <w:sz w:val="18"/>
          <w:szCs w:val="18"/>
          <w:color w:val="auto"/>
        </w:rPr>
      </w:pPr>
    </w:p>
    <w:p>
      <w:pPr>
        <w:ind w:right="40" w:firstLine="359"/>
        <w:spacing w:after="0" w:line="290" w:lineRule="auto"/>
        <w:tabs>
          <w:tab w:leader="none" w:pos="688"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14, no Eligible Person shall be granted Awards in any one year covering more than 700,000 Shares (with each Share subject to an Award being counted as one Share, notwithstanding the type of Award or the fact that it may count as more or less than one Fungible Pool Unit for purposes of Section 4(a)), it being expressly contemplated that Awards in exclusively one category (e.g., Options) can (but need not) be used in the discretion of the Committee to reach the limitation set forth in this sentence; provided that this limit shall only apply to Awards that are intended to qualify as "performance-based compensation" under Section 162(m) of the Code and the regulations promulgated thereunder.</w:t>
      </w:r>
    </w:p>
    <w:p>
      <w:pPr>
        <w:spacing w:after="0" w:line="172" w:lineRule="exact"/>
        <w:rPr>
          <w:rFonts w:ascii="Arial" w:cs="Arial" w:eastAsia="Arial" w:hAnsi="Arial"/>
          <w:sz w:val="16"/>
          <w:szCs w:val="16"/>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PROVISIONS APPLICABLE TO STOCK OPTIONS</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Grant of Option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Option Price</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Period of Option and Vesting</w:t>
      </w:r>
    </w:p>
    <w:p>
      <w:pPr>
        <w:spacing w:after="0" w:line="225" w:lineRule="exact"/>
        <w:rPr>
          <w:sz w:val="20"/>
          <w:szCs w:val="20"/>
          <w:color w:val="auto"/>
        </w:rPr>
      </w:pPr>
    </w:p>
    <w:p>
      <w:pPr>
        <w:ind w:right="40" w:firstLine="359"/>
        <w:spacing w:after="0" w:line="255" w:lineRule="auto"/>
        <w:tabs>
          <w:tab w:leader="none" w:pos="6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196" w:lineRule="exact"/>
        <w:rPr>
          <w:rFonts w:ascii="Arial" w:cs="Arial" w:eastAsia="Arial" w:hAnsi="Arial"/>
          <w:sz w:val="18"/>
          <w:szCs w:val="18"/>
          <w:color w:val="auto"/>
        </w:rPr>
      </w:pPr>
    </w:p>
    <w:p>
      <w:pPr>
        <w:ind w:firstLine="359"/>
        <w:spacing w:after="0" w:line="310" w:lineRule="auto"/>
        <w:tabs>
          <w:tab w:leader="none" w:pos="688" w:val="left"/>
        </w:tabs>
        <w:numPr>
          <w:ilvl w:val="0"/>
          <w:numId w:val="69"/>
        </w:numPr>
        <w:rPr>
          <w:rFonts w:ascii="Arial" w:cs="Arial" w:eastAsia="Arial" w:hAnsi="Arial"/>
          <w:sz w:val="15"/>
          <w:szCs w:val="15"/>
          <w:color w:val="auto"/>
        </w:rPr>
      </w:pPr>
      <w:r>
        <w:rPr>
          <w:rFonts w:ascii="Arial" w:cs="Arial" w:eastAsia="Arial" w:hAnsi="Arial"/>
          <w:sz w:val="15"/>
          <w:szCs w:val="15"/>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Notwithstanding the foregoing provisions of this Section 5.3(b), Options exercisable pursuant to the schedule set forth by the Committee at the time of grant may be fully or more rapidly exercisable or otherwise vested at any time in the discretion of the Committee. Upon and after the death of an Optionee, such Optionee's Options, if and to the extent otherwise exercisable hereunder or under the applicable Award Agreement after the Optionee's death, may be exercised by the Successors of the Optionee.</w:t>
      </w:r>
    </w:p>
    <w:p>
      <w:pPr>
        <w:spacing w:after="0" w:line="16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Exercisability Upon and After Termination of Optionee</w:t>
      </w:r>
    </w:p>
    <w:p>
      <w:pPr>
        <w:spacing w:after="0" w:line="225" w:lineRule="exact"/>
        <w:rPr>
          <w:sz w:val="20"/>
          <w:szCs w:val="20"/>
          <w:color w:val="auto"/>
        </w:rPr>
      </w:pPr>
    </w:p>
    <w:p>
      <w:pPr>
        <w:jc w:val="both"/>
        <w:ind w:right="40" w:firstLine="359"/>
        <w:spacing w:after="0" w:line="291" w:lineRule="auto"/>
        <w:tabs>
          <w:tab w:leader="none" w:pos="6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Subject to provisions of the Award Agreement, in the event the Optionee has a Termination of Service other than by the Company or its Subsidiaries for Cause, or other than by reason of death or Disability, no exercise of an Option may occur after the expiration of the three-month period to follow the termination, or if earlier, the expiration of the term of the Option as provided under Section 5.3(a); provided that, if the Optionee should die after the Termination of Service, such termination being for a reason other than Cause or Disability,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174" w:lineRule="exact"/>
        <w:rPr>
          <w:rFonts w:ascii="Arial" w:cs="Arial" w:eastAsia="Arial" w:hAnsi="Arial"/>
          <w:sz w:val="16"/>
          <w:szCs w:val="16"/>
          <w:color w:val="auto"/>
        </w:rPr>
      </w:pPr>
    </w:p>
    <w:p>
      <w:pPr>
        <w:ind w:right="300" w:firstLine="359"/>
        <w:spacing w:after="0" w:line="259" w:lineRule="auto"/>
        <w:tabs>
          <w:tab w:leader="none" w:pos="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provisions of the Award Agreement, in the event the Optionee has a Termination of Service on account of death or Disability, the Option (whether or not otherwise exercisable) may be exercised until the earlier of (i) one year from the date of the Termination of Service of the Optionee, or (ii) the date on which the term of the Option expires in accordance with Section 5.3.</w:t>
      </w:r>
    </w:p>
    <w:p>
      <w:pPr>
        <w:spacing w:after="0" w:line="194" w:lineRule="exact"/>
        <w:rPr>
          <w:rFonts w:ascii="Arial" w:cs="Arial" w:eastAsia="Arial" w:hAnsi="Arial"/>
          <w:sz w:val="18"/>
          <w:szCs w:val="18"/>
          <w:color w:val="auto"/>
        </w:rPr>
      </w:pPr>
    </w:p>
    <w:p>
      <w:pPr>
        <w:ind w:right="280" w:firstLine="359"/>
        <w:spacing w:after="0" w:line="332" w:lineRule="auto"/>
        <w:tabs>
          <w:tab w:leader="none" w:pos="6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13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i w:val="1"/>
          <w:iCs w:val="1"/>
          <w:color w:val="auto"/>
        </w:rPr>
        <w:t>Exercise of Options</w:t>
      </w:r>
    </w:p>
    <w:p>
      <w:pPr>
        <w:spacing w:after="0" w:line="225" w:lineRule="exact"/>
        <w:rPr>
          <w:sz w:val="20"/>
          <w:szCs w:val="20"/>
          <w:color w:val="auto"/>
        </w:rPr>
      </w:pPr>
    </w:p>
    <w:p>
      <w:pPr>
        <w:jc w:val="both"/>
        <w:ind w:right="180" w:firstLine="359"/>
        <w:spacing w:after="0" w:line="259" w:lineRule="auto"/>
        <w:tabs>
          <w:tab w:leader="none" w:pos="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59"/>
        <w:spacing w:after="0" w:line="268" w:lineRule="auto"/>
        <w:tabs>
          <w:tab w:leader="none" w:pos="6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i w:val="1"/>
          <w:iCs w:val="1"/>
          <w:color w:val="auto"/>
        </w:rPr>
        <w:t>Payment</w:t>
      </w:r>
    </w:p>
    <w:p>
      <w:pPr>
        <w:spacing w:after="0" w:line="225" w:lineRule="exact"/>
        <w:rPr>
          <w:sz w:val="20"/>
          <w:szCs w:val="20"/>
          <w:color w:val="auto"/>
        </w:rPr>
      </w:pPr>
    </w:p>
    <w:p>
      <w:pPr>
        <w:ind w:left="680" w:hanging="321"/>
        <w:spacing w:after="0"/>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aggregate Option Price shall be paid in full upon the exercise of the Option. Payment must be made by one of the following methods: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certified or bank cashier's check or wire transfer;</w:t>
      </w:r>
    </w:p>
    <w:p>
      <w:pPr>
        <w:spacing w:after="0" w:line="252" w:lineRule="exact"/>
        <w:rPr>
          <w:rFonts w:ascii="Arial" w:cs="Arial" w:eastAsia="Arial" w:hAnsi="Arial"/>
          <w:sz w:val="18"/>
          <w:szCs w:val="18"/>
          <w:color w:val="auto"/>
        </w:rPr>
      </w:pPr>
    </w:p>
    <w:p>
      <w:pPr>
        <w:ind w:left="1620" w:right="360" w:hanging="532"/>
        <w:spacing w:after="0" w:line="259" w:lineRule="auto"/>
        <w:tabs>
          <w:tab w:leader="none" w:pos="1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subject to Section 12(e),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207" w:lineRule="exact"/>
        <w:rPr>
          <w:rFonts w:ascii="Arial" w:cs="Arial" w:eastAsia="Arial" w:hAnsi="Arial"/>
          <w:sz w:val="18"/>
          <w:szCs w:val="18"/>
          <w:color w:val="auto"/>
        </w:rPr>
      </w:pPr>
    </w:p>
    <w:p>
      <w:pPr>
        <w:ind w:left="1620" w:right="160" w:hanging="532"/>
        <w:spacing w:after="0" w:line="332" w:lineRule="auto"/>
        <w:tabs>
          <w:tab w:leader="none" w:pos="16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approved by the Committee in its discretion, Shares of previously owned Common Stock, which have been previously owned for more than six months, having an aggregate Fair Market Value on the date of exercise equal to the aggregate Option Price; or</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by any combination of such methods of payment or any other method acceptable to the Committee in its discretion.</w:t>
      </w:r>
    </w:p>
    <w:p>
      <w:pPr>
        <w:spacing w:after="0" w:line="225" w:lineRule="exact"/>
        <w:rPr>
          <w:rFonts w:ascii="Arial" w:cs="Arial" w:eastAsia="Arial" w:hAnsi="Arial"/>
          <w:sz w:val="18"/>
          <w:szCs w:val="18"/>
          <w:color w:val="auto"/>
        </w:rPr>
      </w:pPr>
    </w:p>
    <w:p>
      <w:pPr>
        <w:ind w:firstLine="359"/>
        <w:spacing w:after="0" w:line="259" w:lineRule="auto"/>
        <w:tabs>
          <w:tab w:leader="none" w:pos="6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194" w:lineRule="exact"/>
        <w:rPr>
          <w:rFonts w:ascii="Arial" w:cs="Arial" w:eastAsia="Arial" w:hAnsi="Arial"/>
          <w:sz w:val="18"/>
          <w:szCs w:val="18"/>
          <w:color w:val="auto"/>
        </w:rPr>
      </w:pPr>
    </w:p>
    <w:p>
      <w:pPr>
        <w:ind w:right="200" w:firstLine="359"/>
        <w:spacing w:after="0" w:line="268" w:lineRule="auto"/>
        <w:tabs>
          <w:tab w:leader="none" w:pos="6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i w:val="1"/>
          <w:iCs w:val="1"/>
          <w:color w:val="auto"/>
        </w:rPr>
        <w:t>Stock Appreciation Rights</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Committee, in its discretion, may also permit (taking into account, without limitation, the application of Section 409A of the Code, as the Committee may deem appropriate) the Optionee to elect to exercise an Option by receiving a combination of Shares and cash, or, in the discretion of the Committee, either Shares or solely in cash, with an aggregate Fair Market Value (or, to the extent of payment in cash, in an amount) equal to the excess of the Fair Market Value of the Shares with respect to which the Option is being exercised over the aggregate Option Price, as determined as of the day the Option is exercised.</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i w:val="1"/>
          <w:iCs w:val="1"/>
          <w:color w:val="auto"/>
        </w:rPr>
        <w:t>Exercise by Successors</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An Option may be exercised, and payment in full of the aggregate Option Price made, by the Successors of the Optionee only by written notice (in the form prescribed by the Committee) to the Company specifying the number of Shares to be purchased. Such notice shall state that the aggregate Option Price will be paid in full, or that the Option will be exercised as otherwise provided hereunder, in the discretion of the Company or the Committee, if and as applicable.</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i w:val="1"/>
          <w:iCs w:val="1"/>
          <w:color w:val="auto"/>
        </w:rPr>
        <w:t>Nontransferability of Option</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Each Option granted under the Plan shall be nontransferable by the Optionee except by will or the laws of descent and distribution of the state wherein the Optionee is domiciled at the time of his death; provided, however,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further, that in no event may an Option be transferred by the Optionee for consideration without shareholder approval.</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i w:val="1"/>
          <w:iCs w:val="1"/>
          <w:color w:val="auto"/>
        </w:rPr>
        <w:t>Deferral</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Except as provided in the Award Agreement, the Committee (taking into account, without limitation, the possible application of Section 409A of the Code, as the Committee may deem appropriate) may establish a program under which Participants will have Phantom Shares subject to Section 7 credited upon their exercise of Options, rather than receiving Shares at that time.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i w:val="1"/>
          <w:iCs w:val="1"/>
          <w:color w:val="auto"/>
        </w:rPr>
        <w:t>Certain Incentive Stock Option Provisions</w:t>
      </w:r>
    </w:p>
    <w:p>
      <w:pPr>
        <w:spacing w:after="0" w:line="225" w:lineRule="exact"/>
        <w:rPr>
          <w:sz w:val="20"/>
          <w:szCs w:val="20"/>
          <w:color w:val="auto"/>
        </w:rPr>
      </w:pPr>
    </w:p>
    <w:p>
      <w:pPr>
        <w:ind w:right="140" w:firstLine="359"/>
        <w:spacing w:after="0" w:line="259" w:lineRule="auto"/>
        <w:tabs>
          <w:tab w:leader="none" w:pos="6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194" w:lineRule="exact"/>
        <w:rPr>
          <w:rFonts w:ascii="Arial" w:cs="Arial" w:eastAsia="Arial" w:hAnsi="Arial"/>
          <w:sz w:val="18"/>
          <w:szCs w:val="18"/>
          <w:color w:val="auto"/>
        </w:rPr>
      </w:pPr>
    </w:p>
    <w:p>
      <w:pPr>
        <w:ind w:right="140" w:firstLine="359"/>
        <w:spacing w:after="0" w:line="254" w:lineRule="auto"/>
        <w:tabs>
          <w:tab w:leader="none" w:pos="6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Option Price with respect to each Incentive Stock Option shall not be less than 100%, or 110% in the case of an individual described in</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422(b)(6) of the Code (relating to certain 10% owners), of the Fair Market Value of a Share on the day the Option is granted. In the case of an individual described in Section 422(b)(6) of the Code who is granted an Incentive Stock Option, the term of such Option shall be no more than five years from the date of grant.</w:t>
      </w:r>
    </w:p>
    <w:p>
      <w:pPr>
        <w:spacing w:after="0" w:line="198" w:lineRule="exact"/>
        <w:rPr>
          <w:sz w:val="20"/>
          <w:szCs w:val="20"/>
          <w:color w:val="auto"/>
        </w:rPr>
      </w:pPr>
    </w:p>
    <w:p>
      <w:pPr>
        <w:ind w:left="360" w:right="7140" w:hanging="352"/>
        <w:spacing w:after="0" w:line="501" w:lineRule="auto"/>
        <w:tabs>
          <w:tab w:leader="none" w:pos="316"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PROVISIONS APPLICABLE TO RESTRICTED STOCK </w:t>
      </w:r>
      <w:r>
        <w:rPr>
          <w:rFonts w:ascii="Arial" w:cs="Arial" w:eastAsia="Arial" w:hAnsi="Arial"/>
          <w:sz w:val="18"/>
          <w:szCs w:val="18"/>
          <w:color w:val="auto"/>
        </w:rPr>
        <w:t xml:space="preserve">6.1 </w:t>
      </w:r>
      <w:r>
        <w:rPr>
          <w:rFonts w:ascii="Arial" w:cs="Arial" w:eastAsia="Arial" w:hAnsi="Arial"/>
          <w:sz w:val="18"/>
          <w:szCs w:val="18"/>
          <w:i w:val="1"/>
          <w:iCs w:val="1"/>
          <w:color w:val="auto"/>
        </w:rPr>
        <w:t>Grant of Restricted Stock</w:t>
      </w:r>
    </w:p>
    <w:p>
      <w:pPr>
        <w:ind w:firstLine="359"/>
        <w:spacing w:after="0" w:line="291" w:lineRule="auto"/>
        <w:tabs>
          <w:tab w:leader="none" w:pos="678"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connection with the grant of Restricted Stock, whether or not performance goals (as provided for under Section 10)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 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174" w:lineRule="exact"/>
        <w:rPr>
          <w:rFonts w:ascii="Arial" w:cs="Arial" w:eastAsia="Arial" w:hAnsi="Arial"/>
          <w:sz w:val="16"/>
          <w:szCs w:val="16"/>
          <w:color w:val="auto"/>
        </w:rPr>
      </w:pPr>
    </w:p>
    <w:p>
      <w:pPr>
        <w:ind w:right="200" w:firstLine="359"/>
        <w:spacing w:after="0" w:line="298" w:lineRule="auto"/>
        <w:tabs>
          <w:tab w:leader="none" w:pos="688"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Subject to the other terms of the Plan, the Committee may, in its discretion as reflected by the terms of the applicable Award Agreement: (i) 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the grant of Restricted Stock under the Plan as it may deem appropriate.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Certificates</w:t>
      </w:r>
    </w:p>
    <w:p>
      <w:pPr>
        <w:spacing w:after="0" w:line="225" w:lineRule="exact"/>
        <w:rPr>
          <w:sz w:val="20"/>
          <w:szCs w:val="20"/>
          <w:color w:val="auto"/>
        </w:rPr>
      </w:pPr>
    </w:p>
    <w:p>
      <w:pPr>
        <w:ind w:right="60" w:firstLine="359"/>
        <w:spacing w:after="0" w:line="294" w:lineRule="auto"/>
        <w:tabs>
          <w:tab w:leader="none" w:pos="678"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4(c), the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170" w:lineRule="exact"/>
        <w:rPr>
          <w:sz w:val="20"/>
          <w:szCs w:val="20"/>
          <w:color w:val="auto"/>
        </w:rPr>
      </w:pPr>
    </w:p>
    <w:p>
      <w:pPr>
        <w:ind w:left="540" w:right="340"/>
        <w:spacing w:after="0" w:line="256"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SL Green Realty Corp. Third Amended and Restated 2005 Stock Option and Incentive Plan and an Award Agreement entered into between the registered owner and SL Green Realty Corp. Copies of such Plan and Award Agreement are on file in the offices of SL Green Realty Corp., at 420 Lexington Avenue, New York, New York 10170.</w:t>
      </w:r>
    </w:p>
    <w:p>
      <w:pPr>
        <w:spacing w:after="0" w:line="197" w:lineRule="exact"/>
        <w:rPr>
          <w:sz w:val="20"/>
          <w:szCs w:val="20"/>
          <w:color w:val="auto"/>
        </w:rPr>
      </w:pPr>
    </w:p>
    <w:p>
      <w:pPr>
        <w:ind w:firstLine="359"/>
        <w:spacing w:after="0" w:line="298" w:lineRule="auto"/>
        <w:tabs>
          <w:tab w:leader="none" w:pos="68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Restrictions and Conditions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Unless otherwise provided by the Committee, the Shares of Restricted Stock awarded pursuant to the Plan shall be subject to the following restrictions and conditions:</w:t>
      </w:r>
    </w:p>
    <w:p>
      <w:pPr>
        <w:spacing w:after="0" w:line="199" w:lineRule="exact"/>
        <w:rPr>
          <w:sz w:val="20"/>
          <w:szCs w:val="20"/>
          <w:color w:val="auto"/>
        </w:rPr>
      </w:pPr>
    </w:p>
    <w:p>
      <w:pPr>
        <w:ind w:left="1080" w:right="20" w:hanging="532"/>
        <w:spacing w:after="0" w:line="29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 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201"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Except as provided in the foregoing clause (i), below in this clause (ii), in Section 10 or in Section 14, or as otherwise provided in the applicable Award Agreement, the Grantee shall have, in respect of the Shares of Restricted Stock, all of the rights of a shareholder of the Company, including the right to vote the Shares and the right to receive any cash dividends currently; provided, however that, if provided in an Award Agreement, cash dividends on such Shares shall (A) be held by the Company (unsegregated as a part of its general assets) until the period of forfeiture lapses (and forfeited if the underlying Shares are forfeited), and paid over to the Grantee (without interest) as soon as practicable after such period lapses (if not forfeited), or (B) 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18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otherwise provided in the applicable Award Agreement, if the Grantee has a Termination of Service by the Company and its Subsidiaries for Cause, or by the Grantee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any reason, during the applicable period of forfeiture, then (A) 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 (x) the amount paid by the Grantee (if any) for such forfeited Restricted Stock as contemplated by Section 6.1, and (y) the Fair Market Value on the date of termination of the forfeited Restricted Stock.</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Notwithstanding the foregoing, cash dividends on Shares of Restricted Stock that remain subject to potential forfeiture due to failure to meet performance-based conditions (i.e., conditions other than the continued service or employment of the Grantee through a certain date) must be retained by, or repaid by the Grantee to, the Company; provided that, to the extent provided for in the applicable Award Agreement or by the Committee, an amount equal to such cash dividends retained or repaid by the Grantee may be paid to the Grantee upon the lapsing of such performance-based conditions with respect to such shares.</w:t>
      </w:r>
    </w:p>
    <w:p>
      <w:pPr>
        <w:spacing w:after="0" w:line="167" w:lineRule="exact"/>
        <w:rPr>
          <w:sz w:val="20"/>
          <w:szCs w:val="20"/>
          <w:color w:val="auto"/>
        </w:rPr>
      </w:pPr>
    </w:p>
    <w:p>
      <w:pPr>
        <w:ind w:left="360" w:right="7240" w:hanging="352"/>
        <w:spacing w:after="0" w:line="501" w:lineRule="auto"/>
        <w:tabs>
          <w:tab w:leader="none" w:pos="31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PROVISIONS APPLICABLE TO PHANTOM SHARES </w:t>
      </w:r>
      <w:r>
        <w:rPr>
          <w:rFonts w:ascii="Arial" w:cs="Arial" w:eastAsia="Arial" w:hAnsi="Arial"/>
          <w:sz w:val="18"/>
          <w:szCs w:val="18"/>
          <w:color w:val="auto"/>
        </w:rPr>
        <w:t xml:space="preserve">7.1 </w:t>
      </w:r>
      <w:r>
        <w:rPr>
          <w:rFonts w:ascii="Arial" w:cs="Arial" w:eastAsia="Arial" w:hAnsi="Arial"/>
          <w:sz w:val="18"/>
          <w:szCs w:val="18"/>
          <w:i w:val="1"/>
          <w:iCs w:val="1"/>
          <w:color w:val="auto"/>
        </w:rPr>
        <w:t>Grant of Phantom Shares</w:t>
      </w:r>
    </w:p>
    <w:p>
      <w:pPr>
        <w:ind w:right="240" w:firstLine="351"/>
        <w:spacing w:after="0" w:line="259"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4"/>
          <w:szCs w:val="14"/>
          <w:i w:val="1"/>
          <w:iCs w:val="1"/>
          <w:color w:val="auto"/>
        </w:rPr>
        <w:t>Term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may provide in an Award Agreement that any particular Phantom Share shall expire at the end of a specified term.</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i w:val="1"/>
          <w:iCs w:val="1"/>
          <w:color w:val="auto"/>
        </w:rPr>
        <w:t>Vesting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Phantom Shares shall vest as provided in the applicable Award Agreement.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i w:val="1"/>
          <w:iCs w:val="1"/>
          <w:color w:val="auto"/>
        </w:rPr>
        <w:t>Settlement of Phantom Shares</w:t>
      </w:r>
    </w:p>
    <w:p>
      <w:pPr>
        <w:spacing w:after="0" w:line="225" w:lineRule="exact"/>
        <w:rPr>
          <w:sz w:val="20"/>
          <w:szCs w:val="20"/>
          <w:color w:val="auto"/>
        </w:rPr>
      </w:pPr>
    </w:p>
    <w:p>
      <w:pPr>
        <w:ind w:firstLine="359"/>
        <w:spacing w:after="0" w:line="256" w:lineRule="auto"/>
        <w:tabs>
          <w:tab w:leader="none" w:pos="6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vested and outstanding Phantom Share shall be settled by the transfer to the Grantee of one Share; provided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197" w:lineRule="exact"/>
        <w:rPr>
          <w:rFonts w:ascii="Arial" w:cs="Arial" w:eastAsia="Arial" w:hAnsi="Arial"/>
          <w:sz w:val="18"/>
          <w:szCs w:val="18"/>
          <w:color w:val="auto"/>
        </w:rPr>
      </w:pPr>
    </w:p>
    <w:p>
      <w:pPr>
        <w:ind w:right="120" w:firstLine="359"/>
        <w:spacing w:after="0" w:line="335" w:lineRule="auto"/>
        <w:tabs>
          <w:tab w:leader="none" w:pos="688" w:val="left"/>
        </w:tabs>
        <w:numPr>
          <w:ilvl w:val="0"/>
          <w:numId w:val="80"/>
        </w:numPr>
        <w:rPr>
          <w:rFonts w:ascii="Arial" w:cs="Arial" w:eastAsia="Arial" w:hAnsi="Arial"/>
          <w:sz w:val="15"/>
          <w:szCs w:val="15"/>
          <w:color w:val="auto"/>
        </w:rPr>
      </w:pPr>
      <w:r>
        <w:rPr>
          <w:rFonts w:ascii="Arial" w:cs="Arial" w:eastAsia="Arial" w:hAnsi="Arial"/>
          <w:sz w:val="15"/>
          <w:szCs w:val="15"/>
          <w:color w:val="auto"/>
        </w:rPr>
        <w:t>Phantom Shares shall be settled with a single-sum payment by the Company;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142" w:lineRule="exact"/>
        <w:rPr>
          <w:rFonts w:ascii="Arial" w:cs="Arial" w:eastAsia="Arial" w:hAnsi="Arial"/>
          <w:sz w:val="15"/>
          <w:szCs w:val="15"/>
          <w:color w:val="auto"/>
        </w:rPr>
      </w:pPr>
    </w:p>
    <w:p>
      <w:pPr>
        <w:ind w:right="40" w:firstLine="359"/>
        <w:spacing w:after="0" w:line="291" w:lineRule="auto"/>
        <w:tabs>
          <w:tab w:leader="none" w:pos="67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 Unless otherwise provided in the applicable Award Agreement, the "Settlement Date" with respect to a Phantom Share is as soon as practicable after (but not later than the first day of the month to follow) the date on which the Phantom Share vests; provided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a specific time, be made at least one year before the first scheduled payment and (B) defer the commencement of distributions for at least five years.</w:t>
      </w:r>
    </w:p>
    <w:p>
      <w:pPr>
        <w:spacing w:after="0" w:line="262" w:lineRule="exact"/>
        <w:rPr>
          <w:sz w:val="20"/>
          <w:szCs w:val="20"/>
          <w:color w:val="auto"/>
        </w:rPr>
      </w:pPr>
    </w:p>
    <w:p>
      <w:pPr>
        <w:ind w:left="1620" w:hanging="532"/>
        <w:spacing w:after="0" w:line="259"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the foregoing, the Settlement Date, if not earlier pursuant to this Section 7.4(c), is the date of the Grantee's death.</w:t>
      </w:r>
    </w:p>
    <w:p>
      <w:pPr>
        <w:spacing w:after="0" w:line="248" w:lineRule="exact"/>
        <w:rPr>
          <w:rFonts w:ascii="Arial" w:cs="Arial" w:eastAsia="Arial" w:hAnsi="Arial"/>
          <w:sz w:val="16"/>
          <w:szCs w:val="16"/>
          <w:color w:val="auto"/>
        </w:rPr>
      </w:pPr>
    </w:p>
    <w:p>
      <w:pPr>
        <w:ind w:right="80" w:firstLine="359"/>
        <w:spacing w:after="0" w:line="306" w:lineRule="auto"/>
        <w:tabs>
          <w:tab w:leader="none" w:pos="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160" w:lineRule="exact"/>
        <w:rPr>
          <w:rFonts w:ascii="Arial" w:cs="Arial" w:eastAsia="Arial" w:hAnsi="Arial"/>
          <w:sz w:val="16"/>
          <w:szCs w:val="16"/>
          <w:color w:val="auto"/>
        </w:rPr>
      </w:pPr>
    </w:p>
    <w:p>
      <w:pPr>
        <w:ind w:right="20" w:firstLine="359"/>
        <w:spacing w:after="0" w:line="314" w:lineRule="auto"/>
        <w:tabs>
          <w:tab w:leader="none" w:pos="678" w:val="left"/>
        </w:tabs>
        <w:numPr>
          <w:ilvl w:val="0"/>
          <w:numId w:val="82"/>
        </w:numPr>
        <w:rPr>
          <w:rFonts w:ascii="Arial" w:cs="Arial" w:eastAsia="Arial" w:hAnsi="Arial"/>
          <w:sz w:val="15"/>
          <w:szCs w:val="15"/>
          <w:color w:val="auto"/>
        </w:rPr>
      </w:pPr>
      <w:r>
        <w:rPr>
          <w:rFonts w:ascii="Arial" w:cs="Arial" w:eastAsia="Arial" w:hAnsi="Arial"/>
          <w:sz w:val="15"/>
          <w:szCs w:val="15"/>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172" w:lineRule="exact"/>
        <w:rPr>
          <w:rFonts w:ascii="Arial" w:cs="Arial" w:eastAsia="Arial" w:hAnsi="Arial"/>
          <w:sz w:val="15"/>
          <w:szCs w:val="15"/>
          <w:color w:val="auto"/>
        </w:rPr>
      </w:pPr>
    </w:p>
    <w:p>
      <w:pPr>
        <w:ind w:left="1620" w:hanging="53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by liquidation of the Grantee's assets, to the extent the liquidation of such assets would not itself cause severe financial hardship,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by future cessation of the making of additional deferrals under Section 7.4 (b) and (c).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limitation, the need to send a Grantee's child to college or the desire to purchase a home shall not constitute an Unforeseeable Emergency.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of amounts because of an Unforeseeable Emergency shall be permitted to the extent reasonably needed to satisfy the emergency need.</w:t>
      </w:r>
    </w:p>
    <w:p>
      <w:pPr>
        <w:spacing w:after="0" w:line="24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i w:val="1"/>
          <w:iCs w:val="1"/>
          <w:color w:val="auto"/>
        </w:rPr>
        <w:t>Other Phantom Share Provisions</w:t>
      </w:r>
    </w:p>
    <w:p>
      <w:pPr>
        <w:spacing w:after="0" w:line="225" w:lineRule="exact"/>
        <w:rPr>
          <w:sz w:val="20"/>
          <w:szCs w:val="20"/>
          <w:color w:val="auto"/>
        </w:rPr>
      </w:pPr>
    </w:p>
    <w:p>
      <w:pPr>
        <w:jc w:val="both"/>
        <w:ind w:right="120" w:firstLine="359"/>
        <w:spacing w:after="0" w:line="256" w:lineRule="auto"/>
        <w:tabs>
          <w:tab w:leader="none" w:pos="6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197" w:lineRule="exact"/>
        <w:rPr>
          <w:rFonts w:ascii="Arial" w:cs="Arial" w:eastAsia="Arial" w:hAnsi="Arial"/>
          <w:sz w:val="18"/>
          <w:szCs w:val="18"/>
          <w:color w:val="auto"/>
        </w:rPr>
      </w:pPr>
    </w:p>
    <w:p>
      <w:pPr>
        <w:ind w:right="40" w:firstLine="359"/>
        <w:spacing w:after="0" w:line="294" w:lineRule="auto"/>
        <w:tabs>
          <w:tab w:leader="none" w:pos="6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firstLine="359"/>
        <w:spacing w:after="0" w:line="298" w:lineRule="auto"/>
        <w:tabs>
          <w:tab w:leader="none" w:pos="6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66" w:lineRule="exact"/>
        <w:rPr>
          <w:rFonts w:ascii="Arial" w:cs="Arial" w:eastAsia="Arial" w:hAnsi="Arial"/>
          <w:sz w:val="16"/>
          <w:szCs w:val="16"/>
          <w:color w:val="auto"/>
        </w:rPr>
      </w:pPr>
    </w:p>
    <w:p>
      <w:pPr>
        <w:ind w:right="480" w:firstLine="359"/>
        <w:spacing w:after="0" w:line="268" w:lineRule="auto"/>
        <w:tabs>
          <w:tab w:leader="none" w:pos="6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7, any fractional Phantom Share will be paid out in cash at the Phantom Share Value as of the Settlement Date.</w:t>
      </w:r>
    </w:p>
    <w:p>
      <w:pPr>
        <w:spacing w:after="0" w:line="185" w:lineRule="exact"/>
        <w:rPr>
          <w:rFonts w:ascii="Arial" w:cs="Arial" w:eastAsia="Arial" w:hAnsi="Arial"/>
          <w:sz w:val="18"/>
          <w:szCs w:val="18"/>
          <w:color w:val="auto"/>
        </w:rPr>
      </w:pPr>
    </w:p>
    <w:p>
      <w:pPr>
        <w:jc w:val="both"/>
        <w:ind w:right="40" w:firstLine="359"/>
        <w:spacing w:after="0" w:line="259" w:lineRule="auto"/>
        <w:tabs>
          <w:tab w:leader="none" w:pos="6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i w:val="1"/>
          <w:iCs w:val="1"/>
          <w:color w:val="auto"/>
        </w:rPr>
        <w:t>Claims Procedures</w:t>
      </w:r>
    </w:p>
    <w:p>
      <w:pPr>
        <w:spacing w:after="0" w:line="225" w:lineRule="exact"/>
        <w:rPr>
          <w:sz w:val="20"/>
          <w:szCs w:val="20"/>
          <w:color w:val="auto"/>
        </w:rPr>
      </w:pPr>
    </w:p>
    <w:p>
      <w:pPr>
        <w:ind w:right="120" w:firstLine="359"/>
        <w:spacing w:after="0" w:line="255" w:lineRule="auto"/>
        <w:tabs>
          <w:tab w:leader="none" w:pos="67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approve the claim and take appropriate steps for satisfaction of the claim; or</w:t>
      </w:r>
    </w:p>
    <w:p>
      <w:pPr>
        <w:spacing w:after="0" w:line="252" w:lineRule="exact"/>
        <w:rPr>
          <w:rFonts w:ascii="Arial" w:cs="Arial" w:eastAsia="Arial" w:hAnsi="Arial"/>
          <w:sz w:val="18"/>
          <w:szCs w:val="18"/>
          <w:color w:val="auto"/>
        </w:rPr>
      </w:pPr>
    </w:p>
    <w:p>
      <w:pPr>
        <w:ind w:left="1620" w:hanging="532"/>
        <w:spacing w:after="0" w:line="291" w:lineRule="auto"/>
        <w:tabs>
          <w:tab w:leader="none" w:pos="1620" w:val="left"/>
        </w:tabs>
        <w:numPr>
          <w:ilvl w:val="2"/>
          <w:numId w:val="85"/>
        </w:numPr>
        <w:rPr>
          <w:rFonts w:ascii="Arial" w:cs="Arial" w:eastAsia="Arial" w:hAnsi="Arial"/>
          <w:sz w:val="16"/>
          <w:szCs w:val="16"/>
          <w:color w:val="auto"/>
        </w:rPr>
      </w:pPr>
      <w:r>
        <w:rPr>
          <w:rFonts w:ascii="Arial" w:cs="Arial" w:eastAsia="Arial" w:hAnsi="Arial"/>
          <w:sz w:val="16"/>
          <w:szCs w:val="16"/>
          <w:color w:val="auto"/>
        </w:rPr>
        <w:t>if the claim is wholly or partially denied, advise the claimant of such denial by furnishing to him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p>
      <w:pPr>
        <w:spacing w:after="0" w:line="174" w:lineRule="exact"/>
        <w:rPr>
          <w:rFonts w:ascii="Arial" w:cs="Arial" w:eastAsia="Arial" w:hAnsi="Arial"/>
          <w:sz w:val="16"/>
          <w:szCs w:val="16"/>
          <w:color w:val="auto"/>
        </w:rPr>
      </w:pPr>
    </w:p>
    <w:p>
      <w:pPr>
        <w:ind w:right="40" w:firstLine="359"/>
        <w:spacing w:after="0" w:line="255" w:lineRule="auto"/>
        <w:tabs>
          <w:tab w:leader="none" w:pos="68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claimant may request a review of any denial of his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 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196"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PROVISIONS APPLICABLE TO DIVIDEND EQUIVALENT RIGHTS</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Grant of Dividend Equivalent Rights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provided, however, that in no event may a Dividend Equivalent Right be granted in connection with an Option or a Stock Appreciation Right. Such Dividend Equivalent Rights shall be converted to cash or additional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by such formula and at such time and subject to such limitation as may be determined by the Committee. If a Dividend Equivalent Right is granted in respect of an Award hereunder (other than an Option or Stock Appreciation Right), then, unless otherwise stated in the Award Agreement, in no event shall the Dividend Equivalent Right be in effect for a period beyond the time during which the applicable portion of the underlying Award is in effect.</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Certain Terms</w:t>
      </w:r>
    </w:p>
    <w:p>
      <w:pPr>
        <w:spacing w:after="0" w:line="225" w:lineRule="exact"/>
        <w:rPr>
          <w:sz w:val="20"/>
          <w:szCs w:val="20"/>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 of a Dividend Equivalent Right shall be set by the Committee in its discretion.</w:t>
      </w:r>
    </w:p>
    <w:p>
      <w:pPr>
        <w:spacing w:after="0" w:line="225" w:lineRule="exact"/>
        <w:rPr>
          <w:rFonts w:ascii="Arial" w:cs="Arial" w:eastAsia="Arial" w:hAnsi="Arial"/>
          <w:sz w:val="18"/>
          <w:szCs w:val="18"/>
          <w:color w:val="auto"/>
        </w:rPr>
      </w:pPr>
    </w:p>
    <w:p>
      <w:pPr>
        <w:ind w:right="360" w:firstLine="359"/>
        <w:spacing w:after="0" w:line="268" w:lineRule="auto"/>
        <w:tabs>
          <w:tab w:leader="none" w:pos="6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otherwise determined by the Committee, except as contemplated by Section 8.4, a Dividend Equivalent Right is exercisable or payable only while the Participant is an Eligible Person.</w:t>
      </w:r>
    </w:p>
    <w:p>
      <w:pPr>
        <w:spacing w:after="0" w:line="185" w:lineRule="exact"/>
        <w:rPr>
          <w:rFonts w:ascii="Arial" w:cs="Arial" w:eastAsia="Arial" w:hAnsi="Arial"/>
          <w:sz w:val="18"/>
          <w:szCs w:val="18"/>
          <w:color w:val="auto"/>
        </w:rPr>
      </w:pPr>
    </w:p>
    <w:p>
      <w:pPr>
        <w:ind w:right="220" w:firstLine="359"/>
        <w:spacing w:after="0" w:line="268" w:lineRule="auto"/>
        <w:tabs>
          <w:tab w:leader="none" w:pos="6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the amount determined in accordance with Section 8.1 shall be in cash, in Common Stock or a combination of the both, as determined by the Committee.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Committee may impose such employment-related conditions on the grant of a Dividend Equivalent Right as it deems appropriate in its discretion.</w:t>
      </w:r>
    </w:p>
    <w:p>
      <w:pPr>
        <w:spacing w:after="0" w:line="248" w:lineRule="exact"/>
        <w:rPr>
          <w:rFonts w:ascii="Arial" w:cs="Arial" w:eastAsia="Arial" w:hAnsi="Arial"/>
          <w:sz w:val="16"/>
          <w:szCs w:val="16"/>
          <w:color w:val="auto"/>
        </w:rPr>
      </w:pPr>
    </w:p>
    <w:p>
      <w:pPr>
        <w:ind w:right="160" w:firstLine="359"/>
        <w:spacing w:after="0" w:line="259" w:lineRule="auto"/>
        <w:tabs>
          <w:tab w:leader="none" w:pos="6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Dividend Equivalent Right granted with respect to an Award subject to performance-based vesting, or forfeiture based on the failure to meet performance-based conditions (i.e., conditions other than the continued service or employment of the Grantee through a certain date), may not be exercisable or payable unless and until the performance-based conditions have been met.</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Other Types of Dividend Equivalent Rights</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with respect to a Phantom Share, which right would consist of the right (subject to Section 8.4) to receive a cash payment in an amount equal to the dividend distributions paid on a Share from time to time.</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Deferral</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98"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OTHER EQUITY-BASED AWARDS</w:t>
      </w:r>
    </w:p>
    <w:p>
      <w:pPr>
        <w:spacing w:after="0" w:line="225"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The Committee shall have the right (i) to grant other Awards based upon the Common 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 Notwithstanding the foregoing, any cash dividends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or distributions otherwise payable pursuant to an Award granted pursuant to this Section 9 that remains subject to performance-based vesting, or forfeiture based on the failure to meet performance-based conditions (i.e., conditions other than the continued service or employment of the Grantee through a certain date), must be retained by, or repaid by the Grantee to, the Company or the applicable entity granting the Award; provided that, to the extent provided for in the applicable Award Agreement or by the Committee, an amount equal to such cash dividends or distributions retained or repaid by the Grantee may be paid to the Grantee upon the satisfaction or lapsing of such performance-based conditions with respect to such Award.</w:t>
      </w:r>
    </w:p>
    <w:p>
      <w:pPr>
        <w:spacing w:after="0" w:line="170"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PERFORMANCE GOALS</w:t>
      </w:r>
    </w:p>
    <w:p>
      <w:pPr>
        <w:spacing w:after="0" w:line="225"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The Committee, in its discretion, (i) may establish one or more performance goals as a precondition to the issuance or vesting of Awards, and (ii) may provide, in connection with the establishment of the performance goals, for predetermined Awards to those Participants (who continue to meet all applicable eligibility 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this Section 10; and (ii) may establish other goals (with shareholder approval of other types of goals) intended to be performance goals as contemplated by Section 162(m) of the Code and the regulations thereunder. 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 Performance Goals may be absolute amounts or percentages of amounts or may be relative to the performance of other companies or of indexes. Except as otherwise expressly provided, all financial terms are used as defined under Generally Accepted Accounting Principles ("GAAP") and all determinations shall be made in accordance with GAAP, as applied by the Company in the preparation of its periodic reports to shareholders. 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w:t>
      </w:r>
    </w:p>
    <w:p>
      <w:pPr>
        <w:spacing w:after="0" w:line="173" w:lineRule="exact"/>
        <w:rPr>
          <w:sz w:val="20"/>
          <w:szCs w:val="20"/>
          <w:color w:val="auto"/>
        </w:rPr>
      </w:pPr>
    </w:p>
    <w:p>
      <w:pPr>
        <w:ind w:right="320" w:firstLine="8"/>
        <w:spacing w:after="0" w:line="261" w:lineRule="auto"/>
        <w:tabs>
          <w:tab w:leader="none" w:pos="288"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related to discontinued operations that do not qualify as a segment of a business under GAAP, and (E) attributable to the business operations of any entity acquired by the Company during the fiscal year.</w:t>
      </w:r>
    </w:p>
    <w:p>
      <w:pPr>
        <w:spacing w:after="0" w:line="192" w:lineRule="exact"/>
        <w:rPr>
          <w:sz w:val="20"/>
          <w:szCs w:val="20"/>
          <w:color w:val="auto"/>
        </w:rPr>
      </w:pPr>
    </w:p>
    <w:p>
      <w:pPr>
        <w:ind w:left="400" w:hanging="392"/>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TAX WITHHOLDING</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In General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right="3640" w:hanging="352"/>
        <w:spacing w:after="0" w:line="501" w:lineRule="auto"/>
        <w:tabs>
          <w:tab w:leader="none" w:pos="3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any other applicable income-recognition event (for example, an election under Section 83(b) of the Code). 11.2 </w:t>
      </w:r>
      <w:r>
        <w:rPr>
          <w:rFonts w:ascii="Arial" w:cs="Arial" w:eastAsia="Arial" w:hAnsi="Arial"/>
          <w:sz w:val="18"/>
          <w:szCs w:val="18"/>
          <w:i w:val="1"/>
          <w:iCs w:val="1"/>
          <w:color w:val="auto"/>
        </w:rPr>
        <w:t>Share Withholding</w:t>
      </w:r>
    </w:p>
    <w:p>
      <w:pPr>
        <w:ind w:firstLine="359"/>
        <w:spacing w:after="0" w:line="289" w:lineRule="auto"/>
        <w:tabs>
          <w:tab w:leader="none" w:pos="678" w:val="left"/>
        </w:tabs>
        <w:numPr>
          <w:ilvl w:val="1"/>
          <w:numId w:val="92"/>
        </w:numPr>
        <w:rPr>
          <w:rFonts w:ascii="Arial" w:cs="Arial" w:eastAsia="Arial" w:hAnsi="Arial"/>
          <w:sz w:val="16"/>
          <w:szCs w:val="16"/>
          <w:color w:val="auto"/>
        </w:rPr>
      </w:pPr>
      <w:r>
        <w:rPr>
          <w:rFonts w:ascii="Arial" w:cs="Arial" w:eastAsia="Arial" w:hAnsi="Arial"/>
          <w:sz w:val="16"/>
          <w:szCs w:val="16"/>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the minimum withholding taxes due. Alternatively, if so provided in an Award Agreement, the Committee may require the Optionee to satisfy such liability by having Shares then issued withheld by the Company from the Shares otherwise to be received, or require the Optionee to do so, subject to the Optionee's ability to elect to satisfy such liability in cash. In the event that the Optionee is to satisfy such liability in Shares, the number of Shares so withheld or delivered shall have an aggregate Fair Market Value on the date of exercise sufficient to satisfy the applicable minimum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172" w:lineRule="exact"/>
        <w:rPr>
          <w:rFonts w:ascii="Arial" w:cs="Arial" w:eastAsia="Arial" w:hAnsi="Arial"/>
          <w:sz w:val="16"/>
          <w:szCs w:val="16"/>
          <w:color w:val="auto"/>
        </w:rPr>
      </w:pPr>
    </w:p>
    <w:p>
      <w:pPr>
        <w:ind w:right="60" w:firstLine="359"/>
        <w:spacing w:after="0" w:line="290" w:lineRule="auto"/>
        <w:tabs>
          <w:tab w:leader="none" w:pos="6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the lapsing of restrictions (or other income-recognition event) sufficient to satisfy the applicable minimum withholding taxes.</w:t>
      </w:r>
    </w:p>
    <w:p>
      <w:pPr>
        <w:spacing w:after="0" w:line="172" w:lineRule="exact"/>
        <w:rPr>
          <w:rFonts w:ascii="Arial" w:cs="Arial" w:eastAsia="Arial" w:hAnsi="Arial"/>
          <w:sz w:val="16"/>
          <w:szCs w:val="16"/>
          <w:color w:val="auto"/>
        </w:rPr>
      </w:pPr>
    </w:p>
    <w:p>
      <w:pPr>
        <w:ind w:right="20" w:firstLine="359"/>
        <w:spacing w:after="0" w:line="290" w:lineRule="auto"/>
        <w:tabs>
          <w:tab w:leader="none" w:pos="678" w:val="left"/>
        </w:tabs>
        <w:numPr>
          <w:ilvl w:val="1"/>
          <w:numId w:val="92"/>
        </w:numPr>
        <w:rPr>
          <w:rFonts w:ascii="Arial" w:cs="Arial" w:eastAsia="Arial" w:hAnsi="Arial"/>
          <w:sz w:val="16"/>
          <w:szCs w:val="16"/>
          <w:color w:val="auto"/>
        </w:rPr>
      </w:pPr>
      <w:r>
        <w:rPr>
          <w:rFonts w:ascii="Arial" w:cs="Arial" w:eastAsia="Arial" w:hAnsi="Arial"/>
          <w:sz w:val="16"/>
          <w:szCs w:val="16"/>
          <w:color w:val="auto"/>
        </w:rPr>
        <w:t>Upon the making of a distribution in respect of Phantom Shares or Dividend Equivalent Rights, the Grantee may, if approved by the Committee in its discretion, make a written election to have amounts (which may include Shares) withheld by the Company from the distribution otherwise to be made,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distribution otherwise to be made, or require the Grantee to do so, subject to the Grantee's ability to elect to satisfy such liability in cash. In the event that the Grantee is to satisfy such liability in Shares, any Shares so withheld or delivered shall have an aggregate Fair Market Value on the date of distribution sufficient to satisfy the applicable minimum withholding taxes.</w:t>
      </w:r>
    </w:p>
    <w:p>
      <w:pPr>
        <w:spacing w:after="0" w:line="172" w:lineRule="exact"/>
        <w:rPr>
          <w:rFonts w:ascii="Arial" w:cs="Arial" w:eastAsia="Arial" w:hAnsi="Arial"/>
          <w:sz w:val="16"/>
          <w:szCs w:val="16"/>
          <w:color w:val="auto"/>
        </w:rPr>
      </w:pPr>
    </w:p>
    <w:p>
      <w:pPr>
        <w:ind w:right="20" w:firstLine="359"/>
        <w:spacing w:after="0" w:line="290" w:lineRule="auto"/>
        <w:tabs>
          <w:tab w:leader="none" w:pos="6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Upon the occurrence of any other income-recognition event with respect to an Award granted under the Plan that occurs upon or concurrently with the issuance or vesting of, or lapsing of restrictions on, Common Stock, the Grantee may, if approved by the Committee in its discretion, make a written election to have Shares withheld by the Company from the Shares otherwise to be issued, vested or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issued, vested or released from restriction, or require the Grantee to do so, subject to the Grantee's ability to elect to satisfy such liability in cash. In the event that the Grantee is to satisfy such liability in Shares, the number of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so withheld or delivered shall have an aggregate Fair Market Value on the date of such income-recognition event sufficient to satisfy the applicable minimum withholding taxes.</w:t>
      </w:r>
    </w:p>
    <w:p>
      <w:pPr>
        <w:spacing w:after="0" w:line="186" w:lineRule="exact"/>
        <w:rPr>
          <w:sz w:val="20"/>
          <w:szCs w:val="20"/>
          <w:color w:val="auto"/>
        </w:rPr>
      </w:pPr>
    </w:p>
    <w:p>
      <w:pPr>
        <w:ind w:right="380" w:firstLine="359"/>
        <w:spacing w:after="0" w:line="259"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purposes of determining the number of Shares to be withheld or delivered to satisfy the applicable minimum withholding taxes pursuant to Section 11.2 of the Plan, the Fair Market Value of the Shares shall be calculated in the same manner as the Shares are valued for purposes of determining the amount of withholding taxes due.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Withholding Required</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Dividend Equivalent Rights or other Award shall be forfeited upon the failure of the Participant to satisfy such requirements with respect to, as applicable,</w:t>
      </w:r>
    </w:p>
    <w:p>
      <w:pPr>
        <w:spacing w:after="0" w:line="3" w:lineRule="exact"/>
        <w:rPr>
          <w:sz w:val="20"/>
          <w:szCs w:val="20"/>
          <w:color w:val="auto"/>
        </w:rPr>
      </w:pPr>
    </w:p>
    <w:p>
      <w:pPr>
        <w:ind w:right="520" w:firstLine="8"/>
        <w:spacing w:after="0" w:line="323"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exercise of the Option, (ii) the lapsing of restrictions on the Restricted Stock (or other income-recognition event), (iii) distributions in respect of any Phantom Share or Dividend Equivalent Right or (iv) any other income-recognition event with respect an Award granted under the Plan.</w:t>
      </w:r>
    </w:p>
    <w:p>
      <w:pPr>
        <w:spacing w:after="0" w:line="147"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REGULATIONS AND APPROVALS</w:t>
      </w:r>
    </w:p>
    <w:p>
      <w:pPr>
        <w:spacing w:after="0" w:line="225" w:lineRule="exact"/>
        <w:rPr>
          <w:rFonts w:ascii="Arial" w:cs="Arial" w:eastAsia="Arial" w:hAnsi="Arial"/>
          <w:sz w:val="18"/>
          <w:szCs w:val="18"/>
          <w:color w:val="auto"/>
        </w:rPr>
      </w:pPr>
    </w:p>
    <w:p>
      <w:pPr>
        <w:ind w:right="580" w:firstLine="359"/>
        <w:spacing w:after="0" w:line="259" w:lineRule="auto"/>
        <w:tabs>
          <w:tab w:leader="none" w:pos="6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94" w:lineRule="exact"/>
        <w:rPr>
          <w:rFonts w:ascii="Arial" w:cs="Arial" w:eastAsia="Arial" w:hAnsi="Arial"/>
          <w:sz w:val="18"/>
          <w:szCs w:val="18"/>
          <w:color w:val="auto"/>
        </w:rPr>
      </w:pPr>
    </w:p>
    <w:p>
      <w:pPr>
        <w:ind w:right="320" w:firstLine="359"/>
        <w:spacing w:after="0" w:line="268" w:lineRule="auto"/>
        <w:tabs>
          <w:tab w:leader="none" w:pos="68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Committee may make such changes to the Plan as may be necessary or appropriate to comply with the rules and regulations of any government authority or to obtain tax benefits applicable to an Award.</w:t>
      </w:r>
    </w:p>
    <w:p>
      <w:pPr>
        <w:spacing w:after="0" w:line="185" w:lineRule="exact"/>
        <w:rPr>
          <w:rFonts w:ascii="Arial" w:cs="Arial" w:eastAsia="Arial" w:hAnsi="Arial"/>
          <w:sz w:val="18"/>
          <w:szCs w:val="18"/>
          <w:color w:val="auto"/>
        </w:rPr>
      </w:pPr>
    </w:p>
    <w:p>
      <w:pPr>
        <w:ind w:firstLine="359"/>
        <w:spacing w:after="0" w:line="290" w:lineRule="auto"/>
        <w:tabs>
          <w:tab w:leader="none" w:pos="678" w:val="left"/>
        </w:tabs>
        <w:numPr>
          <w:ilvl w:val="1"/>
          <w:numId w:val="95"/>
        </w:numPr>
        <w:rPr>
          <w:rFonts w:ascii="Arial" w:cs="Arial" w:eastAsia="Arial" w:hAnsi="Arial"/>
          <w:sz w:val="16"/>
          <w:szCs w:val="16"/>
          <w:color w:val="auto"/>
        </w:rPr>
      </w:pPr>
      <w:r>
        <w:rPr>
          <w:rFonts w:ascii="Arial" w:cs="Arial" w:eastAsia="Arial" w:hAnsi="Arial"/>
          <w:sz w:val="16"/>
          <w:szCs w:val="16"/>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172" w:lineRule="exact"/>
        <w:rPr>
          <w:rFonts w:ascii="Arial" w:cs="Arial" w:eastAsia="Arial" w:hAnsi="Arial"/>
          <w:sz w:val="16"/>
          <w:szCs w:val="16"/>
          <w:color w:val="auto"/>
        </w:rPr>
      </w:pPr>
    </w:p>
    <w:p>
      <w:pPr>
        <w:ind w:right="200" w:firstLine="359"/>
        <w:spacing w:after="0" w:line="294" w:lineRule="auto"/>
        <w:tabs>
          <w:tab w:leader="none" w:pos="688"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169" w:lineRule="exact"/>
        <w:rPr>
          <w:rFonts w:ascii="Arial" w:cs="Arial" w:eastAsia="Arial" w:hAnsi="Arial"/>
          <w:sz w:val="16"/>
          <w:szCs w:val="16"/>
          <w:color w:val="auto"/>
        </w:rPr>
      </w:pPr>
    </w:p>
    <w:p>
      <w:pPr>
        <w:ind w:right="780" w:firstLine="359"/>
        <w:spacing w:after="0" w:line="268" w:lineRule="auto"/>
        <w:tabs>
          <w:tab w:leader="none" w:pos="6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not be required to take or permit any action under the Plan or any Award Agreement which, in the good-faith determination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would result in a material risk of a violation by the Company of Section 13(k) of the Exchange Act.</w:t>
      </w:r>
    </w:p>
    <w:p>
      <w:pPr>
        <w:spacing w:after="0" w:line="225"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INTERPRETATION AND AMENDMENTS; OTHER RULES</w:t>
      </w:r>
    </w:p>
    <w:p>
      <w:pPr>
        <w:spacing w:after="0" w:line="225"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w:t>
      </w:r>
    </w:p>
    <w:p>
      <w:pPr>
        <w:spacing w:after="0" w:line="1" w:lineRule="exact"/>
        <w:rPr>
          <w:sz w:val="20"/>
          <w:szCs w:val="20"/>
          <w:color w:val="auto"/>
        </w:rPr>
      </w:pPr>
    </w:p>
    <w:p>
      <w:pPr>
        <w:ind w:firstLine="8"/>
        <w:spacing w:after="0" w:line="305" w:lineRule="auto"/>
        <w:tabs>
          <w:tab w:leader="none" w:pos="30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provided, however, that the Plan may not be amended without shareholder approval in any case in which amendment in the absence of shareholder approval would cause the Plan to fail to comply with any applicable legal requirement or applicable exchange or similar rule. Except as provided in Section 14(a) or (f), without prior stockholder approval, in no event may the Board exercise its discretion to reduce the Option Price of outstanding Options or Stock Appreciation Rights or cancel, exchange, substitute, buyout or surrender outstanding Options or Stock Appreciation Rights in exchange for cash, other awards or Options or Stock Appreciation Rights with an Option Price that is less than the Option Price of the original Options or Stock Appreciation Rights.</w:t>
      </w:r>
    </w:p>
    <w:p>
      <w:pPr>
        <w:spacing w:after="0" w:line="169" w:lineRule="exact"/>
        <w:rPr>
          <w:sz w:val="20"/>
          <w:szCs w:val="20"/>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CHANGES IN CAPITAL STRUCTURE</w:t>
      </w:r>
    </w:p>
    <w:p>
      <w:pPr>
        <w:spacing w:after="0" w:line="225" w:lineRule="exact"/>
        <w:rPr>
          <w:rFonts w:ascii="Arial" w:cs="Arial" w:eastAsia="Arial" w:hAnsi="Arial"/>
          <w:sz w:val="18"/>
          <w:szCs w:val="18"/>
          <w:color w:val="auto"/>
        </w:rPr>
      </w:pPr>
    </w:p>
    <w:p>
      <w:pPr>
        <w:ind w:right="140" w:firstLine="359"/>
        <w:spacing w:after="0" w:line="294" w:lineRule="auto"/>
        <w:tabs>
          <w:tab w:leader="none" w:pos="678"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183" w:lineRule="exact"/>
        <w:rPr>
          <w:sz w:val="20"/>
          <w:szCs w:val="20"/>
          <w:color w:val="auto"/>
        </w:rPr>
      </w:pPr>
    </w:p>
    <w:p>
      <w:pPr>
        <w:ind w:left="1620" w:right="160" w:hanging="532"/>
        <w:spacing w:after="0" w:line="335" w:lineRule="auto"/>
        <w:tabs>
          <w:tab w:leader="none" w:pos="16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maximum aggregate number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shall be appropriately adjusted by the Committee;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20" w:hanging="532"/>
        <w:spacing w:after="0" w:line="286" w:lineRule="auto"/>
        <w:tabs>
          <w:tab w:leader="none" w:pos="1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with respect to Awards issued under the Plan, the Committee shall take any such action as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provided that, the foregoing clause (D) shall also be applied in the case of any event relating to a Subsidiary if the event would have been covered under this Section 14(a) had the event related to the Company. For purposes of clause (x) and this clause (y), the manner in which any of the above described adjustments are made shall in all events be subject to approval of the Committee.</w:t>
      </w:r>
    </w:p>
    <w:p>
      <w:pPr>
        <w:spacing w:after="0" w:line="18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w:t>
      </w:r>
    </w:p>
    <w:p>
      <w:pPr>
        <w:spacing w:after="0" w:line="194" w:lineRule="exact"/>
        <w:rPr>
          <w:sz w:val="20"/>
          <w:szCs w:val="20"/>
          <w:color w:val="auto"/>
        </w:rPr>
      </w:pPr>
    </w:p>
    <w:p>
      <w:pPr>
        <w:ind w:firstLine="359"/>
        <w:spacing w:after="0" w:line="259" w:lineRule="auto"/>
        <w:tabs>
          <w:tab w:leader="none" w:pos="6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194" w:lineRule="exact"/>
        <w:rPr>
          <w:rFonts w:ascii="Arial" w:cs="Arial" w:eastAsia="Arial" w:hAnsi="Arial"/>
          <w:sz w:val="18"/>
          <w:szCs w:val="18"/>
          <w:color w:val="auto"/>
        </w:rPr>
      </w:pPr>
    </w:p>
    <w:p>
      <w:pPr>
        <w:ind w:right="60" w:firstLine="359"/>
        <w:spacing w:after="0" w:line="294" w:lineRule="auto"/>
        <w:tabs>
          <w:tab w:leader="none" w:pos="67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169" w:lineRule="exact"/>
        <w:rPr>
          <w:rFonts w:ascii="Arial" w:cs="Arial" w:eastAsia="Arial" w:hAnsi="Arial"/>
          <w:sz w:val="16"/>
          <w:szCs w:val="16"/>
          <w:color w:val="auto"/>
        </w:rPr>
      </w:pPr>
    </w:p>
    <w:p>
      <w:pPr>
        <w:ind w:right="180" w:firstLine="359"/>
        <w:spacing w:after="0" w:line="259" w:lineRule="auto"/>
        <w:tabs>
          <w:tab w:leader="none" w:pos="6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 Change in Control shall occur, then the Committee, as constituted immediately before the Change in Control, may make such adjustments as it, in its discretion, determines are necessary or appropriate in light of the Change in Control, provided that the Committee determines that such adjustments do not have an adverse economic impact on the Participant as determined at the time of the adjustments.</w:t>
      </w:r>
    </w:p>
    <w:p>
      <w:pPr>
        <w:spacing w:after="0" w:line="194" w:lineRule="exact"/>
        <w:rPr>
          <w:rFonts w:ascii="Arial" w:cs="Arial" w:eastAsia="Arial" w:hAnsi="Arial"/>
          <w:sz w:val="18"/>
          <w:szCs w:val="18"/>
          <w:color w:val="auto"/>
        </w:rPr>
      </w:pPr>
    </w:p>
    <w:p>
      <w:pPr>
        <w:ind w:right="160" w:firstLine="359"/>
        <w:spacing w:after="0" w:line="268" w:lineRule="auto"/>
        <w:tabs>
          <w:tab w:leader="none" w:pos="6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judgment of the Committee with respect to any matter referred to in this Section 14 shall be conclusive and binding upon each Participant without the need for any amendment to the Plan.</w:t>
      </w:r>
    </w:p>
    <w:p>
      <w:pPr>
        <w:spacing w:after="0" w:line="185" w:lineRule="exact"/>
        <w:rPr>
          <w:rFonts w:ascii="Arial" w:cs="Arial" w:eastAsia="Arial" w:hAnsi="Arial"/>
          <w:sz w:val="18"/>
          <w:szCs w:val="18"/>
          <w:color w:val="auto"/>
        </w:rPr>
      </w:pPr>
    </w:p>
    <w:p>
      <w:pPr>
        <w:ind w:right="60" w:firstLine="359"/>
        <w:spacing w:after="0" w:line="294" w:lineRule="auto"/>
        <w:tabs>
          <w:tab w:leader="none" w:pos="7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the effective time of a Sale Event, with respect to Awards granted on or after December 9, 2009, at the election of the Committee, either (i) (A) such Options and Stock Appreciation Rights that are not exercisable immediately prior to the effective time of the Sale Event shall become fully exercisable as of the effective time of the Sale Event, (B) all such other Awards with time-based vesting, conditions or restrictions shall become fully vested and nonforfeitable as of the effective time of the Sale Event, (C) all such Awards with conditions and restrictions relating to the attainment of performance goals may become vested and nonforfeitable in connection with a Sale Event in the Committee's discretion (to the extent not provided for in the Award) and (D) all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outstanding Awards shall terminate or (ii) such Awards shall be assumed by the successor entity and continue with appropriate adjustment pursuant to Section 14(a) above. In the event of the termination of Awards pursuant to clause (i) of the prior sentence,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Common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Committee, to exercise all outstanding Options and Stock Appreciation Rights held by such grantee effective as of the effective time of such Sale Event. For purposes of the Plan, (i) "Sale Event" shall mean (A) the sale of all or substantially all of the assets of the Company on a consolidated basis to an unrelated person or entity, (B) a merger, reorganization or consolidation in which the outstanding shares of Common Stock are converted into or exchanged for securities of the successor entity and the voting securities of the Company outstanding immediately prior to such merger, reorganization or consolidation would represent (either by remaining outstanding or by being converted into voting securities of the surviving entity) less than 50% of the total voting power of the voting securities of the surviving entity outstanding immediately after such merger, reorganization or consolidation or cease to have the power to elect at least a majority of the board of directors or other governing body of such surviving entity, or (C) the sale of all of the Common Stock of the Company to an unrelated person or entity and (ii) "Sale Price" shall mean the value as determined by the Committee of the consideration payable, or otherwise to be received by stockholders, per share of Common Stock pursuant to a Sale Event.</w:t>
      </w:r>
    </w:p>
    <w:p>
      <w:pPr>
        <w:spacing w:after="0" w:line="180" w:lineRule="exact"/>
        <w:rPr>
          <w:sz w:val="20"/>
          <w:szCs w:val="20"/>
          <w:color w:val="auto"/>
        </w:rPr>
      </w:pPr>
    </w:p>
    <w:p>
      <w:pPr>
        <w:ind w:left="400" w:hanging="392"/>
        <w:spacing w:after="0"/>
        <w:tabs>
          <w:tab w:leader="none" w:pos="4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i w:val="1"/>
          <w:iCs w:val="1"/>
          <w:color w:val="auto"/>
        </w:rPr>
        <w:t>No Rights to Employment or Other Service</w:t>
      </w:r>
    </w:p>
    <w:p>
      <w:pPr>
        <w:spacing w:after="0" w:line="225"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i w:val="1"/>
          <w:iCs w:val="1"/>
          <w:color w:val="auto"/>
        </w:rPr>
        <w:t>Right of First Refusal; Right of Repurchase</w:t>
      </w:r>
    </w:p>
    <w:p>
      <w:pPr>
        <w:spacing w:after="0" w:line="225"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At the time of grant, the Committee may provide in connection with any grant made under the Plan that Shares received hereunder shall be subject to a right of first refusal pursuant to which the Company shall be entitled to purchase such Shares in the event of a prospective sale of the Shares, subject to such terms and conditions as the Committee may specify 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i w:val="1"/>
          <w:iCs w:val="1"/>
          <w:color w:val="auto"/>
        </w:rPr>
        <w:t>No Fiduciary Relationship</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i w:val="1"/>
          <w:iCs w:val="1"/>
          <w:color w:val="auto"/>
        </w:rPr>
        <w:t>No Fund Created</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 (including for purposes of this Section 15.4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17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5"/>
          <w:szCs w:val="15"/>
          <w:i w:val="1"/>
          <w:iCs w:val="1"/>
          <w:color w:val="auto"/>
        </w:rPr>
        <w:t>Notices</w:t>
      </w:r>
    </w:p>
    <w:p>
      <w:pPr>
        <w:spacing w:after="0" w:line="225" w:lineRule="exact"/>
        <w:rPr>
          <w:sz w:val="20"/>
          <w:szCs w:val="20"/>
          <w:color w:val="auto"/>
        </w:rPr>
      </w:pPr>
    </w:p>
    <w:p>
      <w:pPr>
        <w:ind w:right="120" w:firstLine="341"/>
        <w:spacing w:after="0" w:line="335" w:lineRule="auto"/>
        <w:rPr>
          <w:sz w:val="20"/>
          <w:szCs w:val="20"/>
          <w:color w:val="auto"/>
        </w:rPr>
      </w:pPr>
      <w:r>
        <w:rPr>
          <w:rFonts w:ascii="Arial" w:cs="Arial" w:eastAsia="Arial" w:hAnsi="Arial"/>
          <w:sz w:val="15"/>
          <w:szCs w:val="15"/>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15.5.</w:t>
      </w:r>
    </w:p>
    <w:p>
      <w:pPr>
        <w:spacing w:after="0" w:line="14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i w:val="1"/>
          <w:iCs w:val="1"/>
          <w:color w:val="auto"/>
        </w:rPr>
        <w:t>Exculpation and Indemnification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i w:val="1"/>
          <w:iCs w:val="1"/>
          <w:color w:val="auto"/>
        </w:rPr>
        <w:t>Captions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captions in this Plan is for convenience. The captions are not intended to provide substantive rights.</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PLAN SHALL BE GOVERNED BY THE LAWS OF MARYLAND WITHOUT REFERENCE TO PRINCIPLES OF CONFLICT OF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REGARDING CERTAIN FINANCIAL MEASURES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Below is a reconciliation of income from continuing operations before equity in net income of unconsolidated joint ventures, noncontrolling interests and discontinued operations to operating income and combined same-store cash net operating income for the years ended December 31, 2012 and 2011 (amounts in thousands, except per share data).</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SL Green's share of</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Unconsolidated Joint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Consolidated Properties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83"/>
              </w:rPr>
              <w:t>Ventures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4"/>
          </w:tcPr>
          <w:p>
            <w:pPr>
              <w:jc w:val="center"/>
              <w:ind w:right="73"/>
              <w:spacing w:after="0" w:line="12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4"/>
          </w:tcPr>
          <w:p>
            <w:pPr>
              <w:jc w:val="center"/>
              <w:ind w:right="94"/>
              <w:spacing w:after="0" w:line="12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Income from continuing operations before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net income of unconsolidated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ventures,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discontinued operations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in net income (loss) from joint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ventures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330,569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285,917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88,546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Gain (loss) on early extinguishment of debt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(6,978)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235,661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Marketing, general &amp; administrative</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from discontinued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1"/>
              </w:rPr>
              <w:t>Loan loss and other investment reserves,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of recoveries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Non-building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(134,392)</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(135,987)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(93,144)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(12,346)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from joint ventures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(Gain) loss on early extinguishment of debt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(NOI)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853,359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809,787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operating income from discontinued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(10,878)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NOI from other properties/affiliates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(36,641)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(92,156)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Same-Store NOI</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650,202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654,845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109,616</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105,909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759,818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760,754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Ground lease straight-line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Straight-line and free 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(54,686)</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(79,496)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(6,219)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(58,903)</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Rental income—FAS 141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(19,395)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(22,373)</w:t>
            </w:r>
          </w:p>
        </w:tc>
        <w:tc>
          <w:tcPr>
            <w:tcW w:w="0" w:type="dxa"/>
            <w:vAlign w:val="bottom"/>
          </w:tcPr>
          <w:p>
            <w:pPr>
              <w:spacing w:after="0"/>
              <w:rPr>
                <w:sz w:val="1"/>
                <w:szCs w:val="1"/>
                <w:color w:val="auto"/>
              </w:rPr>
            </w:pPr>
          </w:p>
        </w:tc>
      </w:tr>
      <w:tr>
        <w:trPr>
          <w:trHeight w:val="27"/>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Same-store cash NOI</w:t>
            </w:r>
          </w:p>
        </w:tc>
        <w:tc>
          <w:tcPr>
            <w:tcW w:w="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98,509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684,222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653,097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presents operating income, net operating income, same-store net operating income and same-store cash net operating income because the Company believes that these measures provide investors with useful information regarding the operating performance of properties that are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comparable for the periods presented. For properties owned since January 1, 2011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The Company's share of unconsolidated joint venture net operating income, same-store net operating income and same-store cash net operating income is calculated in the same manner as noted above, but includes just the Company's pro-rata share of the total amounts. Combined net operating income, same-store net operating income and same-store cash net operating income are calculated by combining the Company's consolidated amount with the Company's share of unconsolidated joint venture amounts for each measure. None of these measures is an alternative to net income (determined in accordance with GAAP) and same-store performance should not be considered an alternative to GAAP net income performance.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o"/>
      <w:numFmt w:val="bullet"/>
      <w:start w:val="1"/>
    </w:lvl>
    <w:lvl w:ilvl="1">
      <w:lvlJc w:val="left"/>
      <w:lvlText w:val="(%2)"/>
      <w:numFmt w:val="decimal"/>
      <w:start w:val="1"/>
    </w:lvl>
  </w:abstractNum>
  <w:abstractNum w:abstractNumId="2">
    <w:nsid w:val="12E685FB"/>
    <w:multiLevelType w:val="hybridMultilevel"/>
    <w:lvl w:ilvl="0">
      <w:lvlJc w:val="left"/>
      <w:lvlText w:val="(%1)"/>
      <w:numFmt w:val="decimal"/>
      <w:start w:val="4"/>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lowerRoman"/>
      <w:start w:val="2"/>
    </w:lvl>
  </w:abstractNum>
  <w:abstractNum w:abstractNumId="11">
    <w:nsid w:val="1CF10FD8"/>
    <w:multiLevelType w:val="hybridMultilevel"/>
    <w:lvl w:ilvl="0">
      <w:lvlJc w:val="left"/>
      <w:lvlText w:val="(%1)"/>
      <w:numFmt w:val="decimal"/>
      <w:start w:val="1"/>
    </w:lvl>
  </w:abstractNum>
  <w:abstractNum w:abstractNumId="12">
    <w:nsid w:val="180115BE"/>
    <w:multiLevelType w:val="hybridMultilevel"/>
    <w:lvl w:ilvl="0">
      <w:lvlJc w:val="left"/>
      <w:lvlText w:val="(%1)"/>
      <w:numFmt w:val="decimal"/>
      <w:start w:val="2"/>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1)"/>
      <w:numFmt w:val="lowerRoman"/>
      <w:start w:val="2"/>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lowerRoman"/>
      <w:start w:val="1"/>
    </w:lvl>
    <w:lvl w:ilvl="1">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lowerRoman"/>
      <w:start w:val="1"/>
    </w:lvl>
    <w:lvl w:ilvl="1">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lowerRoman"/>
      <w:start w:val="1"/>
    </w:lvl>
    <w:lvl w:ilvl="1">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1)"/>
      <w:numFmt w:val="lowerRoman"/>
      <w:start w:val="1"/>
    </w:lvl>
    <w:lvl w:ilvl="1">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lowerRoman"/>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4"/>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lowerRoman"/>
      <w:start w:val="1"/>
    </w:lvl>
  </w:abstractNum>
  <w:abstractNum w:abstractNumId="56">
    <w:nsid w:val="3B0FD379"/>
    <w:multiLevelType w:val="hybridMultilevel"/>
    <w:lvl w:ilvl="0">
      <w:lvlJc w:val="left"/>
      <w:lvlText w:val="(%1)"/>
      <w:numFmt w:val="lowerRoman"/>
      <w:start w:val="2"/>
    </w:lvl>
  </w:abstractNum>
  <w:abstractNum w:abstractNumId="57">
    <w:nsid w:val="68EB2F63"/>
    <w:multiLevelType w:val="hybridMultilevel"/>
    <w:lvl w:ilvl="0">
      <w:lvlJc w:val="left"/>
      <w:lvlText w:val="(%1)"/>
      <w:numFmt w:val="lowerLetter"/>
      <w:start w:val="25"/>
    </w:lvl>
  </w:abstractNum>
  <w:abstractNum w:abstractNumId="58">
    <w:nsid w:val="4962813B"/>
    <w:multiLevelType w:val="hybridMultilevel"/>
    <w:lvl w:ilvl="0">
      <w:lvlJc w:val="left"/>
      <w:lvlText w:val="(%1)"/>
      <w:numFmt w:val="lowerLetter"/>
      <w:start w:val="2"/>
    </w:lvl>
  </w:abstractNum>
  <w:abstractNum w:abstractNumId="59">
    <w:nsid w:val="60B6DF70"/>
    <w:multiLevelType w:val="hybridMultilevel"/>
    <w:lvl w:ilvl="0">
      <w:lvlJc w:val="left"/>
      <w:lvlText w:val="(%1)"/>
      <w:numFmt w:val="lowerRoman"/>
      <w:start w:val="10"/>
    </w:lvl>
  </w:abstractNum>
  <w:abstractNum w:abstractNumId="60">
    <w:nsid w:val="6A5EE64"/>
    <w:multiLevelType w:val="hybridMultilevel"/>
    <w:lvl w:ilvl="0">
      <w:lvlJc w:val="left"/>
      <w:lvlText w:val="(%1)"/>
      <w:numFmt w:val="lowerRoman"/>
      <w:start w:val="17"/>
    </w:lvl>
  </w:abstractNum>
  <w:abstractNum w:abstractNumId="61">
    <w:nsid w:val="14330624"/>
    <w:multiLevelType w:val="hybridMultilevel"/>
    <w:lvl w:ilvl="0">
      <w:lvlJc w:val="left"/>
      <w:lvlText w:val="(%1)"/>
      <w:numFmt w:val="lowerRoman"/>
      <w:start w:val="19"/>
    </w:lvl>
  </w:abstractNum>
  <w:abstractNum w:abstractNumId="62">
    <w:nsid w:val="7FFFCA11"/>
    <w:multiLevelType w:val="hybridMultilevel"/>
    <w:lvl w:ilvl="0">
      <w:lvlJc w:val="left"/>
      <w:lvlText w:val="%1."/>
      <w:numFmt w:val="decimal"/>
      <w:start w:val="2"/>
    </w:lvl>
  </w:abstractNum>
  <w:abstractNum w:abstractNumId="63">
    <w:nsid w:val="1A27709E"/>
    <w:multiLevelType w:val="hybridMultilevel"/>
    <w:lvl w:ilvl="0">
      <w:lvlJc w:val="left"/>
      <w:lvlText w:val="%1."/>
      <w:numFmt w:val="decimal"/>
      <w:start w:val="3"/>
    </w:lvl>
    <w:lvl w:ilvl="1">
      <w:lvlJc w:val="left"/>
      <w:lvlText w:val="(%2)"/>
      <w:numFmt w:val="lowerLetter"/>
      <w:start w:val="1"/>
    </w:lvl>
  </w:abstractNum>
  <w:abstractNum w:abstractNumId="64">
    <w:nsid w:val="71EA1109"/>
    <w:multiLevelType w:val="hybridMultilevel"/>
    <w:lvl w:ilvl="0">
      <w:lvlJc w:val="left"/>
      <w:lvlText w:val="%1"/>
      <w:numFmt w:val="decimal"/>
      <w:start w:val="1"/>
    </w:lvl>
    <w:lvl w:ilvl="1">
      <w:lvlJc w:val="left"/>
      <w:lvlText w:val="(%2)"/>
      <w:numFmt w:val="lowerLetter"/>
      <w:start w:val="4"/>
    </w:lvl>
  </w:abstractNum>
  <w:abstractNum w:abstractNumId="65">
    <w:nsid w:val="100F59DC"/>
    <w:multiLevelType w:val="hybridMultilevel"/>
    <w:lvl w:ilvl="0">
      <w:lvlJc w:val="left"/>
      <w:lvlText w:val="%1."/>
      <w:numFmt w:val="decimal"/>
      <w:start w:val="4"/>
    </w:lvl>
    <w:lvl w:ilvl="1">
      <w:lvlJc w:val="left"/>
      <w:lvlText w:val="(%2)"/>
      <w:numFmt w:val="lowerLetter"/>
      <w:start w:val="1"/>
    </w:lvl>
  </w:abstractNum>
  <w:abstractNum w:abstractNumId="66">
    <w:nsid w:val="7FB7E0AA"/>
    <w:multiLevelType w:val="hybridMultilevel"/>
    <w:lvl w:ilvl="0">
      <w:lvlJc w:val="left"/>
      <w:lvlText w:val="%1"/>
      <w:numFmt w:val="decimal"/>
      <w:start w:val="1"/>
    </w:lvl>
    <w:lvl w:ilvl="1">
      <w:lvlJc w:val="left"/>
      <w:lvlText w:val="(%2)"/>
      <w:numFmt w:val="lowerLetter"/>
      <w:start w:val="2"/>
    </w:lvl>
  </w:abstractNum>
  <w:abstractNum w:abstractNumId="67">
    <w:nsid w:val="6EB5BD4"/>
    <w:multiLevelType w:val="hybridMultilevel"/>
    <w:lvl w:ilvl="0">
      <w:lvlJc w:val="left"/>
      <w:lvlText w:val="%1."/>
      <w:numFmt w:val="decimal"/>
      <w:start w:val="5"/>
    </w:lvl>
    <w:lvl w:ilvl="1">
      <w:lvlJc w:val="left"/>
      <w:lvlText w:val="%2"/>
      <w:numFmt w:val="lowerLetter"/>
      <w:start w:val="1"/>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2"/>
    </w:lvl>
  </w:abstractNum>
  <w:abstractNum w:abstractNumId="72">
    <w:nsid w:val="4C04A8AF"/>
    <w:multiLevelType w:val="hybridMultilevel"/>
    <w:lvl w:ilvl="0">
      <w:lvlJc w:val="left"/>
      <w:lvlText w:val="(%1)"/>
      <w:numFmt w:val="lowerLetter"/>
      <w:start w:val="1"/>
    </w:lvl>
    <w:lvl w:ilvl="1">
      <w:lvlJc w:val="left"/>
      <w:lvlText w:val="(%2)"/>
      <w:numFmt w:val="lowerRoman"/>
      <w:start w:val="1"/>
    </w:lvl>
  </w:abstractNum>
  <w:abstractNum w:abstractNumId="73">
    <w:nsid w:val="1716703B"/>
    <w:multiLevelType w:val="hybridMultilevel"/>
    <w:lvl w:ilvl="0">
      <w:lvlJc w:val="left"/>
      <w:lvlText w:val="(%1)"/>
      <w:numFmt w:val="lowerLetter"/>
      <w:start w:val="1"/>
    </w:lvl>
  </w:abstractNum>
  <w:abstractNum w:abstractNumId="74">
    <w:nsid w:val="14E17E33"/>
    <w:multiLevelType w:val="hybridMultilevel"/>
    <w:lvl w:ilvl="0">
      <w:lvlJc w:val="left"/>
      <w:lvlText w:val="%1."/>
      <w:numFmt w:val="decimal"/>
      <w:start w:val="6"/>
    </w:lvl>
    <w:lvl w:ilvl="1">
      <w:lvlJc w:val="left"/>
      <w:lvlText w:val="(%2)"/>
      <w:numFmt w:val="lowerLetter"/>
      <w:start w:val="1"/>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2"/>
    </w:lvl>
  </w:abstractNum>
  <w:abstractNum w:abstractNumId="77">
    <w:nsid w:val="68EBC550"/>
    <w:multiLevelType w:val="hybridMultilevel"/>
    <w:lvl w:ilvl="0">
      <w:lvlJc w:val="left"/>
      <w:lvlText w:val="(%1)"/>
      <w:numFmt w:val="lowerRoman"/>
      <w:start w:val="1"/>
    </w:lvl>
  </w:abstractNum>
  <w:abstractNum w:abstractNumId="78">
    <w:nsid w:val="2DF6D648"/>
    <w:multiLevelType w:val="hybridMultilevel"/>
    <w:lvl w:ilvl="0">
      <w:lvlJc w:val="left"/>
      <w:lvlText w:val="%1."/>
      <w:numFmt w:val="decimal"/>
      <w:start w:val="7"/>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lvl w:ilvl="1">
      <w:lvlJc w:val="left"/>
      <w:lvlText w:val="(%2)"/>
      <w:numFmt w:val="lowerRoman"/>
      <w:start w:val="1"/>
    </w:lvl>
  </w:abstractNum>
  <w:abstractNum w:abstractNumId="81">
    <w:nsid w:val="39EE015C"/>
    <w:multiLevelType w:val="hybridMultilevel"/>
    <w:lvl w:ilvl="0">
      <w:lvlJc w:val="left"/>
      <w:lvlText w:val="(%1)"/>
      <w:numFmt w:val="lowerLetter"/>
      <w:start w:val="4"/>
    </w:lvl>
    <w:lvl w:ilvl="1">
      <w:lvlJc w:val="left"/>
      <w:lvlText w:val="(%2)"/>
      <w:numFmt w:val="lowerRoman"/>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3"/>
    </w:lvl>
  </w:abstractNum>
  <w:abstractNum w:abstractNumId="84">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60EF011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decimal"/>
      <w:start w:val="9"/>
    </w:lvl>
  </w:abstractNum>
  <w:abstractNum w:abstractNumId="88">
    <w:nsid w:val="49DA307D"/>
    <w:multiLevelType w:val="hybridMultilevel"/>
    <w:lvl w:ilvl="0">
      <w:lvlJc w:val="left"/>
      <w:lvlText w:val="%1."/>
      <w:numFmt w:val="decimal"/>
      <w:start w:val="10"/>
    </w:lvl>
  </w:abstractNum>
  <w:abstractNum w:abstractNumId="89">
    <w:nsid w:val="7055A5F5"/>
    <w:multiLevelType w:val="hybridMultilevel"/>
    <w:lvl w:ilvl="0">
      <w:lvlJc w:val="left"/>
      <w:lvlText w:val="(%1)"/>
      <w:numFmt w:val="upperLetter"/>
      <w:start w:val="4"/>
    </w:lvl>
  </w:abstractNum>
  <w:abstractNum w:abstractNumId="90">
    <w:nsid w:val="5FB8370B"/>
    <w:multiLevelType w:val="hybridMultilevel"/>
    <w:lvl w:ilvl="0">
      <w:lvlJc w:val="left"/>
      <w:lvlText w:val="%1."/>
      <w:numFmt w:val="decimal"/>
      <w:start w:val="11"/>
    </w:lvl>
  </w:abstractNum>
  <w:abstractNum w:abstractNumId="91">
    <w:nsid w:val="50801EE1"/>
    <w:multiLevelType w:val="hybridMultilevel"/>
    <w:lvl w:ilvl="0">
      <w:lvlJc w:val="left"/>
      <w:lvlText w:val="(%1)"/>
      <w:numFmt w:val="lowerRoman"/>
      <w:start w:val="4"/>
    </w:lvl>
    <w:lvl w:ilvl="1">
      <w:lvlJc w:val="left"/>
      <w:lvlText w:val="(%2)"/>
      <w:numFmt w:val="lowerLetter"/>
      <w:start w:val="1"/>
    </w:lvl>
  </w:abstractNum>
  <w:abstractNum w:abstractNumId="92">
    <w:nsid w:val="488AC1A"/>
    <w:multiLevelType w:val="hybridMultilevel"/>
    <w:lvl w:ilvl="0">
      <w:lvlJc w:val="left"/>
      <w:lvlText w:val="(%1)"/>
      <w:numFmt w:val="lowerLetter"/>
      <w:start w:val="5"/>
    </w:lvl>
  </w:abstractNum>
  <w:abstractNum w:abstractNumId="93">
    <w:nsid w:val="5FB8011C"/>
    <w:multiLevelType w:val="hybridMultilevel"/>
    <w:lvl w:ilvl="0">
      <w:lvlJc w:val="left"/>
      <w:lvlText w:val="(%1)"/>
      <w:numFmt w:val="lowerRoman"/>
      <w:start w:val="1"/>
    </w:lvl>
  </w:abstractNum>
  <w:abstractNum w:abstractNumId="94">
    <w:nsid w:val="6AA78F7F"/>
    <w:multiLevelType w:val="hybridMultilevel"/>
    <w:lvl w:ilvl="0">
      <w:lvlJc w:val="left"/>
      <w:lvlText w:val="%1."/>
      <w:numFmt w:val="decimal"/>
      <w:start w:val="12"/>
    </w:lvl>
    <w:lvl w:ilvl="1">
      <w:lvlJc w:val="left"/>
      <w:lvlText w:val="(%2)"/>
      <w:numFmt w:val="lowerLetter"/>
      <w:start w:val="1"/>
    </w:lvl>
  </w:abstractNum>
  <w:abstractNum w:abstractNumId="95">
    <w:nsid w:val="7672BD23"/>
    <w:multiLevelType w:val="hybridMultilevel"/>
    <w:lvl w:ilvl="0">
      <w:lvlJc w:val="left"/>
      <w:lvlText w:val="%1."/>
      <w:numFmt w:val="decimal"/>
      <w:start w:val="13"/>
    </w:lvl>
  </w:abstractNum>
  <w:abstractNum w:abstractNumId="96">
    <w:nsid w:val="6FC75AF8"/>
    <w:multiLevelType w:val="hybridMultilevel"/>
    <w:lvl w:ilvl="0">
      <w:lvlJc w:val="left"/>
      <w:lvlText w:val="(%1)"/>
      <w:numFmt w:val="lowerRoman"/>
      <w:start w:val="3"/>
    </w:lvl>
  </w:abstractNum>
  <w:abstractNum w:abstractNumId="97">
    <w:nsid w:val="6A5F7029"/>
    <w:multiLevelType w:val="hybridMultilevel"/>
    <w:lvl w:ilvl="0">
      <w:lvlJc w:val="left"/>
      <w:lvlText w:val="%1."/>
      <w:numFmt w:val="decimal"/>
      <w:start w:val="14"/>
    </w:lvl>
    <w:lvl w:ilvl="1">
      <w:lvlJc w:val="left"/>
      <w:lvlText w:val="(%2)"/>
      <w:numFmt w:val="lowerLetter"/>
      <w:start w:val="1"/>
    </w:lvl>
  </w:abstractNum>
  <w:abstractNum w:abstractNumId="98">
    <w:nsid w:val="7D5E18F8"/>
    <w:multiLevelType w:val="hybridMultilevel"/>
    <w:lvl w:ilvl="0">
      <w:lvlJc w:val="left"/>
      <w:lvlText w:val="(%1)"/>
      <w:numFmt w:val="lowerRoman"/>
      <w:start w:val="10"/>
    </w:lvl>
  </w:abstractNum>
  <w:abstractNum w:abstractNumId="99">
    <w:nsid w:val="5F3534A4"/>
    <w:multiLevelType w:val="hybridMultilevel"/>
    <w:lvl w:ilvl="0">
      <w:lvlJc w:val="left"/>
      <w:lvlText w:val="(%1)"/>
      <w:numFmt w:val="lowerLetter"/>
      <w:start w:val="25"/>
    </w:lvl>
  </w:abstractNum>
  <w:abstractNum w:abstractNumId="100">
    <w:nsid w:val="73A1821B"/>
    <w:multiLevelType w:val="hybridMultilevel"/>
    <w:lvl w:ilvl="0">
      <w:lvlJc w:val="left"/>
      <w:lvlText w:val="(%1)"/>
      <w:numFmt w:val="lowerLetter"/>
      <w:start w:val="2"/>
    </w:lvl>
  </w:abstractNum>
  <w:abstractNum w:abstractNumId="101">
    <w:nsid w:val="7DE67713"/>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2019-12-06T17:51:38Z</dcterms:created>
  <dcterms:modified xsi:type="dcterms:W3CDTF">2019-12-06T17:51:38Z</dcterms:modified>
</cp:coreProperties>
</file>