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t>UNITED STATES</w:t>
      </w:r>
    </w:p>
    <w:p>
      <w:pPr>
        <w:spacing w:after="0" w:line="17"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71"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15</w:t>
      </w:r>
    </w:p>
    <w:p>
      <w:pPr>
        <w:spacing w:after="0" w:line="216" w:lineRule="exact"/>
        <w:rPr>
          <w:sz w:val="24"/>
          <w:szCs w:val="24"/>
          <w:color w:val="auto"/>
        </w:rPr>
      </w:pPr>
    </w:p>
    <w:p>
      <w:pPr>
        <w:jc w:val="center"/>
        <w:ind w:left="320" w:right="340"/>
        <w:spacing w:after="0" w:line="263" w:lineRule="auto"/>
        <w:rPr>
          <w:sz w:val="20"/>
          <w:szCs w:val="20"/>
          <w:color w:val="auto"/>
        </w:rPr>
      </w:pPr>
      <w:r>
        <w:rPr>
          <w:rFonts w:ascii="Arial" w:cs="Arial" w:eastAsia="Arial" w:hAnsi="Arial"/>
          <w:sz w:val="19"/>
          <w:szCs w:val="19"/>
          <w:b w:val="1"/>
          <w:bCs w:val="1"/>
          <w:color w:val="auto"/>
        </w:rPr>
        <w:t>CERTIFICATION AND NOTICE OF TERMINATION OF REGISTRATION UNDER SECTION 12(g) OF THE SECURITIES EXCHANGE ACT OF 1934 OR SUSPENSION OF DUTY TO FILE REPORTS UNDER SECTIONS 13 AND 15(d) OF THE SECURITIES EXCHANGE ACT OF 1934.</w:t>
      </w:r>
    </w:p>
    <w:p>
      <w:pPr>
        <w:spacing w:after="0" w:line="173" w:lineRule="exact"/>
        <w:rPr>
          <w:sz w:val="24"/>
          <w:szCs w:val="24"/>
          <w:color w:val="auto"/>
        </w:rPr>
      </w:pPr>
    </w:p>
    <w:p>
      <w:pPr>
        <w:ind w:left="6880"/>
        <w:spacing w:after="0"/>
        <w:rPr>
          <w:sz w:val="20"/>
          <w:szCs w:val="20"/>
          <w:color w:val="auto"/>
        </w:rPr>
      </w:pPr>
      <w:r>
        <w:rPr>
          <w:rFonts w:ascii="Arial" w:cs="Arial" w:eastAsia="Arial" w:hAnsi="Arial"/>
          <w:sz w:val="16"/>
          <w:szCs w:val="16"/>
          <w:color w:val="auto"/>
        </w:rPr>
        <w:t>Commission File Numbers 333-208621-01; 333-163914-01;</w:t>
      </w:r>
    </w:p>
    <w:p>
      <w:pPr>
        <w:spacing w:after="0" w:line="38" w:lineRule="exact"/>
        <w:rPr>
          <w:sz w:val="24"/>
          <w:szCs w:val="24"/>
          <w:color w:val="auto"/>
        </w:rPr>
      </w:pPr>
    </w:p>
    <w:p>
      <w:pPr>
        <w:ind w:left="8860"/>
        <w:spacing w:after="0"/>
        <w:rPr>
          <w:sz w:val="20"/>
          <w:szCs w:val="20"/>
          <w:color w:val="auto"/>
        </w:rPr>
      </w:pPr>
      <w:r>
        <w:rPr>
          <w:rFonts w:ascii="Arial" w:cs="Arial" w:eastAsia="Arial" w:hAnsi="Arial"/>
          <w:sz w:val="18"/>
          <w:szCs w:val="18"/>
          <w:color w:val="auto"/>
        </w:rPr>
        <w:t>333-167793-01</w:t>
      </w:r>
    </w:p>
    <w:p>
      <w:pPr>
        <w:spacing w:after="0" w:line="200"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RECKSON OPERATING PARTNERSHIP, L.P.</w:t>
      </w:r>
    </w:p>
    <w:p>
      <w:pPr>
        <w:spacing w:after="0" w:line="3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19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420 Lexington Avenue</w:t>
      </w:r>
    </w:p>
    <w:p>
      <w:pPr>
        <w:spacing w:after="0" w:line="2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New York, NY 10170</w:t>
      </w:r>
    </w:p>
    <w:p>
      <w:pPr>
        <w:spacing w:after="0" w:line="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(212) 594-2700</w:t>
      </w:r>
    </w:p>
    <w:p>
      <w:pPr>
        <w:spacing w:after="0" w:line="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19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7.75% Senior Notes due 2020</w:t>
      </w:r>
    </w:p>
    <w:p>
      <w:pPr>
        <w:spacing w:after="0" w:line="2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Floating Rate Notes due 2021</w:t>
      </w:r>
    </w:p>
    <w:p>
      <w:pPr>
        <w:spacing w:after="0" w:line="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3.250% Notes due 2022</w:t>
      </w:r>
    </w:p>
    <w:p>
      <w:pPr>
        <w:spacing w:after="0" w:line="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4.50% Senior Notes due 2022</w:t>
      </w:r>
    </w:p>
    <w:p>
      <w:pPr>
        <w:spacing w:after="0" w:line="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(Title of each class of securities covered by this Form)</w:t>
      </w:r>
    </w:p>
    <w:p>
      <w:pPr>
        <w:spacing w:after="0" w:line="19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(Titles of all other classes of securities for which a duty to file reports under section 13(a) or 15(d) remains)</w:t>
      </w:r>
    </w:p>
    <w:p>
      <w:pPr>
        <w:spacing w:after="0" w:line="200" w:lineRule="exact"/>
        <w:rPr>
          <w:sz w:val="24"/>
          <w:szCs w:val="24"/>
          <w:color w:val="auto"/>
        </w:rPr>
      </w:pPr>
    </w:p>
    <w:p>
      <w:pPr>
        <w:spacing w:after="0" w:line="213" w:lineRule="exact"/>
        <w:rPr>
          <w:sz w:val="24"/>
          <w:szCs w:val="24"/>
          <w:color w:val="auto"/>
        </w:rPr>
      </w:pPr>
    </w:p>
    <w:p>
      <w:pPr>
        <w:ind w:left="320"/>
        <w:spacing w:after="0"/>
        <w:rPr>
          <w:sz w:val="20"/>
          <w:szCs w:val="20"/>
          <w:color w:val="auto"/>
        </w:rPr>
      </w:pPr>
      <w:r>
        <w:rPr>
          <w:rFonts w:ascii="Arial" w:cs="Arial" w:eastAsia="Arial" w:hAnsi="Arial"/>
          <w:sz w:val="16"/>
          <w:szCs w:val="16"/>
          <w:color w:val="auto"/>
        </w:rPr>
        <w:t>Please place an X in the box(es) to designate the appropriate rule provision(s) relied upon to terminate or suspend the duty to file reports:</w:t>
      </w:r>
    </w:p>
    <w:p>
      <w:pPr>
        <w:sectPr>
          <w:pgSz w:w="11900" w:h="16838" w:orient="portrait"/>
          <w:cols w:equalWidth="0" w:num="1">
            <w:col w:w="11460"/>
          </w:cols>
          <w:pgMar w:left="240" w:top="440" w:right="199" w:bottom="1440" w:gutter="0" w:footer="0" w:header="0"/>
        </w:sectPr>
      </w:pPr>
    </w:p>
    <w:p>
      <w:pPr>
        <w:spacing w:after="0" w:line="237" w:lineRule="exact"/>
        <w:rPr>
          <w:sz w:val="24"/>
          <w:szCs w:val="24"/>
          <w:color w:val="auto"/>
        </w:rPr>
      </w:pPr>
    </w:p>
    <w:p>
      <w:pPr>
        <w:ind w:left="2520"/>
        <w:spacing w:after="0"/>
        <w:rPr>
          <w:sz w:val="20"/>
          <w:szCs w:val="20"/>
          <w:color w:val="auto"/>
        </w:rPr>
      </w:pPr>
      <w:r>
        <w:rPr>
          <w:rFonts w:ascii="Arial" w:cs="Arial" w:eastAsia="Arial" w:hAnsi="Arial"/>
          <w:sz w:val="18"/>
          <w:szCs w:val="18"/>
          <w:color w:val="auto"/>
        </w:rPr>
        <w:t>Rule 12g-4(a)(1)</w:t>
      </w:r>
    </w:p>
    <w:p>
      <w:pPr>
        <w:spacing w:after="0" w:line="15" w:lineRule="exact"/>
        <w:rPr>
          <w:sz w:val="24"/>
          <w:szCs w:val="24"/>
          <w:color w:val="auto"/>
        </w:rPr>
      </w:pPr>
    </w:p>
    <w:p>
      <w:pPr>
        <w:ind w:left="2520"/>
        <w:spacing w:after="0"/>
        <w:rPr>
          <w:sz w:val="20"/>
          <w:szCs w:val="20"/>
          <w:color w:val="auto"/>
        </w:rPr>
      </w:pPr>
      <w:r>
        <w:rPr>
          <w:rFonts w:ascii="Arial" w:cs="Arial" w:eastAsia="Arial" w:hAnsi="Arial"/>
          <w:sz w:val="18"/>
          <w:szCs w:val="18"/>
          <w:color w:val="auto"/>
        </w:rPr>
        <w:t>Rule 12g-4(a)(2)</w:t>
      </w:r>
    </w:p>
    <w:p>
      <w:pPr>
        <w:spacing w:after="0" w:line="3" w:lineRule="exact"/>
        <w:rPr>
          <w:sz w:val="24"/>
          <w:szCs w:val="24"/>
          <w:color w:val="auto"/>
        </w:rPr>
      </w:pPr>
    </w:p>
    <w:p>
      <w:pPr>
        <w:ind w:left="2520"/>
        <w:spacing w:after="0"/>
        <w:rPr>
          <w:sz w:val="20"/>
          <w:szCs w:val="20"/>
          <w:color w:val="auto"/>
        </w:rPr>
      </w:pPr>
      <w:r>
        <w:rPr>
          <w:rFonts w:ascii="Arial" w:cs="Arial" w:eastAsia="Arial" w:hAnsi="Arial"/>
          <w:sz w:val="16"/>
          <w:szCs w:val="16"/>
          <w:color w:val="auto"/>
        </w:rPr>
        <w:t>Rule 12h-3(b)(1)(i)</w:t>
      </w:r>
    </w:p>
    <w:p>
      <w:pPr>
        <w:spacing w:after="0" w:line="26" w:lineRule="exact"/>
        <w:rPr>
          <w:sz w:val="24"/>
          <w:szCs w:val="24"/>
          <w:color w:val="auto"/>
        </w:rPr>
      </w:pPr>
    </w:p>
    <w:p>
      <w:pPr>
        <w:ind w:left="2520"/>
        <w:spacing w:after="0"/>
        <w:rPr>
          <w:sz w:val="20"/>
          <w:szCs w:val="20"/>
          <w:color w:val="auto"/>
        </w:rPr>
      </w:pPr>
      <w:r>
        <w:rPr>
          <w:rFonts w:ascii="Arial" w:cs="Arial" w:eastAsia="Arial" w:hAnsi="Arial"/>
          <w:sz w:val="16"/>
          <w:szCs w:val="16"/>
          <w:color w:val="auto"/>
        </w:rPr>
        <w:t>Rule 12h-3(b)(1)(ii)</w:t>
      </w:r>
    </w:p>
    <w:p>
      <w:pPr>
        <w:spacing w:after="0" w:line="26" w:lineRule="exact"/>
        <w:rPr>
          <w:sz w:val="24"/>
          <w:szCs w:val="24"/>
          <w:color w:val="auto"/>
        </w:rPr>
      </w:pPr>
    </w:p>
    <w:p>
      <w:pPr>
        <w:ind w:left="2520"/>
        <w:spacing w:after="0"/>
        <w:rPr>
          <w:sz w:val="20"/>
          <w:szCs w:val="20"/>
          <w:color w:val="auto"/>
        </w:rPr>
      </w:pPr>
      <w:r>
        <w:rPr>
          <w:rFonts w:ascii="Arial" w:cs="Arial" w:eastAsia="Arial" w:hAnsi="Arial"/>
          <w:sz w:val="18"/>
          <w:szCs w:val="18"/>
          <w:color w:val="auto"/>
        </w:rPr>
        <w:t>Rule 15d-6</w:t>
      </w:r>
    </w:p>
    <w:p>
      <w:pPr>
        <w:spacing w:after="0" w:line="3" w:lineRule="exact"/>
        <w:rPr>
          <w:sz w:val="24"/>
          <w:szCs w:val="24"/>
          <w:color w:val="auto"/>
        </w:rPr>
      </w:pPr>
    </w:p>
    <w:p>
      <w:pPr>
        <w:ind w:left="2520"/>
        <w:spacing w:after="0"/>
        <w:rPr>
          <w:sz w:val="20"/>
          <w:szCs w:val="20"/>
          <w:color w:val="auto"/>
        </w:rPr>
      </w:pPr>
      <w:r>
        <w:rPr>
          <w:rFonts w:ascii="Arial" w:cs="Arial" w:eastAsia="Arial" w:hAnsi="Arial"/>
          <w:sz w:val="18"/>
          <w:szCs w:val="18"/>
          <w:color w:val="auto"/>
        </w:rPr>
        <w:t>Rule 15d-22(b)</w:t>
      </w:r>
    </w:p>
    <w:p>
      <w:pPr>
        <w:spacing w:after="0" w:line="20" w:lineRule="exact"/>
        <w:rPr>
          <w:sz w:val="24"/>
          <w:szCs w:val="24"/>
          <w:color w:val="auto"/>
        </w:rPr>
      </w:pPr>
      <w:r>
        <w:rPr>
          <w:sz w:val="24"/>
          <w:szCs w:val="24"/>
          <w:color w:val="auto"/>
        </w:rPr>
        <w:br w:type="column"/>
      </w:r>
    </w:p>
    <w:p>
      <w:pPr>
        <w:spacing w:after="0" w:line="217"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61"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49"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49"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49"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6"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45" w:lineRule="exact"/>
        <w:rPr>
          <w:sz w:val="24"/>
          <w:szCs w:val="24"/>
          <w:color w:val="auto"/>
        </w:rPr>
      </w:pPr>
    </w:p>
    <w:p>
      <w:pPr>
        <w:sectPr>
          <w:pgSz w:w="11900" w:h="16838" w:orient="portrait"/>
          <w:cols w:equalWidth="0" w:num="2">
            <w:col w:w="3940" w:space="660"/>
            <w:col w:w="6860"/>
          </w:cols>
          <w:pgMar w:left="240" w:top="440" w:right="199" w:bottom="1440" w:gutter="0" w:footer="0" w:header="0"/>
          <w:type w:val="continuous"/>
        </w:sectPr>
      </w:pPr>
    </w:p>
    <w:p>
      <w:pPr>
        <w:spacing w:after="0" w:line="2" w:lineRule="exact"/>
        <w:rPr>
          <w:sz w:val="24"/>
          <w:szCs w:val="24"/>
          <w:color w:val="auto"/>
        </w:rPr>
      </w:pPr>
    </w:p>
    <w:p>
      <w:pPr>
        <w:ind w:left="320"/>
        <w:spacing w:after="0"/>
        <w:rPr>
          <w:sz w:val="20"/>
          <w:szCs w:val="20"/>
          <w:color w:val="auto"/>
        </w:rPr>
      </w:pPr>
      <w:r>
        <w:rPr>
          <w:rFonts w:ascii="Arial" w:cs="Arial" w:eastAsia="Arial" w:hAnsi="Arial"/>
          <w:sz w:val="18"/>
          <w:szCs w:val="18"/>
          <w:color w:val="auto"/>
        </w:rPr>
        <w:t>Approximate number of holders of record as of the certification or notice date:</w:t>
      </w:r>
    </w:p>
    <w:p>
      <w:pPr>
        <w:spacing w:after="0" w:line="20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7.75% Senior Notes due 2020 – 0 holders as of January 1, 2019</w:t>
      </w:r>
    </w:p>
    <w:p>
      <w:pPr>
        <w:spacing w:after="0" w:line="2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Floating Rate Notes due 2021 – 0 holders as of January 1, 2019</w:t>
      </w:r>
    </w:p>
    <w:p>
      <w:pPr>
        <w:spacing w:after="0" w:line="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3.250% Notes due 2022 – 0 holders as of January 1, 2019</w:t>
      </w:r>
    </w:p>
    <w:p>
      <w:pPr>
        <w:spacing w:after="0" w:line="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4.50% Senior Notes due 2022 – 0 holders as of January 1, 2019</w:t>
      </w:r>
    </w:p>
    <w:p>
      <w:pPr>
        <w:spacing w:after="0" w:line="202" w:lineRule="exact"/>
        <w:rPr>
          <w:sz w:val="24"/>
          <w:szCs w:val="24"/>
          <w:color w:val="auto"/>
        </w:rPr>
      </w:pPr>
    </w:p>
    <w:p>
      <w:pPr>
        <w:ind w:right="160" w:firstLine="316"/>
        <w:spacing w:after="0" w:line="261" w:lineRule="auto"/>
        <w:rPr>
          <w:sz w:val="20"/>
          <w:szCs w:val="20"/>
          <w:color w:val="auto"/>
        </w:rPr>
      </w:pPr>
      <w:r>
        <w:rPr>
          <w:rFonts w:ascii="Arial" w:cs="Arial" w:eastAsia="Arial" w:hAnsi="Arial"/>
          <w:sz w:val="18"/>
          <w:szCs w:val="18"/>
          <w:color w:val="auto"/>
        </w:rPr>
        <w:t>Pursuant to the requirements of the Securities Exchange Act of 1934 Reckson Operating Partnership, L.P. has caused this certification/notice to be signed on its behalf by the undersigned duly authorized person.</w:t>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Date:   May 8, 2019</w:t>
            </w:r>
          </w:p>
        </w:tc>
        <w:tc>
          <w:tcPr>
            <w:tcW w:w="3420" w:type="dxa"/>
            <w:vAlign w:val="bottom"/>
          </w:tcPr>
          <w:p>
            <w:pPr>
              <w:ind w:left="2860"/>
              <w:spacing w:after="0"/>
              <w:rPr>
                <w:sz w:val="20"/>
                <w:szCs w:val="20"/>
                <w:color w:val="auto"/>
              </w:rPr>
            </w:pPr>
            <w:r>
              <w:rPr>
                <w:rFonts w:ascii="Arial" w:cs="Arial" w:eastAsia="Arial" w:hAnsi="Arial"/>
                <w:sz w:val="18"/>
                <w:szCs w:val="18"/>
                <w:color w:val="auto"/>
              </w:rPr>
              <w:t>By:</w:t>
            </w:r>
          </w:p>
        </w:tc>
        <w:tc>
          <w:tcPr>
            <w:tcW w:w="4560" w:type="dxa"/>
            <w:vAlign w:val="bottom"/>
          </w:tcPr>
          <w:p>
            <w:pPr>
              <w:spacing w:after="0"/>
              <w:rPr>
                <w:sz w:val="20"/>
                <w:szCs w:val="20"/>
                <w:color w:val="auto"/>
              </w:rPr>
            </w:pPr>
            <w:r>
              <w:rPr>
                <w:rFonts w:ascii="Arial" w:cs="Arial" w:eastAsia="Arial" w:hAnsi="Arial"/>
                <w:sz w:val="18"/>
                <w:szCs w:val="18"/>
                <w:color w:val="auto"/>
              </w:rPr>
              <w:t>/s/ Matthew J. DiLiberto</w:t>
            </w:r>
          </w:p>
        </w:tc>
        <w:tc>
          <w:tcPr>
            <w:tcW w:w="600" w:type="dxa"/>
            <w:vAlign w:val="bottom"/>
          </w:tcPr>
          <w:p>
            <w:pPr>
              <w:spacing w:after="0"/>
              <w:rPr>
                <w:sz w:val="19"/>
                <w:szCs w:val="19"/>
                <w:color w:val="auto"/>
              </w:rPr>
            </w:pPr>
          </w:p>
        </w:tc>
      </w:tr>
      <w:tr>
        <w:trPr>
          <w:trHeight w:val="192"/>
        </w:trPr>
        <w:tc>
          <w:tcPr>
            <w:tcW w:w="580" w:type="dxa"/>
            <w:vAlign w:val="bottom"/>
          </w:tcPr>
          <w:p>
            <w:pPr>
              <w:spacing w:after="0"/>
              <w:rPr>
                <w:sz w:val="16"/>
                <w:szCs w:val="16"/>
                <w:color w:val="auto"/>
              </w:rPr>
            </w:pPr>
          </w:p>
        </w:tc>
        <w:tc>
          <w:tcPr>
            <w:tcW w:w="2300" w:type="dxa"/>
            <w:vAlign w:val="bottom"/>
            <w:tcBorders>
              <w:top w:val="single" w:sz="8" w:color="auto"/>
            </w:tcBorders>
          </w:tcPr>
          <w:p>
            <w:pPr>
              <w:spacing w:after="0"/>
              <w:rPr>
                <w:sz w:val="16"/>
                <w:szCs w:val="16"/>
                <w:color w:val="auto"/>
              </w:rPr>
            </w:pPr>
          </w:p>
        </w:tc>
        <w:tc>
          <w:tcPr>
            <w:tcW w:w="3420" w:type="dxa"/>
            <w:vAlign w:val="bottom"/>
          </w:tcPr>
          <w:p>
            <w:pPr>
              <w:spacing w:after="0"/>
              <w:rPr>
                <w:sz w:val="16"/>
                <w:szCs w:val="16"/>
                <w:color w:val="auto"/>
              </w:rPr>
            </w:pPr>
          </w:p>
        </w:tc>
        <w:tc>
          <w:tcPr>
            <w:tcW w:w="4560" w:type="dxa"/>
            <w:vAlign w:val="bottom"/>
            <w:tcBorders>
              <w:top w:val="single" w:sz="8" w:color="auto"/>
            </w:tcBorders>
          </w:tcPr>
          <w:p>
            <w:pPr>
              <w:spacing w:after="0" w:line="192" w:lineRule="exact"/>
              <w:rPr>
                <w:sz w:val="20"/>
                <w:szCs w:val="20"/>
                <w:color w:val="auto"/>
              </w:rPr>
            </w:pPr>
            <w:r>
              <w:rPr>
                <w:rFonts w:ascii="Arial" w:cs="Arial" w:eastAsia="Arial" w:hAnsi="Arial"/>
                <w:sz w:val="18"/>
                <w:szCs w:val="18"/>
                <w:color w:val="auto"/>
              </w:rPr>
              <w:t>Matthew J. DiLiberto</w:t>
            </w:r>
          </w:p>
        </w:tc>
        <w:tc>
          <w:tcPr>
            <w:tcW w:w="600" w:type="dxa"/>
            <w:vAlign w:val="bottom"/>
          </w:tcPr>
          <w:p>
            <w:pPr>
              <w:spacing w:after="0"/>
              <w:rPr>
                <w:sz w:val="16"/>
                <w:szCs w:val="16"/>
                <w:color w:val="auto"/>
              </w:rPr>
            </w:pPr>
          </w:p>
        </w:tc>
      </w:tr>
      <w:tr>
        <w:trPr>
          <w:trHeight w:val="210"/>
        </w:trPr>
        <w:tc>
          <w:tcPr>
            <w:tcW w:w="5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i w:val="1"/>
                <w:iCs w:val="1"/>
                <w:color w:val="auto"/>
                <w:w w:val="95"/>
              </w:rPr>
              <w:t>Treasurer of Wyoming Acquisition GP LLC, the sole general</w:t>
            </w:r>
          </w:p>
        </w:tc>
        <w:tc>
          <w:tcPr>
            <w:tcW w:w="600" w:type="dxa"/>
            <w:vAlign w:val="bottom"/>
          </w:tcPr>
          <w:p>
            <w:pPr>
              <w:spacing w:after="0"/>
              <w:rPr>
                <w:sz w:val="18"/>
                <w:szCs w:val="18"/>
                <w:color w:val="auto"/>
              </w:rPr>
            </w:pPr>
          </w:p>
        </w:tc>
      </w:tr>
      <w:tr>
        <w:trPr>
          <w:trHeight w:val="222"/>
        </w:trPr>
        <w:tc>
          <w:tcPr>
            <w:tcW w:w="5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i w:val="1"/>
                <w:iCs w:val="1"/>
                <w:color w:val="auto"/>
              </w:rPr>
              <w:t>partner of Reckson Operating Partnership, L.P.</w:t>
            </w:r>
          </w:p>
        </w:tc>
        <w:tc>
          <w:tcPr>
            <w:tcW w:w="600" w:type="dxa"/>
            <w:vAlign w:val="bottom"/>
          </w:tcPr>
          <w:p>
            <w:pPr>
              <w:spacing w:after="0"/>
              <w:rPr>
                <w:sz w:val="19"/>
                <w:szCs w:val="19"/>
                <w:color w:val="auto"/>
              </w:rPr>
            </w:pPr>
          </w:p>
        </w:tc>
      </w:tr>
      <w:tr>
        <w:trPr>
          <w:trHeight w:val="339"/>
        </w:trPr>
        <w:tc>
          <w:tcPr>
            <w:tcW w:w="580" w:type="dxa"/>
            <w:vAlign w:val="bottom"/>
            <w:tcBorders>
              <w:bottom w:val="single" w:sz="8" w:color="808080"/>
            </w:tcBorders>
          </w:tcPr>
          <w:p>
            <w:pPr>
              <w:spacing w:after="0"/>
              <w:rPr>
                <w:sz w:val="24"/>
                <w:szCs w:val="24"/>
                <w:color w:val="auto"/>
              </w:rPr>
            </w:pPr>
          </w:p>
        </w:tc>
        <w:tc>
          <w:tcPr>
            <w:tcW w:w="2300" w:type="dxa"/>
            <w:vAlign w:val="bottom"/>
            <w:tcBorders>
              <w:bottom w:val="single" w:sz="8" w:color="808080"/>
            </w:tcBorders>
          </w:tcPr>
          <w:p>
            <w:pPr>
              <w:spacing w:after="0"/>
              <w:rPr>
                <w:sz w:val="24"/>
                <w:szCs w:val="24"/>
                <w:color w:val="auto"/>
              </w:rPr>
            </w:pPr>
          </w:p>
        </w:tc>
        <w:tc>
          <w:tcPr>
            <w:tcW w:w="3420" w:type="dxa"/>
            <w:vAlign w:val="bottom"/>
            <w:tcBorders>
              <w:bottom w:val="single" w:sz="8" w:color="808080"/>
            </w:tcBorders>
          </w:tcPr>
          <w:p>
            <w:pPr>
              <w:spacing w:after="0"/>
              <w:rPr>
                <w:sz w:val="24"/>
                <w:szCs w:val="24"/>
                <w:color w:val="auto"/>
              </w:rPr>
            </w:pPr>
          </w:p>
        </w:tc>
        <w:tc>
          <w:tcPr>
            <w:tcW w:w="456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7259320</wp:posOffset>
            </wp:positionH>
            <wp:positionV relativeFrom="paragraph">
              <wp:posOffset>-28575</wp:posOffset>
            </wp:positionV>
            <wp:extent cx="12700" cy="292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-28575</wp:posOffset>
            </wp:positionV>
            <wp:extent cx="12700" cy="29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sectPr>
      <w:pgSz w:w="11900" w:h="16838" w:orient="portrait"/>
      <w:cols w:equalWidth="0" w:num="1">
        <w:col w:w="11460"/>
      </w:cols>
      <w:pgMar w:left="240" w:top="440" w:right="1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2019-12-02T22:24:33Z</dcterms:created>
  <dcterms:modified xsi:type="dcterms:W3CDTF">2019-12-02T22:24:33Z</dcterms:modified>
</cp:coreProperties>
</file>