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59.jpeg" ContentType="image/jpeg"/>
  <Override PartName="/word/media/image42.jpeg" ContentType="image/jpeg"/>
  <Override PartName="/word/media/image58.jpeg" ContentType="image/jpeg"/>
  <Override PartName="/word/media/image57.jpeg" ContentType="image/jpeg"/>
  <Override PartName="/word/media/image5.jpeg" ContentType="image/jpeg"/>
  <Override PartName="/word/media/image26.jpeg" ContentType="image/jpeg"/>
  <Override PartName="/word/media/image6.jpeg" ContentType="image/jpeg"/>
  <Override PartName="/word/media/image63.jpeg" ContentType="image/jpeg"/>
  <Override PartName="/word/media/image33.jpeg" ContentType="image/jpeg"/>
  <Override PartName="/word/media/image62.jpeg" ContentType="image/jpeg"/>
  <Override PartName="/word/media/image4.gif" ContentType="image/gif"/>
  <Override PartName="/word/media/image35.jpeg" ContentType="image/jpeg"/>
  <Override PartName="/word/media/image1.jpeg" ContentType="image/jpeg"/>
  <Override PartName="/word/media/image22.jpeg" ContentType="image/jpeg"/>
  <Override PartName="/word/media/image50.jpeg" ContentType="image/jpeg"/>
  <Override PartName="/word/media/image37.jpeg" ContentType="image/jpeg"/>
  <Override PartName="/word/media/image3.jpeg" ContentType="image/jpeg"/>
  <Override PartName="/word/media/image60.jpeg" ContentType="image/jpeg"/>
  <Override PartName="/word/media/image24.jpeg" ContentType="image/jpeg"/>
  <Override PartName="/word/media/image36.jpeg" ContentType="image/jpeg"/>
  <Override PartName="/word/media/image2.jpeg" ContentType="image/jpeg"/>
  <Override PartName="/word/media/image23.jpeg" ContentType="image/jpeg"/>
  <Override PartName="/word/media/image14.jpeg" ContentType="image/jpeg"/>
  <Override PartName="/word/media/image41.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8.jpeg" ContentType="image/jpeg"/>
  <Override PartName="/word/media/image61.jpeg" ContentType="image/jpeg"/>
  <Override PartName="/word/media/image17.jpeg" ContentType="image/jpeg"/>
  <Override PartName="/word/media/image51.jpeg" ContentType="image/jpeg"/>
  <Override PartName="/word/media/image7.jpeg" ContentType="image/jpeg"/>
  <Override PartName="/word/media/image38.jpeg" ContentType="image/jpeg"/>
  <Override PartName="/word/media/image12.jpeg" ContentType="image/jpeg"/>
  <Override PartName="/word/media/image29.jpeg" ContentType="image/jpeg"/>
  <Override PartName="/word/media/image52.jpeg" ContentType="image/jpeg"/>
  <Override PartName="/word/media/image27.jpeg" ContentType="image/jpeg"/>
  <Override PartName="/word/media/image10.jpeg" ContentType="image/jpeg"/>
  <Override PartName="/word/media/image8.jpeg" ContentType="image/jpeg"/>
  <Override PartName="/word/media/image39.jpeg" ContentType="image/jpeg"/>
  <Override PartName="/word/media/image13.jpeg" ContentType="image/jpeg"/>
  <Override PartName="/word/media/image40.jpeg" ContentType="image/jpeg"/>
  <Override PartName="/word/media/image28.jpeg" ContentType="image/jpeg"/>
  <Override PartName="/word/media/image11.jpeg" ContentType="image/jpeg"/>
  <Override PartName="/word/media/image9.jpeg" ContentType="image/jpeg"/>
  <Override PartName="/word/media/image30.jpeg" ContentType="image/jpeg"/>
  <Override PartName="/word/media/image31.jpeg" ContentType="image/jpeg"/>
  <Override PartName="/word/media/image32.jpeg" ContentType="image/jpeg"/>
  <Override PartName="/word/media/image34.jpeg" ContentType="image/jpeg"/>
  <Override PartName="/word/media/image43.jpeg" ContentType="image/jpeg"/>
  <Override PartName="/word/media/image44.jpeg" ContentType="image/jpeg"/>
  <Override PartName="/word/media/image45.jpeg" ContentType="image/jpeg"/>
  <Override PartName="/word/media/image46.jpeg" ContentType="image/jpeg"/>
  <Override PartName="/word/media/image47.jpeg" ContentType="image/jpeg"/>
  <Override PartName="/word/media/image48.jpeg" ContentType="image/jpeg"/>
  <Override PartName="/word/media/image49.jpeg" ContentType="image/jpeg"/>
  <Override PartName="/word/media/image53.jpeg" ContentType="image/jpeg"/>
  <Override PartName="/word/media/image54.jpeg" ContentType="image/jpeg"/>
  <Override PartName="/word/media/image55.jpeg" ContentType="image/jpeg"/>
  <Override PartName="/word/media/image5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1543-1_def14a.htm"/>
        <w:bookmarkStart w:id="1" w:name="kstm2615431_def14a"/>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283"/>
        <w:ind w:left="1393" w:right="0" w:hanging="0"/>
        <w:jc w:val="center"/>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pacing w:val="-2"/>
          <w:sz w:val="18"/>
        </w:rPr>
        <w:t xml:space="preserve">UNITED STATES </w:t>
        <w:br/>
        <w:t xml:space="preserve">SECURITIES AND EXCHANGE COMMISSION </w:t>
        <w:br/>
        <w:t>Washington, D.C. 20549</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340" w:before="160" w:after="283"/>
        <w:jc w:val="center"/>
        <w:rPr>
          <w:rFonts w:ascii="Arial;Helvetica;sans-serif" w:hAnsi="Arial;Helvetica;sans-serif"/>
          <w:b/>
          <w:i w:val="false"/>
          <w:caps w:val="false"/>
          <w:smallCaps w:val="false"/>
          <w:color w:val="000000"/>
          <w:sz w:val="28"/>
        </w:rPr>
      </w:pPr>
      <w:r>
        <w:rPr>
          <w:rFonts w:ascii="Arial;Helvetica;sans-serif" w:hAnsi="Arial;Helvetica;sans-serif"/>
          <w:b/>
          <w:i w:val="false"/>
          <w:caps w:val="false"/>
          <w:smallCaps w:val="false"/>
          <w:color w:val="000000"/>
          <w:spacing w:val="-3"/>
          <w:sz w:val="28"/>
        </w:rPr>
        <w:t>SCHEDULE 14A</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40" w:before="160" w:after="283"/>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 xml:space="preserve">Proxy Statement Pursuant to Section 14(a) of the </w:t>
        <w:br/>
        <w:t>Securities Exchange Act of 1934 (Amendment No.  )</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60" w:after="283"/>
        <w:jc w:val="left"/>
        <w:rPr>
          <w:caps w:val="false"/>
          <w:smallCaps w:val="false"/>
          <w:color w:val="000000"/>
        </w:rPr>
      </w:pPr>
      <w:r>
        <w:rPr>
          <w:caps w:val="false"/>
          <w:smallCaps w:val="false"/>
          <w:color w:val="000000"/>
          <w:spacing w:val="-2"/>
        </w:rPr>
        <w:t>☑      </w:t>
      </w:r>
      <w:r>
        <w:rPr>
          <w:rFonts w:ascii="Arial;Helvetica;sans-serif" w:hAnsi="Arial;Helvetica;sans-serif"/>
          <w:b w:val="false"/>
          <w:i w:val="false"/>
          <w:caps w:val="false"/>
          <w:smallCaps w:val="false"/>
          <w:color w:val="000000"/>
          <w:spacing w:val="-2"/>
          <w:sz w:val="18"/>
        </w:rPr>
        <w:t>Filed by the Registrant            ☐      Filed by a party other than the Registrant</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CHECK THE APPROPRIATE BOX:</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60" w:after="0"/>
        <w:ind w:left="1793"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Preliminary Proxy Statement</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01600" distB="0" distL="0" distR="0" simplePos="0" locked="0" layoutInCell="1" allowOverlap="1" relativeHeight="206">
                <wp:simplePos x="0" y="0"/>
                <wp:positionH relativeFrom="column">
                  <wp:align>left</wp:align>
                </wp:positionH>
                <wp:positionV relativeFrom="line">
                  <wp:align>top</wp:align>
                </wp:positionV>
                <wp:extent cx="254000" cy="350520"/>
                <wp:effectExtent l="0" t="0" r="0" b="0"/>
                <wp:wrapSquare wrapText="right"/>
                <wp:docPr id="1" name="Frame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Confidential, for Use of the Commission Only (as permitted by Rule 14a-6(e)(2))</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01600" distB="0" distL="0" distR="0" simplePos="0" locked="0" layoutInCell="1" allowOverlap="1" relativeHeight="304">
                <wp:simplePos x="0" y="0"/>
                <wp:positionH relativeFrom="column">
                  <wp:align>left</wp:align>
                </wp:positionH>
                <wp:positionV relativeFrom="line">
                  <wp:align>top</wp:align>
                </wp:positionV>
                <wp:extent cx="254000" cy="350520"/>
                <wp:effectExtent l="0" t="0" r="0" b="0"/>
                <wp:wrapSquare wrapText="right"/>
                <wp:docPr id="2" name="Frame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Definitive Proxy Statement</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01600" distB="0" distL="0" distR="0" simplePos="0" locked="0" layoutInCell="1" allowOverlap="1" relativeHeight="305">
                <wp:simplePos x="0" y="0"/>
                <wp:positionH relativeFrom="column">
                  <wp:align>left</wp:align>
                </wp:positionH>
                <wp:positionV relativeFrom="line">
                  <wp:align>top</wp:align>
                </wp:positionV>
                <wp:extent cx="254000" cy="350520"/>
                <wp:effectExtent l="0" t="0" r="0" b="0"/>
                <wp:wrapSquare wrapText="right"/>
                <wp:docPr id="3" name="Frame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Definitive Additional Materials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01600" distB="0" distL="0" distR="0" simplePos="0" locked="0" layoutInCell="1" allowOverlap="1" relativeHeight="306">
                <wp:simplePos x="0" y="0"/>
                <wp:positionH relativeFrom="column">
                  <wp:align>left</wp:align>
                </wp:positionH>
                <wp:positionV relativeFrom="line">
                  <wp:align>top</wp:align>
                </wp:positionV>
                <wp:extent cx="254000" cy="350520"/>
                <wp:effectExtent l="0" t="0" r="0" b="0"/>
                <wp:wrapSquare wrapText="right"/>
                <wp:docPr id="4" name="Frame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Arial;Helvetica;sans-serif" w:hAnsi="Arial;Helvetica;sans-serif"/>
          <w:b w:val="false"/>
          <w:i w:val="false"/>
          <w:caps w:val="false"/>
          <w:smallCaps w:val="false"/>
          <w:color w:val="000000"/>
          <w:spacing w:val="-2"/>
          <w:sz w:val="18"/>
        </w:rPr>
      </w:pPr>
      <w:r>
        <w:rPr>
          <w:rFonts w:ascii="Arial;Helvetica;sans-serif" w:hAnsi="Arial;Helvetica;sans-serif"/>
          <w:b w:val="false"/>
          <w:i w:val="false"/>
          <w:caps w:val="false"/>
          <w:smallCaps w:val="false"/>
          <w:color w:val="000000"/>
          <w:spacing w:val="-2"/>
          <w:sz w:val="18"/>
        </w:rPr>
        <w:t xml:space="preserve">Soliciting Material under §240.14a-12 </w:t>
      </w:r>
      <w:r>
        <mc:AlternateContent>
          <mc:Choice Requires="wps">
            <w:drawing>
              <wp:anchor behindDoc="0" distT="101600" distB="0" distL="0" distR="0" simplePos="0" locked="0" layoutInCell="1" allowOverlap="1" relativeHeight="307">
                <wp:simplePos x="0" y="0"/>
                <wp:positionH relativeFrom="column">
                  <wp:align>left</wp:align>
                </wp:positionH>
                <wp:positionV relativeFrom="line">
                  <wp:align>top</wp:align>
                </wp:positionV>
                <wp:extent cx="254000" cy="350520"/>
                <wp:effectExtent l="0" t="0" r="0" b="0"/>
                <wp:wrapSquare wrapText="right"/>
                <wp:docPr id="5" name="Frame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220" w:after="283"/>
        <w:jc w:val="center"/>
        <w:rPr>
          <w:caps w:val="false"/>
          <w:smallCaps w:val="false"/>
          <w:color w:val="000000"/>
        </w:rPr>
      </w:pPr>
      <w:r>
        <w:rPr>
          <w:caps w:val="false"/>
          <w:smallCaps w:val="false"/>
          <w:color w:val="000000"/>
        </w:rPr>
        <w:drawing>
          <wp:inline distT="0" distB="0" distL="0" distR="0">
            <wp:extent cx="1409700" cy="409575"/>
            <wp:effectExtent l="0" t="0" r="0" b="0"/>
            <wp:docPr id="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 descr=""/>
                    <pic:cNvPicPr>
                      <a:picLocks noChangeAspect="1" noChangeArrowheads="1"/>
                    </pic:cNvPicPr>
                  </pic:nvPicPr>
                  <pic:blipFill>
                    <a:blip r:embed="rId2"/>
                    <a:stretch>
                      <a:fillRect/>
                    </a:stretch>
                  </pic:blipFill>
                  <pic:spPr bwMode="auto">
                    <a:xfrm>
                      <a:off x="0" y="0"/>
                      <a:ext cx="1409700" cy="409575"/>
                    </a:xfrm>
                    <a:prstGeom prst="rect">
                      <a:avLst/>
                    </a:prstGeom>
                  </pic:spPr>
                </pic:pic>
              </a:graphicData>
            </a:graphic>
          </wp:inline>
        </w:drawing>
      </w:r>
      <w:r>
        <w:rPr>
          <w:caps w:val="false"/>
          <w:smallCaps w:val="false"/>
          <w:color w:val="000000"/>
        </w:rPr>
        <w:t xml:space="preserve"> </w:t>
      </w:r>
    </w:p>
    <w:p>
      <w:pPr>
        <w:pStyle w:val="TextBody"/>
        <w:bidi w:val="0"/>
        <w:spacing w:lineRule="atLeast" w:line="380" w:before="280" w:after="283"/>
        <w:jc w:val="center"/>
        <w:rPr>
          <w:rFonts w:ascii="Arial;Helvetica;sans-serif" w:hAnsi="Arial;Helvetica;sans-serif"/>
          <w:b/>
          <w:i w:val="false"/>
          <w:caps w:val="false"/>
          <w:smallCaps w:val="false"/>
          <w:color w:val="000000"/>
          <w:sz w:val="32"/>
        </w:rPr>
      </w:pPr>
      <w:r>
        <w:rPr>
          <w:rFonts w:ascii="Arial;Helvetica;sans-serif" w:hAnsi="Arial;Helvetica;sans-serif"/>
          <w:b/>
          <w:i w:val="false"/>
          <w:caps w:val="false"/>
          <w:smallCaps w:val="false"/>
          <w:color w:val="000000"/>
          <w:spacing w:val="-3"/>
          <w:sz w:val="32"/>
        </w:rPr>
        <w:t>SL Green Realty Corp.</w:t>
      </w:r>
      <w:r>
        <w:rPr>
          <w:rFonts w:ascii="Arial;Helvetica;sans-serif" w:hAnsi="Arial;Helvetica;sans-serif"/>
          <w:b/>
          <w:i w:val="false"/>
          <w:caps w:val="false"/>
          <w:smallCaps w:val="false"/>
          <w:color w:val="000000"/>
          <w:sz w:val="32"/>
        </w:rPr>
        <w:t xml:space="preserve">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(Name of Registrant as Specified In Its Charter)</w:t>
      </w:r>
      <w:r>
        <w:rPr>
          <w:rFonts w:ascii="Arial;Helvetica;sans-serif" w:hAnsi="Arial;Helvetica;sans-serif"/>
          <w:b w:val="false"/>
          <w:i w:val="false"/>
          <w:caps w:val="false"/>
          <w:smallCaps w:val="false"/>
          <w:color w:val="000000"/>
          <w:sz w:val="18"/>
        </w:rPr>
        <w:t xml:space="preserve">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60" w:after="283"/>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(Name of Person(s) Filing Proxy Statement, if other than the Registrant)</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PAYMENT OF FILING FEE (CHECK ALL BOXES THAT APPLY):</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60" w:after="0"/>
        <w:ind w:left="1793"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No fee required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01600" distB="0" distL="0" distR="0" simplePos="0" locked="0" layoutInCell="1" allowOverlap="1" relativeHeight="308">
                <wp:simplePos x="0" y="0"/>
                <wp:positionH relativeFrom="column">
                  <wp:align>left</wp:align>
                </wp:positionH>
                <wp:positionV relativeFrom="line">
                  <wp:align>top</wp:align>
                </wp:positionV>
                <wp:extent cx="254000" cy="350520"/>
                <wp:effectExtent l="0" t="0" r="0" b="0"/>
                <wp:wrapSquare wrapText="right"/>
                <wp:docPr id="7" name="Frame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Fee paid previously with preliminary materials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01600" distB="0" distL="0" distR="0" simplePos="0" locked="0" layoutInCell="1" allowOverlap="1" relativeHeight="309">
                <wp:simplePos x="0" y="0"/>
                <wp:positionH relativeFrom="column">
                  <wp:align>left</wp:align>
                </wp:positionH>
                <wp:positionV relativeFrom="line">
                  <wp:align>top</wp:align>
                </wp:positionV>
                <wp:extent cx="254000" cy="350520"/>
                <wp:effectExtent l="0" t="0" r="0" b="0"/>
                <wp:wrapSquare wrapText="right"/>
                <wp:docPr id="8" name="Frame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Fee computed on table in exhibit required by Item 25(b) per Exchange Act Rules 14a-6(i)(1) and 0-11</w:t>
      </w:r>
      <w:r>
        <w:rPr>
          <w:rFonts w:ascii="Arial;Helvetica;sans-serif" w:hAnsi="Arial;Helvetica;sans-serif"/>
          <w:b w:val="false"/>
          <w:i w:val="false"/>
          <w:caps w:val="false"/>
          <w:smallCaps w:val="false"/>
          <w:color w:val="000000"/>
          <w:sz w:val="18"/>
        </w:rPr>
        <w:t xml:space="preserve"> </w:t>
      </w:r>
      <w:r>
        <mc:AlternateContent>
          <mc:Choice Requires="wps">
            <w:drawing>
              <wp:anchor behindDoc="0" distT="101600" distB="0" distL="0" distR="0" simplePos="0" locked="0" layoutInCell="1" allowOverlap="1" relativeHeight="310">
                <wp:simplePos x="0" y="0"/>
                <wp:positionH relativeFrom="column">
                  <wp:align>left</wp:align>
                </wp:positionH>
                <wp:positionV relativeFrom="line">
                  <wp:align>top</wp:align>
                </wp:positionV>
                <wp:extent cx="254000" cy="350520"/>
                <wp:effectExtent l="0" t="0" r="0" b="0"/>
                <wp:wrapSquare wrapText="right"/>
                <wp:docPr id="9" name="Frame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0" w:right="0" w:hanging="0"/>
        <w:jc w:val="center"/>
        <w:rPr>
          <w:caps w:val="false"/>
          <w:smallCaps w:val="false"/>
          <w:color w:val="000000"/>
        </w:rPr>
      </w:pPr>
      <w:r>
        <w:rPr>
          <w:caps w:val="false"/>
          <w:smallCaps w:val="false"/>
          <w:color w:val="000000"/>
        </w:rPr>
        <w:drawing>
          <wp:inline distT="0" distB="0" distL="0" distR="0">
            <wp:extent cx="8001000" cy="10287000"/>
            <wp:effectExtent l="0" t="0" r="0" b="0"/>
            <wp:docPr id="1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 descr=""/>
                    <pic:cNvPicPr>
                      <a:picLocks noChangeAspect="1" noChangeArrowheads="1"/>
                    </pic:cNvPicPr>
                  </pic:nvPicPr>
                  <pic:blipFill>
                    <a:blip r:embed="rId3"/>
                    <a:stretch>
                      <a:fillRect/>
                    </a:stretch>
                  </pic:blipFill>
                  <pic:spPr bwMode="auto">
                    <a:xfrm>
                      <a:off x="0" y="0"/>
                      <a:ext cx="8001000" cy="10287000"/>
                    </a:xfrm>
                    <a:prstGeom prst="rect">
                      <a:avLst/>
                    </a:prstGeom>
                  </pic:spPr>
                </pic:pic>
              </a:graphicData>
            </a:graphic>
          </wp:inline>
        </w:drawing>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LTS"/>
      <w:bookmarkEnd w:id="2"/>
      <w:r>
        <w:rPr>
          <w:rFonts w:ascii="calibri;arial;sans-serif" w:hAnsi="calibri;arial;sans-serif"/>
          <w:b w:val="false"/>
          <w:i w:val="false"/>
          <w:caps w:val="false"/>
          <w:smallCaps w:val="false"/>
          <w:color w:val="000000"/>
          <w:sz w:val="16"/>
        </w:rPr>
        <w:t xml:space="preserve">​ </w:t>
      </w:r>
    </w:p>
    <w:p>
      <w:pPr>
        <w:pStyle w:val="TextBody"/>
        <w:bidi w:val="0"/>
        <w:spacing w:lineRule="atLeast" w:line="520" w:before="1280" w:after="283"/>
        <w:ind w:left="900" w:right="0" w:hanging="0"/>
        <w:jc w:val="left"/>
        <w:rPr>
          <w:rFonts w:ascii="Arial;Helvetica;sans-serif" w:hAnsi="Arial;Helvetica;sans-serif"/>
          <w:b/>
          <w:i w:val="false"/>
          <w:caps w:val="false"/>
          <w:smallCaps w:val="false"/>
          <w:color w:val="1F2668"/>
          <w:sz w:val="42"/>
        </w:rPr>
      </w:pPr>
      <w:r>
        <w:rPr>
          <w:rFonts w:ascii="Arial;Helvetica;sans-serif" w:hAnsi="Arial;Helvetica;sans-serif"/>
          <w:b/>
          <w:i w:val="false"/>
          <w:caps/>
          <w:color w:val="1F2668"/>
          <w:spacing w:val="-4"/>
          <w:sz w:val="42"/>
        </w:rPr>
        <w:t>LETTER TO STOCKHOLDERS</w:t>
      </w:r>
      <w:r>
        <w:rPr>
          <w:rFonts w:ascii="Arial;Helvetica;sans-serif" w:hAnsi="Arial;Helvetica;sans-serif"/>
          <w:b/>
          <w:i w:val="false"/>
          <w:caps w:val="false"/>
          <w:smallCaps w:val="false"/>
          <w:color w:val="000000"/>
          <w:spacing w:val="8"/>
          <w:sz w:val="42"/>
        </w:rPr>
        <w:t xml:space="preserve"> </w:t>
      </w:r>
    </w:p>
    <w:p>
      <w:pPr>
        <w:pStyle w:val="TextBody"/>
        <w:bidi w:val="0"/>
        <w:spacing w:lineRule="atLeast" w:line="300" w:before="360" w:after="283"/>
        <w:jc w:val="left"/>
        <w:rPr>
          <w:rFonts w:ascii="Arial;Helvetica;sans-serif" w:hAnsi="Arial;Helvetica;sans-serif"/>
          <w:b/>
          <w:i w:val="false"/>
          <w:caps w:val="false"/>
          <w:smallCaps w:val="false"/>
          <w:color w:val="1F2668"/>
          <w:sz w:val="26"/>
        </w:rPr>
      </w:pPr>
      <w:r>
        <w:rPr>
          <w:rFonts w:ascii="Arial;Helvetica;sans-serif" w:hAnsi="Arial;Helvetica;sans-serif"/>
          <w:b/>
          <w:i w:val="false"/>
          <w:caps w:val="false"/>
          <w:smallCaps w:val="false"/>
          <w:color w:val="1F2668"/>
          <w:spacing w:val="-3"/>
          <w:sz w:val="26"/>
        </w:rPr>
        <w:t>Dear Fellow Stockholders,</w:t>
      </w:r>
      <w:r>
        <w:rPr>
          <w:rFonts w:ascii="Arial;Helvetica;sans-serif" w:hAnsi="Arial;Helvetica;sans-serif"/>
          <w:b/>
          <w:i w:val="false"/>
          <w:caps w:val="false"/>
          <w:smallCaps w:val="false"/>
          <w:color w:val="000000"/>
          <w:spacing w:val="5"/>
          <w:sz w:val="26"/>
        </w:rPr>
        <w:t xml:space="preserve"> </w:t>
      </w:r>
    </w:p>
    <w:p>
      <w:pPr>
        <w:pStyle w:val="TextBody"/>
        <w:bidi w:val="0"/>
        <w:spacing w:lineRule="atLeast" w:line="20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Thank you for putting your trust in us again this year as we continue to execute rigorous oversight of the Company and its management, including key governance initiatives and operating performance.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0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In March 2025, the Board welcomed seasoned real estate professional Peggy Lamb, who has more than thirty years of experience investing in and assisting public and private real estate companies across market cycles. Peggy was appointed to the Compensation Committee and over the year transitioned to its Chair, succeeding Lauren Dillard, who had served in the role since 2018 and now serves as the Audit Committee Chair.</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0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The Board continues to be responsive to stockholder feedback received through our annual director-led engagement. In response to feedback received since our 2025 Annual Meeting, all named executive officers’ annual bonuses are at least 50% performance-based. Further, through employment agreement extensions with our Chief Legal Officer and Chief Financial Officer in 2025 and early 2026, all long-term equity incentives will be based on three-year performance goals. These updates are in line with our new agreement signed at the end of 2024 with our Chairman and CEO, Marc Holliday, and amended in 2025 to address comments received during shareholder outreach in 2025.</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0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On the succession planning front, the promotion of Harrison Sitomer to President and CIO was a major milestone and recognition of Mr. Sitomer’s critical role in strengthening the Company’s capital platform and expanding its business lines since becoming CIO in January 2022. The Board believes that the addition of Harrison, together with the employment agreement extensions, will ensure a stable, tenured and loyal management team that will continue to benefit SL Green stockholders.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0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The Company’s strong operational track record speaks for itself, outperforming peers with same-store office occupancy, securing its next innovative development opportunity adding to the Company’s premier portfolio of assets, while continuing to build the Company’s high-margin, fee-based businesses, and maintaining a fortress balance sheet.</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0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Contributing to our operational success is our sector leadership in sustainability. Every building in our portfolio holds one or more sustainability certifications, meeting the expectations of today’s institutional tenants. Our decarbonization efforts have also enabled full compliance with NYC’s Local Law 97 through 2029, considered the most ambitious emissions law in the country.</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0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Finally, the Board has been particularly focused over the past several years on balance sheet improvement, and the Company again executed on an aggressive program of dispositions and debt repayment, refinancing and extensions that further improved the balance sheet this year, with an aggressive plan in place and underway for 2026. We also oversaw significant advances in portfolio security and cybersecurity, scenario planning for new potential threats to ensure we have the most secure operations in the industry.</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0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We appreciate the confidence you have placed in this Board and will continue to actively work on your behalf in the years to come. We remain committed to rigorous oversight of management as it executes our strategy to deliver superior stockholder value through a portfolio of well-located, amenitized, and cash-generating Class A office properties.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0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Sincerely,</w:t>
      </w:r>
      <w:r>
        <w:rPr>
          <w:rFonts w:ascii="Arial;Helvetica;sans-serif" w:hAnsi="Arial;Helvetica;sans-serif"/>
          <w:b w:val="false"/>
          <w:i w:val="false"/>
          <w:caps w:val="false"/>
          <w:smallCaps w:val="false"/>
          <w:color w:val="000000"/>
          <w:spacing w:val="4"/>
          <w:sz w:val="18"/>
        </w:rPr>
        <w:t xml:space="preserve"> </w:t>
      </w:r>
    </w:p>
    <w:p>
      <w:pPr>
        <w:pStyle w:val="TextBody"/>
        <w:bidi w:val="0"/>
        <w:spacing w:before="0" w:after="3353"/>
        <w:jc w:val="left"/>
        <w:rPr>
          <w:caps w:val="false"/>
          <w:smallCaps w:val="false"/>
          <w:color w:val="000000"/>
        </w:rPr>
      </w:pPr>
      <w:r>
        <w:rPr>
          <w:caps w:val="false"/>
          <w:smallCaps w:val="false"/>
          <w:color w:val="000000"/>
        </w:rPr>
        <w:t>​</w:t>
      </w:r>
      <w:r>
        <mc:AlternateContent>
          <mc:Choice Requires="wps">
            <w:drawing>
              <wp:anchor behindDoc="0" distT="0" distB="0" distL="571500" distR="0" simplePos="0" locked="0" layoutInCell="1" allowOverlap="1" relativeHeight="311">
                <wp:simplePos x="0" y="0"/>
                <wp:positionH relativeFrom="column">
                  <wp:align>left</wp:align>
                </wp:positionH>
                <wp:positionV relativeFrom="line">
                  <wp:posOffset>635</wp:posOffset>
                </wp:positionV>
                <wp:extent cx="2032000" cy="1383665"/>
                <wp:effectExtent l="0" t="0" r="0" b="0"/>
                <wp:wrapSquare wrapText="right"/>
                <wp:docPr id="11" name="Frame9"/>
                <a:graphic xmlns:a="http://schemas.openxmlformats.org/drawingml/2006/main">
                  <a:graphicData uri="http://schemas.microsoft.com/office/word/2010/wordprocessingShape">
                    <wps:wsp>
                      <wps:cNvSpPr txBox="1"/>
                      <wps:spPr>
                        <a:xfrm>
                          <a:off x="0" y="0"/>
                          <a:ext cx="2032000" cy="1383665"/>
                        </a:xfrm>
                        <a:prstGeom prst="rect"/>
                        <a:solidFill>
                          <a:srgbClr val="FFFFFF"/>
                        </a:solidFill>
                      </wps:spPr>
                      <wps:txbx>
                        <w:txbxContent>
                          <w:p>
                            <w:pPr>
                              <w:pStyle w:val="TextBody"/>
                              <w:bidi w:val="0"/>
                              <w:spacing w:lineRule="atLeast" w:line="200" w:before="0" w:after="0"/>
                              <w:jc w:val="left"/>
                              <w:rPr>
                                <w:b/>
                              </w:rPr>
                            </w:pPr>
                            <w:r>
                              <w:rPr>
                                <w:b/>
                                <w:spacing w:val="-2"/>
                              </w:rPr>
                              <w:t>John H. Alschuler</w:t>
                            </w:r>
                            <w:r>
                              <w:rPr>
                                <w:b/>
                              </w:rPr>
                              <w:t xml:space="preserve"> </w:t>
                              <w:br/>
                            </w:r>
                            <w:r>
                              <w:rPr>
                                <w:b w:val="false"/>
                                <w:spacing w:val="-2"/>
                              </w:rPr>
                              <w:t>Lead Independent Director</w:t>
                            </w:r>
                          </w:p>
                          <w:p>
                            <w:pPr>
                              <w:pStyle w:val="TextBody"/>
                              <w:bidi w:val="0"/>
                              <w:spacing w:lineRule="atLeast" w:line="200" w:before="120" w:after="283"/>
                              <w:jc w:val="left"/>
                              <w:rPr>
                                <w:b/>
                              </w:rPr>
                            </w:pPr>
                            <w:r>
                              <w:rPr>
                                <w:b/>
                                <w:spacing w:val="-2"/>
                              </w:rPr>
                              <w:t>Stephen L. Green</w:t>
                            </w:r>
                            <w:r>
                              <w:rPr>
                                <w:b/>
                              </w:rPr>
                              <w:t xml:space="preserve"> </w:t>
                              <w:br/>
                            </w:r>
                            <w:r>
                              <w:rPr>
                                <w:b w:val="false"/>
                                <w:spacing w:val="-2"/>
                              </w:rPr>
                              <w:t>Director and Chairman Emeritus</w:t>
                            </w:r>
                          </w:p>
                          <w:p>
                            <w:pPr>
                              <w:pStyle w:val="TextBody"/>
                              <w:bidi w:val="0"/>
                              <w:spacing w:lineRule="atLeast" w:line="200" w:before="120" w:after="283"/>
                              <w:jc w:val="left"/>
                              <w:rPr>
                                <w:b/>
                              </w:rPr>
                            </w:pPr>
                            <w:r>
                              <w:rPr>
                                <w:b/>
                                <w:spacing w:val="-2"/>
                              </w:rPr>
                              <w:t>Peggy Lamb</w:t>
                            </w:r>
                            <w:r>
                              <w:rPr>
                                <w:b/>
                              </w:rPr>
                              <w:t xml:space="preserve"> </w:t>
                              <w:br/>
                            </w:r>
                            <w:r>
                              <w:rPr>
                                <w:b w:val="false"/>
                                <w:spacing w:val="-2"/>
                              </w:rPr>
                              <w:t xml:space="preserve">Independent Director </w:t>
                            </w:r>
                          </w:p>
                        </w:txbxContent>
                      </wps:txbx>
                      <wps:bodyPr anchor="t" lIns="0" tIns="0" rIns="0" bIns="0">
                        <a:noAutofit/>
                      </wps:bodyPr>
                    </wps:wsp>
                  </a:graphicData>
                </a:graphic>
              </wp:anchor>
            </w:drawing>
          </mc:Choice>
          <mc:Fallback>
            <w:pict>
              <v:rect style="position:absolute;rotation:-0;width:160pt;height:108.95pt;mso-wrap-distance-left:45pt;mso-wrap-distance-right:0pt;mso-wrap-distance-top:0pt;mso-wrap-distance-bottom:0pt;margin-top:0pt;mso-position-vertical:top;mso-position-vertical-relative:text;margin-left:45pt;mso-position-horizontal:left;mso-position-horizontal-relative:text">
                <v:textbox>
                  <w:txbxContent>
                    <w:p>
                      <w:pPr>
                        <w:pStyle w:val="TextBody"/>
                        <w:bidi w:val="0"/>
                        <w:spacing w:lineRule="atLeast" w:line="200" w:before="0" w:after="0"/>
                        <w:jc w:val="left"/>
                        <w:rPr>
                          <w:b/>
                        </w:rPr>
                      </w:pPr>
                      <w:r>
                        <w:rPr>
                          <w:b/>
                          <w:spacing w:val="-2"/>
                        </w:rPr>
                        <w:t>John H. Alschuler</w:t>
                      </w:r>
                      <w:r>
                        <w:rPr>
                          <w:b/>
                        </w:rPr>
                        <w:t xml:space="preserve"> </w:t>
                        <w:br/>
                      </w:r>
                      <w:r>
                        <w:rPr>
                          <w:b w:val="false"/>
                          <w:spacing w:val="-2"/>
                        </w:rPr>
                        <w:t>Lead Independent Director</w:t>
                      </w:r>
                    </w:p>
                    <w:p>
                      <w:pPr>
                        <w:pStyle w:val="TextBody"/>
                        <w:bidi w:val="0"/>
                        <w:spacing w:lineRule="atLeast" w:line="200" w:before="120" w:after="283"/>
                        <w:jc w:val="left"/>
                        <w:rPr>
                          <w:b/>
                        </w:rPr>
                      </w:pPr>
                      <w:r>
                        <w:rPr>
                          <w:b/>
                          <w:spacing w:val="-2"/>
                        </w:rPr>
                        <w:t>Stephen L. Green</w:t>
                      </w:r>
                      <w:r>
                        <w:rPr>
                          <w:b/>
                        </w:rPr>
                        <w:t xml:space="preserve"> </w:t>
                        <w:br/>
                      </w:r>
                      <w:r>
                        <w:rPr>
                          <w:b w:val="false"/>
                          <w:spacing w:val="-2"/>
                        </w:rPr>
                        <w:t>Director and Chairman Emeritus</w:t>
                      </w:r>
                    </w:p>
                    <w:p>
                      <w:pPr>
                        <w:pStyle w:val="TextBody"/>
                        <w:bidi w:val="0"/>
                        <w:spacing w:lineRule="atLeast" w:line="200" w:before="120" w:after="283"/>
                        <w:jc w:val="left"/>
                        <w:rPr>
                          <w:b/>
                        </w:rPr>
                      </w:pPr>
                      <w:r>
                        <w:rPr>
                          <w:b/>
                          <w:spacing w:val="-2"/>
                        </w:rPr>
                        <w:t>Peggy Lamb</w:t>
                      </w:r>
                      <w:r>
                        <w:rPr>
                          <w:b/>
                        </w:rPr>
                        <w:t xml:space="preserve"> </w:t>
                        <w:br/>
                      </w:r>
                      <w:r>
                        <w:rPr>
                          <w:b w:val="false"/>
                          <w:spacing w:val="-2"/>
                        </w:rPr>
                        <w:t xml:space="preserve">Independent Director </w:t>
                      </w:r>
                    </w:p>
                  </w:txbxContent>
                </v:textbox>
                <w10:wrap type="square" side="right"/>
              </v:rect>
            </w:pict>
          </mc:Fallback>
        </mc:AlternateContent>
      </w:r>
      <w:r>
        <mc:AlternateContent>
          <mc:Choice Requires="wps">
            <w:drawing>
              <wp:anchor behindDoc="0" distT="0" distB="0" distL="152400" distR="0" simplePos="0" locked="0" layoutInCell="1" allowOverlap="1" relativeHeight="312">
                <wp:simplePos x="0" y="0"/>
                <wp:positionH relativeFrom="column">
                  <wp:align>left</wp:align>
                </wp:positionH>
                <wp:positionV relativeFrom="line">
                  <wp:posOffset>635</wp:posOffset>
                </wp:positionV>
                <wp:extent cx="2032000" cy="1383665"/>
                <wp:effectExtent l="0" t="0" r="0" b="0"/>
                <wp:wrapSquare wrapText="right"/>
                <wp:docPr id="12" name="Frame10"/>
                <a:graphic xmlns:a="http://schemas.openxmlformats.org/drawingml/2006/main">
                  <a:graphicData uri="http://schemas.microsoft.com/office/word/2010/wordprocessingShape">
                    <wps:wsp>
                      <wps:cNvSpPr txBox="1"/>
                      <wps:spPr>
                        <a:xfrm>
                          <a:off x="0" y="0"/>
                          <a:ext cx="2032000" cy="1383665"/>
                        </a:xfrm>
                        <a:prstGeom prst="rect"/>
                        <a:solidFill>
                          <a:srgbClr val="FFFFFF"/>
                        </a:solidFill>
                      </wps:spPr>
                      <wps:txbx>
                        <w:txbxContent>
                          <w:p>
                            <w:pPr>
                              <w:pStyle w:val="TextBody"/>
                              <w:bidi w:val="0"/>
                              <w:spacing w:lineRule="atLeast" w:line="200" w:before="0" w:after="0"/>
                              <w:jc w:val="left"/>
                              <w:rPr>
                                <w:b/>
                              </w:rPr>
                            </w:pPr>
                            <w:r>
                              <w:rPr>
                                <w:b/>
                                <w:spacing w:val="-2"/>
                              </w:rPr>
                              <w:t>Carol N. Brown</w:t>
                            </w:r>
                            <w:r>
                              <w:rPr>
                                <w:b/>
                              </w:rPr>
                              <w:t xml:space="preserve"> </w:t>
                              <w:br/>
                            </w:r>
                            <w:r>
                              <w:rPr>
                                <w:b w:val="false"/>
                                <w:spacing w:val="-2"/>
                              </w:rPr>
                              <w:t>Independent Director</w:t>
                            </w:r>
                          </w:p>
                          <w:p>
                            <w:pPr>
                              <w:pStyle w:val="TextBody"/>
                              <w:bidi w:val="0"/>
                              <w:spacing w:lineRule="atLeast" w:line="200" w:before="120" w:after="283"/>
                              <w:jc w:val="left"/>
                              <w:rPr>
                                <w:b/>
                              </w:rPr>
                            </w:pPr>
                            <w:r>
                              <w:rPr>
                                <w:b/>
                                <w:spacing w:val="-2"/>
                              </w:rPr>
                              <w:t>Craig M. Hatkoff</w:t>
                            </w:r>
                            <w:r>
                              <w:rPr>
                                <w:b/>
                              </w:rPr>
                              <w:t xml:space="preserve"> </w:t>
                              <w:br/>
                            </w:r>
                            <w:r>
                              <w:rPr>
                                <w:b w:val="false"/>
                                <w:spacing w:val="-2"/>
                              </w:rPr>
                              <w:t>Independent Director</w:t>
                            </w:r>
                          </w:p>
                          <w:p>
                            <w:pPr>
                              <w:pStyle w:val="TextBody"/>
                              <w:bidi w:val="0"/>
                              <w:spacing w:lineRule="atLeast" w:line="200" w:before="120" w:after="283"/>
                              <w:jc w:val="left"/>
                              <w:rPr>
                                <w:b/>
                              </w:rPr>
                            </w:pPr>
                            <w:r>
                              <w:rPr>
                                <w:b/>
                                <w:spacing w:val="-2"/>
                              </w:rPr>
                              <w:t>Andrew W. Mathias</w:t>
                            </w:r>
                            <w:r>
                              <w:rPr>
                                <w:b/>
                              </w:rPr>
                              <w:t xml:space="preserve"> </w:t>
                              <w:br/>
                            </w:r>
                            <w:r>
                              <w:rPr>
                                <w:b w:val="false"/>
                                <w:spacing w:val="-2"/>
                              </w:rPr>
                              <w:t xml:space="preserve">Director </w:t>
                            </w:r>
                          </w:p>
                        </w:txbxContent>
                      </wps:txbx>
                      <wps:bodyPr anchor="t" lIns="0" tIns="0" rIns="0" bIns="0">
                        <a:noAutofit/>
                      </wps:bodyPr>
                    </wps:wsp>
                  </a:graphicData>
                </a:graphic>
              </wp:anchor>
            </w:drawing>
          </mc:Choice>
          <mc:Fallback>
            <w:pict>
              <v:rect style="position:absolute;rotation:-0;width:160pt;height:108.95pt;mso-wrap-distance-left:12pt;mso-wrap-distance-right:0pt;mso-wrap-distance-top:0pt;mso-wrap-distance-bottom:0pt;margin-top:0pt;mso-position-vertical:top;mso-position-vertical-relative:text;margin-left:217pt;mso-position-horizontal:left;mso-position-horizontal-relative:text">
                <v:textbox>
                  <w:txbxContent>
                    <w:p>
                      <w:pPr>
                        <w:pStyle w:val="TextBody"/>
                        <w:bidi w:val="0"/>
                        <w:spacing w:lineRule="atLeast" w:line="200" w:before="0" w:after="0"/>
                        <w:jc w:val="left"/>
                        <w:rPr>
                          <w:b/>
                        </w:rPr>
                      </w:pPr>
                      <w:r>
                        <w:rPr>
                          <w:b/>
                          <w:spacing w:val="-2"/>
                        </w:rPr>
                        <w:t>Carol N. Brown</w:t>
                      </w:r>
                      <w:r>
                        <w:rPr>
                          <w:b/>
                        </w:rPr>
                        <w:t xml:space="preserve"> </w:t>
                        <w:br/>
                      </w:r>
                      <w:r>
                        <w:rPr>
                          <w:b w:val="false"/>
                          <w:spacing w:val="-2"/>
                        </w:rPr>
                        <w:t>Independent Director</w:t>
                      </w:r>
                    </w:p>
                    <w:p>
                      <w:pPr>
                        <w:pStyle w:val="TextBody"/>
                        <w:bidi w:val="0"/>
                        <w:spacing w:lineRule="atLeast" w:line="200" w:before="120" w:after="283"/>
                        <w:jc w:val="left"/>
                        <w:rPr>
                          <w:b/>
                        </w:rPr>
                      </w:pPr>
                      <w:r>
                        <w:rPr>
                          <w:b/>
                          <w:spacing w:val="-2"/>
                        </w:rPr>
                        <w:t>Craig M. Hatkoff</w:t>
                      </w:r>
                      <w:r>
                        <w:rPr>
                          <w:b/>
                        </w:rPr>
                        <w:t xml:space="preserve"> </w:t>
                        <w:br/>
                      </w:r>
                      <w:r>
                        <w:rPr>
                          <w:b w:val="false"/>
                          <w:spacing w:val="-2"/>
                        </w:rPr>
                        <w:t>Independent Director</w:t>
                      </w:r>
                    </w:p>
                    <w:p>
                      <w:pPr>
                        <w:pStyle w:val="TextBody"/>
                        <w:bidi w:val="0"/>
                        <w:spacing w:lineRule="atLeast" w:line="200" w:before="120" w:after="283"/>
                        <w:jc w:val="left"/>
                        <w:rPr>
                          <w:b/>
                        </w:rPr>
                      </w:pPr>
                      <w:r>
                        <w:rPr>
                          <w:b/>
                          <w:spacing w:val="-2"/>
                        </w:rPr>
                        <w:t>Andrew W. Mathias</w:t>
                      </w:r>
                      <w:r>
                        <w:rPr>
                          <w:b/>
                        </w:rPr>
                        <w:t xml:space="preserve"> </w:t>
                        <w:br/>
                      </w:r>
                      <w:r>
                        <w:rPr>
                          <w:b w:val="false"/>
                          <w:spacing w:val="-2"/>
                        </w:rPr>
                        <w:t xml:space="preserve">Director </w:t>
                      </w:r>
                    </w:p>
                  </w:txbxContent>
                </v:textbox>
                <w10:wrap type="square" side="right"/>
              </v:rect>
            </w:pict>
          </mc:Fallback>
        </mc:AlternateContent>
      </w:r>
      <w:r>
        <mc:AlternateContent>
          <mc:Choice Requires="wps">
            <w:drawing>
              <wp:anchor behindDoc="0" distT="0" distB="0" distL="152400" distR="0" simplePos="0" locked="0" layoutInCell="1" allowOverlap="1" relativeHeight="313">
                <wp:simplePos x="0" y="0"/>
                <wp:positionH relativeFrom="column">
                  <wp:align>left</wp:align>
                </wp:positionH>
                <wp:positionV relativeFrom="line">
                  <wp:posOffset>635</wp:posOffset>
                </wp:positionV>
                <wp:extent cx="2032000" cy="1127760"/>
                <wp:effectExtent l="0" t="0" r="0" b="0"/>
                <wp:wrapSquare wrapText="right"/>
                <wp:docPr id="13" name="Frame11"/>
                <a:graphic xmlns:a="http://schemas.openxmlformats.org/drawingml/2006/main">
                  <a:graphicData uri="http://schemas.microsoft.com/office/word/2010/wordprocessingShape">
                    <wps:wsp>
                      <wps:cNvSpPr txBox="1"/>
                      <wps:spPr>
                        <a:xfrm>
                          <a:off x="0" y="0"/>
                          <a:ext cx="2032000" cy="1127760"/>
                        </a:xfrm>
                        <a:prstGeom prst="rect"/>
                        <a:solidFill>
                          <a:srgbClr val="FFFFFF"/>
                        </a:solidFill>
                      </wps:spPr>
                      <wps:txbx>
                        <w:txbxContent>
                          <w:p>
                            <w:pPr>
                              <w:pStyle w:val="TextBody"/>
                              <w:bidi w:val="0"/>
                              <w:spacing w:lineRule="atLeast" w:line="210" w:before="0" w:after="0"/>
                              <w:jc w:val="left"/>
                              <w:rPr>
                                <w:b/>
                              </w:rPr>
                            </w:pPr>
                            <w:r>
                              <w:rPr>
                                <w:b/>
                                <w:spacing w:val="-2"/>
                              </w:rPr>
                              <w:t>Lauren B. Dillard</w:t>
                            </w:r>
                            <w:r>
                              <w:rPr>
                                <w:b/>
                              </w:rPr>
                              <w:t xml:space="preserve"> </w:t>
                              <w:br/>
                            </w:r>
                            <w:r>
                              <w:rPr>
                                <w:b w:val="false"/>
                                <w:spacing w:val="-2"/>
                              </w:rPr>
                              <w:t>Independent Director</w:t>
                            </w:r>
                          </w:p>
                          <w:p>
                            <w:pPr>
                              <w:pStyle w:val="TextBody"/>
                              <w:bidi w:val="0"/>
                              <w:spacing w:lineRule="atLeast" w:line="210" w:before="120" w:after="283"/>
                              <w:jc w:val="left"/>
                              <w:rPr/>
                            </w:pPr>
                            <w:r>
                              <w:rPr>
                                <w:b/>
                                <w:spacing w:val="-2"/>
                              </w:rPr>
                              <w:t>Marc Holliday</w:t>
                            </w:r>
                            <w:r>
                              <w:rPr/>
                              <w:t xml:space="preserve"> </w:t>
                              <w:br/>
                            </w:r>
                            <w:r>
                              <w:rPr>
                                <w:spacing w:val="-2"/>
                              </w:rPr>
                              <w:t>Chairman of the Board of Directors and Chief Executive Officer</w:t>
                            </w:r>
                          </w:p>
                        </w:txbxContent>
                      </wps:txbx>
                      <wps:bodyPr anchor="t" lIns="0" tIns="0" rIns="0" bIns="0">
                        <a:noAutofit/>
                      </wps:bodyPr>
                    </wps:wsp>
                  </a:graphicData>
                </a:graphic>
              </wp:anchor>
            </w:drawing>
          </mc:Choice>
          <mc:Fallback>
            <w:pict>
              <v:rect style="position:absolute;rotation:-0;width:160pt;height:88.8pt;mso-wrap-distance-left:12pt;mso-wrap-distance-right:0pt;mso-wrap-distance-top:0pt;mso-wrap-distance-bottom:0pt;margin-top:0pt;mso-position-vertical:top;mso-position-vertical-relative:text;margin-left:12pt;mso-position-horizontal:left;mso-position-horizontal-relative:text">
                <v:textbox>
                  <w:txbxContent>
                    <w:p>
                      <w:pPr>
                        <w:pStyle w:val="TextBody"/>
                        <w:bidi w:val="0"/>
                        <w:spacing w:lineRule="atLeast" w:line="210" w:before="0" w:after="0"/>
                        <w:jc w:val="left"/>
                        <w:rPr>
                          <w:b/>
                        </w:rPr>
                      </w:pPr>
                      <w:r>
                        <w:rPr>
                          <w:b/>
                          <w:spacing w:val="-2"/>
                        </w:rPr>
                        <w:t>Lauren B. Dillard</w:t>
                      </w:r>
                      <w:r>
                        <w:rPr>
                          <w:b/>
                        </w:rPr>
                        <w:t xml:space="preserve"> </w:t>
                        <w:br/>
                      </w:r>
                      <w:r>
                        <w:rPr>
                          <w:b w:val="false"/>
                          <w:spacing w:val="-2"/>
                        </w:rPr>
                        <w:t>Independent Director</w:t>
                      </w:r>
                    </w:p>
                    <w:p>
                      <w:pPr>
                        <w:pStyle w:val="TextBody"/>
                        <w:bidi w:val="0"/>
                        <w:spacing w:lineRule="atLeast" w:line="210" w:before="120" w:after="283"/>
                        <w:jc w:val="left"/>
                        <w:rPr/>
                      </w:pPr>
                      <w:r>
                        <w:rPr>
                          <w:b/>
                          <w:spacing w:val="-2"/>
                        </w:rPr>
                        <w:t>Marc Holliday</w:t>
                      </w:r>
                      <w:r>
                        <w:rPr/>
                        <w:t xml:space="preserve"> </w:t>
                        <w:br/>
                      </w:r>
                      <w:r>
                        <w:rPr>
                          <w:spacing w:val="-2"/>
                        </w:rPr>
                        <w:t>Chairman of the Board of Directors and Chief Executive Officer</w:t>
                      </w:r>
                    </w:p>
                  </w:txbxContent>
                </v:textbox>
                <w10:wrap type="square" side="right"/>
              </v:rect>
            </w:pict>
          </mc:Fallback>
        </mc:AlternateConten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1F2668"/>
          <w:sz w:val="16"/>
        </w:rPr>
        <w:t xml:space="preserve"> </w:t>
      </w:r>
    </w:p>
    <w:tbl>
      <w:tblPr>
        <w:tblW w:w="891" w:type="dxa"/>
        <w:jc w:val="left"/>
        <w:tblInd w:w="900" w:type="dxa"/>
        <w:tblLayout w:type="fixed"/>
        <w:tblCellMar>
          <w:top w:w="0" w:type="dxa"/>
          <w:left w:w="0" w:type="dxa"/>
          <w:bottom w:w="0" w:type="dxa"/>
          <w:right w:w="0" w:type="dxa"/>
        </w:tblCellMar>
      </w:tblPr>
      <w:tblGrid>
        <w:gridCol w:w="124"/>
        <w:gridCol w:w="109"/>
        <w:gridCol w:w="109"/>
        <w:gridCol w:w="109"/>
        <w:gridCol w:w="286"/>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vAlign w:val="center"/>
          </w:tcPr>
          <w:p>
            <w:pPr>
              <w:pStyle w:val="TableContents"/>
              <w:bidi w:val="0"/>
              <w:spacing w:before="0" w:after="0"/>
              <w:jc w:val="right"/>
              <w:rPr/>
            </w:pPr>
            <w:r>
              <w:rPr/>
              <w:t>1</w:t>
              <w:b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360" w:before="560" w:after="154"/>
        <w:ind w:left="900" w:right="0" w:hanging="0"/>
        <w:jc w:val="left"/>
        <w:rPr>
          <w:caps w:val="false"/>
          <w:smallCaps w:val="false"/>
          <w:color w:val="83AD40"/>
        </w:rPr>
      </w:pPr>
      <w:r>
        <w:rPr>
          <w:caps/>
          <w:color w:val="83AD40"/>
          <w:spacing w:val="-3"/>
        </w:rPr>
        <w:t> </w:t>
      </w:r>
      <w:r>
        <w:rPr>
          <w:rFonts w:ascii="Arial;Helvetica;sans-serif" w:hAnsi="Arial;Helvetica;sans-serif"/>
          <w:b/>
          <w:i w:val="false"/>
          <w:caps/>
          <w:color w:val="83AD40"/>
          <w:spacing w:val="-3"/>
          <w:sz w:val="32"/>
        </w:rPr>
        <w:t>BOARD RESPONSIVENESS TO 2025 SAY ON PAY VOTE</w:t>
      </w:r>
      <w:r>
        <w:rPr>
          <w:rFonts w:ascii="Arial;Helvetica;sans-serif" w:hAnsi="Arial;Helvetica;sans-serif"/>
          <w:b/>
          <w:i w:val="false"/>
          <w:caps w:val="false"/>
          <w:smallCaps w:val="false"/>
          <w:color w:val="000000"/>
          <w:spacing w:val="6"/>
          <w:sz w:val="32"/>
        </w:rPr>
        <w:t xml:space="preserve"> </w:t>
      </w:r>
    </w:p>
    <w:p>
      <w:pPr>
        <w:pStyle w:val="TextBody"/>
        <w:bidi w:val="0"/>
        <w:spacing w:lineRule="atLeast" w:line="25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Our Board has always valued stockholder feedback and has engaged in a robust stockholder outreach program over many years. Stockholder feedback received following our 2025 Annual Meeting directly informed Board and committee-level decisions, including those related to executive compensation listed in the table below.</w:t>
      </w:r>
      <w:r>
        <w:rPr>
          <w:rFonts w:ascii="Arial;Helvetica;sans-serif" w:hAnsi="Arial;Helvetica;sans-serif"/>
          <w:b w:val="false"/>
          <w:i w:val="false"/>
          <w:caps w:val="false"/>
          <w:smallCaps w:val="false"/>
          <w:color w:val="000000"/>
          <w:spacing w:val="4"/>
          <w:sz w:val="18"/>
        </w:rPr>
        <w:t xml:space="preserve"> </w:t>
      </w:r>
    </w:p>
    <w:tbl>
      <w:tblPr>
        <w:tblW w:w="605" w:type="dxa"/>
        <w:jc w:val="left"/>
        <w:tblInd w:w="90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9305" w:type="dxa"/>
        <w:jc w:val="left"/>
        <w:tblInd w:w="900" w:type="dxa"/>
        <w:tblLayout w:type="fixed"/>
        <w:tblCellMar>
          <w:top w:w="0" w:type="dxa"/>
          <w:left w:w="0" w:type="dxa"/>
          <w:bottom w:w="0" w:type="dxa"/>
          <w:right w:w="0" w:type="dxa"/>
        </w:tblCellMar>
      </w:tblPr>
      <w:tblGrid>
        <w:gridCol w:w="124"/>
        <w:gridCol w:w="109"/>
        <w:gridCol w:w="2570"/>
        <w:gridCol w:w="109"/>
        <w:gridCol w:w="109"/>
        <w:gridCol w:w="109"/>
        <w:gridCol w:w="2764"/>
        <w:gridCol w:w="109"/>
        <w:gridCol w:w="109"/>
        <w:gridCol w:w="109"/>
        <w:gridCol w:w="2819"/>
        <w:gridCol w:w="109"/>
        <w:gridCol w:w="156"/>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70" w:type="dxa"/>
            <w:tcBorders/>
            <w:shd w:fill="D8D8D8" w:val="clear"/>
            <w:vAlign w:val="center"/>
          </w:tcPr>
          <w:p>
            <w:pPr>
              <w:pStyle w:val="TableContents"/>
              <w:bidi w:val="0"/>
              <w:spacing w:lineRule="atLeast" w:line="260" w:before="0" w:after="0"/>
              <w:ind w:left="400" w:right="400" w:hanging="0"/>
              <w:jc w:val="left"/>
              <w:rPr/>
            </w:pPr>
            <w:r>
              <w:rPr/>
              <w:t>Offered engagement to stockholders owning approximately</w:t>
            </w:r>
            <w:r>
              <w:rPr>
                <w:color w:val="000000"/>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1F2668"/>
            </w:tcBorders>
            <w:shd w:fill="1F2668"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64" w:type="dxa"/>
            <w:tcBorders/>
            <w:shd w:fill="D8D8D8" w:val="clear"/>
            <w:vAlign w:val="center"/>
          </w:tcPr>
          <w:p>
            <w:pPr>
              <w:pStyle w:val="TableContents"/>
              <w:bidi w:val="0"/>
              <w:spacing w:lineRule="atLeast" w:line="260" w:before="0" w:after="0"/>
              <w:ind w:left="400" w:right="400" w:hanging="0"/>
              <w:jc w:val="left"/>
              <w:rPr/>
            </w:pPr>
            <w:r>
              <w:rPr/>
              <w:t>Direct one-on-one discussions with stockholders owning approximately</w:t>
            </w:r>
            <w:r>
              <w:rPr>
                <w:color w:val="000000"/>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1F2668"/>
            </w:tcBorders>
            <w:shd w:fill="1F2668"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19" w:type="dxa"/>
            <w:tcBorders/>
            <w:shd w:fill="D8D8D8" w:val="clear"/>
            <w:vAlign w:val="center"/>
          </w:tcPr>
          <w:p>
            <w:pPr>
              <w:pStyle w:val="TableContents"/>
              <w:bidi w:val="0"/>
              <w:spacing w:lineRule="atLeast" w:line="260" w:before="0" w:after="0"/>
              <w:ind w:left="400" w:right="400" w:hanging="0"/>
              <w:jc w:val="left"/>
              <w:rPr/>
            </w:pPr>
            <w:r>
              <w:rPr/>
              <w:t>Directors participated in calls with stockholders representing approximately</w:t>
            </w:r>
            <w:r>
              <w:rPr>
                <w:color w:val="000000"/>
              </w:rPr>
              <w:t>​</w:t>
            </w:r>
          </w:p>
        </w:tc>
        <w:tc>
          <w:tcPr>
            <w:tcW w:w="109" w:type="dxa"/>
            <w:tcBorders/>
            <w:vAlign w:val="center"/>
          </w:tcPr>
          <w:p>
            <w:pPr>
              <w:pStyle w:val="TableContents"/>
              <w:bidi w:val="0"/>
              <w:spacing w:before="0" w:after="283"/>
              <w:jc w:val="left"/>
              <w:rPr/>
            </w:pPr>
            <w:r>
              <w:rPr/>
              <w:t>​</w:t>
            </w:r>
          </w:p>
        </w:tc>
        <w:tc>
          <w:tcPr>
            <w:tcW w:w="156" w:type="dxa"/>
            <w:tcBorders/>
            <w:shd w:fill="D8D8D8"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70" w:type="dxa"/>
            <w:tcBorders/>
            <w:shd w:fill="D8D8D8" w:val="clear"/>
            <w:vAlign w:val="center"/>
          </w:tcPr>
          <w:p>
            <w:pPr>
              <w:pStyle w:val="TableContents"/>
              <w:bidi w:val="0"/>
              <w:spacing w:lineRule="atLeast" w:line="400" w:before="0" w:after="0"/>
              <w:ind w:left="400" w:right="400" w:hanging="0"/>
              <w:jc w:val="left"/>
              <w:rPr>
                <w:color w:val="1F2668"/>
                <w:sz w:val="36"/>
              </w:rPr>
            </w:pPr>
            <w:r>
              <w:rPr>
                <w:color w:val="1F2668"/>
                <w:sz w:val="36"/>
              </w:rPr>
              <w:t>75%</w:t>
            </w:r>
            <w:r>
              <w:rPr>
                <w:color w:val="000000"/>
                <w:sz w:val="36"/>
              </w:rPr>
              <w:t>​</w:t>
            </w:r>
          </w:p>
          <w:p>
            <w:pPr>
              <w:pStyle w:val="TableContents"/>
              <w:bidi w:val="0"/>
              <w:spacing w:lineRule="atLeast" w:line="220" w:before="40" w:after="283"/>
              <w:ind w:left="400" w:right="400" w:hanging="0"/>
              <w:jc w:val="left"/>
              <w:rPr>
                <w:b/>
                <w:color w:val="1F2668"/>
              </w:rPr>
            </w:pPr>
            <w:r>
              <w:rPr>
                <w:b/>
                <w:color w:val="1F2668"/>
              </w:rPr>
              <w:t>of Outstanding Shares</w:t>
            </w:r>
          </w:p>
        </w:tc>
        <w:tc>
          <w:tcPr>
            <w:tcW w:w="109" w:type="dxa"/>
            <w:tcBorders/>
            <w:vAlign w:val="center"/>
          </w:tcPr>
          <w:p>
            <w:pPr>
              <w:pStyle w:val="TableContents"/>
              <w:bidi w:val="0"/>
              <w:spacing w:before="0" w:after="283"/>
              <w:jc w:val="left"/>
              <w:rPr/>
            </w:pPr>
            <w:r>
              <w:rPr/>
              <w:t>​</w:t>
            </w:r>
          </w:p>
        </w:tc>
        <w:tc>
          <w:tcPr>
            <w:tcW w:w="109" w:type="dxa"/>
            <w:tcBorders/>
            <w:shd w:fill="1F2668" w:val="cle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64" w:type="dxa"/>
            <w:tcBorders/>
            <w:shd w:fill="D8D8D8" w:val="clear"/>
            <w:vAlign w:val="center"/>
          </w:tcPr>
          <w:p>
            <w:pPr>
              <w:pStyle w:val="TableContents"/>
              <w:bidi w:val="0"/>
              <w:spacing w:lineRule="atLeast" w:line="400" w:before="0" w:after="0"/>
              <w:ind w:left="400" w:right="400" w:hanging="0"/>
              <w:jc w:val="left"/>
              <w:rPr>
                <w:color w:val="1F2668"/>
                <w:sz w:val="36"/>
              </w:rPr>
            </w:pPr>
            <w:r>
              <w:rPr>
                <w:color w:val="1F2668"/>
                <w:sz w:val="36"/>
              </w:rPr>
              <w:t>67%</w:t>
            </w:r>
            <w:r>
              <w:rPr>
                <w:color w:val="000000"/>
                <w:sz w:val="36"/>
              </w:rPr>
              <w:t>​</w:t>
            </w:r>
          </w:p>
          <w:p>
            <w:pPr>
              <w:pStyle w:val="TableContents"/>
              <w:bidi w:val="0"/>
              <w:spacing w:lineRule="atLeast" w:line="220" w:before="40" w:after="283"/>
              <w:ind w:left="400" w:right="400" w:hanging="0"/>
              <w:jc w:val="left"/>
              <w:rPr>
                <w:b/>
                <w:color w:val="1F2668"/>
              </w:rPr>
            </w:pPr>
            <w:r>
              <w:rPr>
                <w:b/>
                <w:color w:val="1F2668"/>
              </w:rPr>
              <w:t>of Outstanding Shares</w:t>
            </w:r>
          </w:p>
        </w:tc>
        <w:tc>
          <w:tcPr>
            <w:tcW w:w="109" w:type="dxa"/>
            <w:tcBorders/>
            <w:vAlign w:val="center"/>
          </w:tcPr>
          <w:p>
            <w:pPr>
              <w:pStyle w:val="TableContents"/>
              <w:bidi w:val="0"/>
              <w:spacing w:before="0" w:after="283"/>
              <w:jc w:val="left"/>
              <w:rPr/>
            </w:pPr>
            <w:r>
              <w:rPr/>
              <w:t>​</w:t>
            </w:r>
          </w:p>
        </w:tc>
        <w:tc>
          <w:tcPr>
            <w:tcW w:w="109" w:type="dxa"/>
            <w:tcBorders/>
            <w:shd w:fill="1F2668" w:val="cle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19" w:type="dxa"/>
            <w:tcBorders/>
            <w:shd w:fill="D8D8D8" w:val="clear"/>
            <w:vAlign w:val="center"/>
          </w:tcPr>
          <w:p>
            <w:pPr>
              <w:pStyle w:val="TableContents"/>
              <w:bidi w:val="0"/>
              <w:spacing w:lineRule="atLeast" w:line="400" w:before="0" w:after="0"/>
              <w:ind w:left="400" w:right="400" w:hanging="0"/>
              <w:jc w:val="left"/>
              <w:rPr>
                <w:color w:val="1F2668"/>
                <w:sz w:val="36"/>
              </w:rPr>
            </w:pPr>
            <w:r>
              <w:rPr>
                <w:color w:val="1F2668"/>
                <w:sz w:val="36"/>
              </w:rPr>
              <w:t>61%</w:t>
            </w:r>
            <w:r>
              <w:rPr>
                <w:color w:val="000000"/>
                <w:sz w:val="36"/>
              </w:rPr>
              <w:t>​</w:t>
            </w:r>
          </w:p>
          <w:p>
            <w:pPr>
              <w:pStyle w:val="TableContents"/>
              <w:bidi w:val="0"/>
              <w:spacing w:lineRule="atLeast" w:line="220" w:before="40" w:after="283"/>
              <w:ind w:left="400" w:right="400" w:hanging="0"/>
              <w:jc w:val="left"/>
              <w:rPr>
                <w:b/>
                <w:color w:val="1F2668"/>
              </w:rPr>
            </w:pPr>
            <w:r>
              <w:rPr>
                <w:b/>
                <w:color w:val="1F2668"/>
              </w:rPr>
              <w:t>of Outstanding Shares</w:t>
            </w:r>
          </w:p>
        </w:tc>
        <w:tc>
          <w:tcPr>
            <w:tcW w:w="109" w:type="dxa"/>
            <w:tcBorders/>
            <w:vAlign w:val="center"/>
          </w:tcPr>
          <w:p>
            <w:pPr>
              <w:pStyle w:val="TableContents"/>
              <w:bidi w:val="0"/>
              <w:spacing w:before="0" w:after="283"/>
              <w:jc w:val="left"/>
              <w:rPr/>
            </w:pPr>
            <w:r>
              <w:rPr/>
              <w:t>​</w:t>
            </w:r>
          </w:p>
        </w:tc>
        <w:tc>
          <w:tcPr>
            <w:tcW w:w="156" w:type="dxa"/>
            <w:tcBorders/>
            <w:shd w:fill="D8D8D8" w:val="clear"/>
            <w:vAlign w:val="center"/>
          </w:tcPr>
          <w:p>
            <w:pPr>
              <w:pStyle w:val="TableContents"/>
              <w:bidi w:val="0"/>
              <w:spacing w:before="0" w:after="283"/>
              <w:jc w:val="left"/>
              <w:rPr/>
            </w:pPr>
            <w:r>
              <w:rPr/>
              <w:t>​</w:t>
            </w:r>
          </w:p>
        </w:tc>
      </w:tr>
    </w:tbl>
    <w:tbl>
      <w:tblPr>
        <w:tblW w:w="605" w:type="dxa"/>
        <w:jc w:val="left"/>
        <w:tblInd w:w="90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105" w:type="dxa"/>
        <w:jc w:val="left"/>
        <w:tblInd w:w="900" w:type="dxa"/>
        <w:tblLayout w:type="fixed"/>
        <w:tblCellMar>
          <w:top w:w="0" w:type="dxa"/>
          <w:left w:w="0" w:type="dxa"/>
          <w:bottom w:w="0" w:type="dxa"/>
          <w:right w:w="0" w:type="dxa"/>
        </w:tblCellMar>
      </w:tblPr>
      <w:tblGrid>
        <w:gridCol w:w="124"/>
        <w:gridCol w:w="226"/>
        <w:gridCol w:w="109"/>
        <w:gridCol w:w="109"/>
        <w:gridCol w:w="4383"/>
        <w:gridCol w:w="154"/>
      </w:tblGrid>
      <w:tr>
        <w:trPr/>
        <w:tc>
          <w:tcPr>
            <w:tcW w:w="124"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left"/>
              <w:rPr/>
            </w:pPr>
            <w:r>
              <w:rPr/>
              <w:t>2</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383" w:type="dxa"/>
            <w:tcBorders/>
            <w:vAlign w:val="center"/>
          </w:tcPr>
          <w:p>
            <w:pPr>
              <w:pStyle w:val="TableContents"/>
              <w:bidi w:val="0"/>
              <w:spacing w:lineRule="atLeast" w:line="200" w:before="0" w:after="0"/>
              <w:jc w:val="left"/>
              <w:rPr/>
            </w:pPr>
            <w:r>
              <w:rPr>
                <w:spacing w:val="-2"/>
              </w:rPr>
              <w:t>    </w:t>
            </w:r>
            <w:r>
              <w:rPr>
                <w:spacing w:val="-2"/>
                <w:sz w:val="16"/>
              </w:rPr>
              <w:t>SL GREEN REALTY CORP. 2026 PROXY STATEMENT</w:t>
            </w:r>
            <w:r>
              <w:rPr>
                <w:sz w:val="16"/>
              </w:rPr>
              <w:t xml:space="preserve"> </w:t>
            </w:r>
          </w:p>
        </w:tc>
        <w:tc>
          <w:tcPr>
            <w:tcW w:w="154" w:type="dxa"/>
            <w:tcBorders/>
            <w:vAlign w:val="center"/>
          </w:tcPr>
          <w:p>
            <w:pPr>
              <w:pStyle w:val="TableContents"/>
              <w:bidi w:val="0"/>
              <w:spacing w:before="0" w:after="283"/>
              <w:jc w:val="left"/>
              <w:rPr/>
            </w:pPr>
            <w:r>
              <w:rPr/>
              <w:t>​</w:t>
            </w:r>
          </w:p>
        </w:tc>
      </w:tr>
    </w:tbl>
    <w:tbl>
      <w:tblPr>
        <w:tblW w:w="9305" w:type="dxa"/>
        <w:jc w:val="left"/>
        <w:tblInd w:w="900" w:type="dxa"/>
        <w:tblLayout w:type="fixed"/>
        <w:tblCellMar>
          <w:top w:w="0" w:type="dxa"/>
          <w:left w:w="0" w:type="dxa"/>
          <w:bottom w:w="0" w:type="dxa"/>
          <w:right w:w="0" w:type="dxa"/>
        </w:tblCellMar>
      </w:tblPr>
      <w:tblGrid>
        <w:gridCol w:w="124"/>
        <w:gridCol w:w="109"/>
        <w:gridCol w:w="3437"/>
        <w:gridCol w:w="109"/>
        <w:gridCol w:w="109"/>
        <w:gridCol w:w="109"/>
        <w:gridCol w:w="5044"/>
        <w:gridCol w:w="109"/>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E9F9D8" w:val="clear"/>
            <w:tcMar>
              <w:bottom w:w="28" w:type="dxa"/>
            </w:tcMar>
            <w:vAlign w:val="center"/>
          </w:tcPr>
          <w:p>
            <w:pPr>
              <w:pStyle w:val="TableContents"/>
              <w:bidi w:val="0"/>
              <w:spacing w:before="0" w:after="283"/>
              <w:jc w:val="left"/>
              <w:rPr/>
            </w:pPr>
            <w:r>
              <w:rPr/>
              <w:t>​</w:t>
            </w:r>
          </w:p>
        </w:tc>
        <w:tc>
          <w:tcPr>
            <w:tcW w:w="3437" w:type="dxa"/>
            <w:tcBorders>
              <w:bottom w:val="single" w:sz="2" w:space="0" w:color="000000"/>
            </w:tcBorders>
            <w:shd w:fill="E9F9D8" w:val="clear"/>
            <w:tcMar>
              <w:bottom w:w="52" w:type="dxa"/>
            </w:tcMar>
            <w:vAlign w:val="center"/>
          </w:tcPr>
          <w:p>
            <w:pPr>
              <w:pStyle w:val="TableContents"/>
              <w:bidi w:val="0"/>
              <w:spacing w:before="0" w:after="0"/>
              <w:jc w:val="center"/>
              <w:rPr/>
            </w:pPr>
            <w:r>
              <w:rPr>
                <w:spacing w:val="-2"/>
              </w:rPr>
              <w:t xml:space="preserve">Shareholder Feedback </w:t>
              <w:br/>
              <w:t>(“What we heard”)</w:t>
            </w:r>
            <w:r>
              <w:rPr/>
              <w:t xml:space="preserve"> </w:t>
            </w:r>
          </w:p>
        </w:tc>
        <w:tc>
          <w:tcPr>
            <w:tcW w:w="109" w:type="dxa"/>
            <w:tcBorders>
              <w:bottom w:val="single" w:sz="2" w:space="0" w:color="000000"/>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83AD40"/>
            </w:tcBorders>
            <w:shd w:fill="83AD4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8D8D8" w:val="clear"/>
            <w:tcMar>
              <w:bottom w:w="28" w:type="dxa"/>
            </w:tcMar>
            <w:vAlign w:val="center"/>
          </w:tcPr>
          <w:p>
            <w:pPr>
              <w:pStyle w:val="TableContents"/>
              <w:bidi w:val="0"/>
              <w:spacing w:before="0" w:after="283"/>
              <w:jc w:val="left"/>
              <w:rPr/>
            </w:pPr>
            <w:r>
              <w:rPr/>
              <w:t>​</w:t>
            </w:r>
          </w:p>
        </w:tc>
        <w:tc>
          <w:tcPr>
            <w:tcW w:w="5044" w:type="dxa"/>
            <w:tcBorders>
              <w:bottom w:val="single" w:sz="2" w:space="0" w:color="000000"/>
            </w:tcBorders>
            <w:shd w:fill="D8D8D8" w:val="clear"/>
            <w:tcMar>
              <w:bottom w:w="52" w:type="dxa"/>
            </w:tcMar>
            <w:vAlign w:val="center"/>
          </w:tcPr>
          <w:p>
            <w:pPr>
              <w:pStyle w:val="TableContents"/>
              <w:bidi w:val="0"/>
              <w:spacing w:before="0" w:after="0"/>
              <w:jc w:val="center"/>
              <w:rPr/>
            </w:pPr>
            <w:r>
              <w:rPr>
                <w:spacing w:val="-2"/>
              </w:rPr>
              <w:t xml:space="preserve">Board Responsiveness </w:t>
              <w:br/>
              <w:t>(“What we did”)</w:t>
            </w:r>
            <w:r>
              <w:rPr/>
              <w:t xml:space="preserve"> </w:t>
            </w:r>
          </w:p>
        </w:tc>
        <w:tc>
          <w:tcPr>
            <w:tcW w:w="109" w:type="dxa"/>
            <w:tcBorders>
              <w:bottom w:val="single" w:sz="2" w:space="0" w:color="000000"/>
            </w:tcBorders>
            <w:shd w:fill="D8D8D8" w:val="clear"/>
            <w:tcMar>
              <w:bottom w:w="28" w:type="dxa"/>
            </w:tcMar>
            <w:vAlign w:val="center"/>
          </w:tcPr>
          <w:p>
            <w:pPr>
              <w:pStyle w:val="TableContents"/>
              <w:bidi w:val="0"/>
              <w:spacing w:before="0" w:after="283"/>
              <w:jc w:val="left"/>
              <w:rPr/>
            </w:pPr>
            <w:r>
              <w:rPr/>
              <w:t>​</w:t>
            </w:r>
          </w:p>
        </w:tc>
        <w:tc>
          <w:tcPr>
            <w:tcW w:w="155" w:type="dxa"/>
            <w:tcBorders/>
            <w:shd w:fill="D8D8D8"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E9F9D8" w:val="clear"/>
            <w:tcMar>
              <w:bottom w:w="28" w:type="dxa"/>
            </w:tcMar>
            <w:vAlign w:val="center"/>
          </w:tcPr>
          <w:p>
            <w:pPr>
              <w:pStyle w:val="TableContents"/>
              <w:bidi w:val="0"/>
              <w:spacing w:before="0" w:after="283"/>
              <w:jc w:val="left"/>
              <w:rPr/>
            </w:pPr>
            <w:r>
              <w:rPr/>
              <w:t>​</w:t>
            </w:r>
          </w:p>
        </w:tc>
        <w:tc>
          <w:tcPr>
            <w:tcW w:w="8808" w:type="dxa"/>
            <w:gridSpan w:val="5"/>
            <w:tcBorders>
              <w:bottom w:val="single" w:sz="2" w:space="0" w:color="000000"/>
            </w:tcBorders>
            <w:shd w:fill="E9F9D8" w:val="clear"/>
            <w:tcMar>
              <w:bottom w:w="28" w:type="dxa"/>
            </w:tcMar>
            <w:vAlign w:val="center"/>
          </w:tcPr>
          <w:p>
            <w:pPr>
              <w:pStyle w:val="TableContents"/>
              <w:bidi w:val="0"/>
              <w:spacing w:lineRule="atLeast" w:line="220" w:before="0" w:after="0"/>
              <w:jc w:val="center"/>
              <w:rPr/>
            </w:pPr>
            <w:r>
              <w:rPr>
                <w:spacing w:val="-2"/>
              </w:rPr>
              <w:t>Following the June 3, 2025 Annual Meeting</w:t>
            </w:r>
            <w:r>
              <w:rPr/>
              <w:t xml:space="preserve"> </w:t>
            </w:r>
          </w:p>
        </w:tc>
        <w:tc>
          <w:tcPr>
            <w:tcW w:w="109" w:type="dxa"/>
            <w:tcBorders>
              <w:bottom w:val="single" w:sz="2" w:space="0" w:color="000000"/>
            </w:tcBorders>
            <w:shd w:fill="E9F9D8" w:val="clear"/>
            <w:tcMar>
              <w:bottom w:w="28" w:type="dxa"/>
            </w:tcMar>
            <w:vAlign w:val="center"/>
          </w:tcPr>
          <w:p>
            <w:pPr>
              <w:pStyle w:val="TableContents"/>
              <w:bidi w:val="0"/>
              <w:spacing w:before="0" w:after="283"/>
              <w:jc w:val="left"/>
              <w:rPr/>
            </w:pPr>
            <w:r>
              <w:rPr/>
              <w:t>​</w:t>
            </w:r>
          </w:p>
        </w:tc>
        <w:tc>
          <w:tcPr>
            <w:tcW w:w="155" w:type="dxa"/>
            <w:tcBorders/>
            <w:shd w:fill="E9F9D8"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437" w:type="dxa"/>
            <w:tcBorders>
              <w:bottom w:val="single" w:sz="2" w:space="0" w:color="000000"/>
            </w:tcBorders>
            <w:tcMar>
              <w:bottom w:w="152" w:type="dxa"/>
            </w:tcMar>
            <w:vAlign w:val="center"/>
          </w:tcPr>
          <w:p>
            <w:pPr>
              <w:pStyle w:val="TableContents"/>
              <w:bidi w:val="0"/>
              <w:spacing w:before="0" w:after="283"/>
              <w:jc w:val="left"/>
              <w:rPr>
                <w:spacing w:val="-2"/>
              </w:rPr>
            </w:pPr>
            <w:r>
              <w:rPr>
                <w:spacing w:val="-2"/>
              </w:rPr>
              <w:t xml:space="preserve">Increase formulaic performance basis of NEOs’ annual bonus to at least 50%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83AD40"/>
            </w:tcBorders>
            <w:shd w:fill="83AD4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8D8D8" w:val="clear"/>
            <w:tcMar>
              <w:bottom w:w="28" w:type="dxa"/>
            </w:tcMar>
            <w:vAlign w:val="center"/>
          </w:tcPr>
          <w:p>
            <w:pPr>
              <w:pStyle w:val="TableContents"/>
              <w:bidi w:val="0"/>
              <w:spacing w:before="0" w:after="283"/>
              <w:jc w:val="left"/>
              <w:rPr/>
            </w:pPr>
            <w:r>
              <w:rPr/>
              <w:t>​</w:t>
            </w:r>
          </w:p>
        </w:tc>
        <w:tc>
          <w:tcPr>
            <w:tcW w:w="5044" w:type="dxa"/>
            <w:tcBorders>
              <w:bottom w:val="single" w:sz="2" w:space="0" w:color="000000"/>
            </w:tcBorders>
            <w:shd w:fill="D8D8D8" w:val="clear"/>
            <w:tcMar>
              <w:bottom w:w="152" w:type="dxa"/>
            </w:tcMar>
            <w:vAlign w:val="center"/>
          </w:tcPr>
          <w:p>
            <w:pPr>
              <w:pStyle w:val="TableContents"/>
              <w:bidi w:val="0"/>
              <w:spacing w:before="0" w:after="0"/>
              <w:jc w:val="left"/>
              <w:rPr/>
            </w:pPr>
            <w:r>
              <w:rPr>
                <w:spacing w:val="-2"/>
                <w:u w:val="single"/>
              </w:rPr>
              <w:t>August 2025: General Counsel Employment Agreement</w:t>
            </w:r>
            <w:r>
              <w:rPr>
                <w:spacing w:val="-2"/>
              </w:rPr>
              <w:t xml:space="preserve"> </w:t>
              <w:br/>
              <w:t>Implemented 50% formulaic performance-based annual bonus versus prior annual bonus structure which was 100% discretionary</w:t>
            </w:r>
            <w:r>
              <w:rPr/>
              <w:t xml:space="preserve"> </w:t>
            </w:r>
          </w:p>
          <w:p>
            <w:pPr>
              <w:pStyle w:val="TableContents"/>
              <w:bidi w:val="0"/>
              <w:spacing w:before="120" w:after="283"/>
              <w:jc w:val="left"/>
              <w:rPr/>
            </w:pPr>
            <w:r>
              <w:rPr>
                <w:spacing w:val="-2"/>
                <w:u w:val="single"/>
              </w:rPr>
              <w:t>February 2026: President and Chief Investment Officer Employment Agreement</w:t>
            </w:r>
            <w:r>
              <w:rPr/>
              <w:t xml:space="preserve"> </w:t>
            </w:r>
          </w:p>
          <w:p>
            <w:pPr>
              <w:pStyle w:val="TableContents"/>
              <w:bidi w:val="0"/>
              <w:spacing w:before="120" w:after="283"/>
              <w:jc w:val="left"/>
              <w:rPr/>
            </w:pPr>
            <w:r>
              <w:rPr>
                <w:spacing w:val="-2"/>
              </w:rPr>
              <w:t>Implemented 75% performance-based annual bonus</w:t>
            </w:r>
            <w:r>
              <w:rPr/>
              <w:t xml:space="preserve"> </w:t>
            </w:r>
          </w:p>
        </w:tc>
        <w:tc>
          <w:tcPr>
            <w:tcW w:w="109" w:type="dxa"/>
            <w:tcBorders>
              <w:bottom w:val="single" w:sz="2" w:space="0" w:color="000000"/>
            </w:tcBorders>
            <w:shd w:fill="D8D8D8" w:val="clear"/>
            <w:tcMar>
              <w:bottom w:w="28" w:type="dxa"/>
            </w:tcMar>
            <w:vAlign w:val="center"/>
          </w:tcPr>
          <w:p>
            <w:pPr>
              <w:pStyle w:val="TableContents"/>
              <w:bidi w:val="0"/>
              <w:spacing w:before="0" w:after="283"/>
              <w:jc w:val="left"/>
              <w:rPr/>
            </w:pPr>
            <w:r>
              <w:rPr/>
              <w:t>​</w:t>
            </w:r>
          </w:p>
        </w:tc>
        <w:tc>
          <w:tcPr>
            <w:tcW w:w="155" w:type="dxa"/>
            <w:tcBorders/>
            <w:shd w:fill="D8D8D8"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437" w:type="dxa"/>
            <w:tcBorders>
              <w:bottom w:val="single" w:sz="2" w:space="0" w:color="000000"/>
            </w:tcBorders>
            <w:tcMar>
              <w:bottom w:w="28" w:type="dxa"/>
            </w:tcMar>
            <w:vAlign w:val="center"/>
          </w:tcPr>
          <w:p>
            <w:pPr>
              <w:pStyle w:val="TableContents"/>
              <w:bidi w:val="0"/>
              <w:spacing w:before="0" w:after="283"/>
              <w:jc w:val="left"/>
              <w:rPr>
                <w:spacing w:val="-2"/>
              </w:rPr>
            </w:pPr>
            <w:r>
              <w:rPr>
                <w:spacing w:val="-2"/>
              </w:rPr>
              <w:t xml:space="preserve">Ensure NEO compensation plans do not include “guaranteed” incentives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83AD40"/>
            </w:tcBorders>
            <w:shd w:fill="83AD4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8D8D8" w:val="clear"/>
            <w:tcMar>
              <w:bottom w:w="28" w:type="dxa"/>
            </w:tcMar>
            <w:vAlign w:val="center"/>
          </w:tcPr>
          <w:p>
            <w:pPr>
              <w:pStyle w:val="TableContents"/>
              <w:bidi w:val="0"/>
              <w:spacing w:before="0" w:after="283"/>
              <w:jc w:val="left"/>
              <w:rPr/>
            </w:pPr>
            <w:r>
              <w:rPr/>
              <w:t>​</w:t>
            </w:r>
          </w:p>
        </w:tc>
        <w:tc>
          <w:tcPr>
            <w:tcW w:w="5044" w:type="dxa"/>
            <w:tcBorders>
              <w:bottom w:val="single" w:sz="2" w:space="0" w:color="000000"/>
            </w:tcBorders>
            <w:shd w:fill="D8D8D8" w:val="clear"/>
            <w:tcMar>
              <w:bottom w:w="28" w:type="dxa"/>
            </w:tcMar>
            <w:vAlign w:val="center"/>
          </w:tcPr>
          <w:p>
            <w:pPr>
              <w:pStyle w:val="TableContents"/>
              <w:bidi w:val="0"/>
              <w:spacing w:before="0" w:after="0"/>
              <w:jc w:val="left"/>
              <w:rPr>
                <w:sz w:val="18"/>
              </w:rPr>
            </w:pPr>
            <w:r>
              <w:rPr>
                <w:spacing w:val="-2"/>
                <w:sz w:val="18"/>
                <w:u w:val="single"/>
              </w:rPr>
              <w:t>June 2025: Amended CEO Employment Agreement</w:t>
            </w:r>
            <w:r>
              <w:rPr>
                <w:sz w:val="18"/>
              </w:rPr>
              <w:t>​</w:t>
            </w:r>
            <w:r>
              <w:rPr>
                <w:spacing w:val="-2"/>
                <w:sz w:val="18"/>
              </w:rPr>
              <w:t xml:space="preserve"> </w:t>
            </w:r>
            <w:r>
              <w:rPr>
                <w:sz w:val="18"/>
              </w:rPr>
              <w:br/>
            </w:r>
            <w:r>
              <w:rPr>
                <w:spacing w:val="-2"/>
                <w:sz w:val="18"/>
              </w:rPr>
              <w:t>Clarified that the CEO’s annual time-based award is not guaranteed, with the ultimate value to be determined by the Committee based on performance during the prior year</w:t>
            </w:r>
            <w:r>
              <w:rPr>
                <w:sz w:val="18"/>
              </w:rPr>
              <w:t xml:space="preserve"> </w:t>
            </w:r>
          </w:p>
        </w:tc>
        <w:tc>
          <w:tcPr>
            <w:tcW w:w="109" w:type="dxa"/>
            <w:tcBorders>
              <w:bottom w:val="single" w:sz="2" w:space="0" w:color="000000"/>
            </w:tcBorders>
            <w:shd w:fill="D8D8D8" w:val="clear"/>
            <w:tcMar>
              <w:bottom w:w="28" w:type="dxa"/>
            </w:tcMar>
            <w:vAlign w:val="center"/>
          </w:tcPr>
          <w:p>
            <w:pPr>
              <w:pStyle w:val="TableContents"/>
              <w:bidi w:val="0"/>
              <w:spacing w:before="0" w:after="283"/>
              <w:jc w:val="left"/>
              <w:rPr/>
            </w:pPr>
            <w:r>
              <w:rPr/>
              <w:t>​</w:t>
            </w:r>
          </w:p>
        </w:tc>
        <w:tc>
          <w:tcPr>
            <w:tcW w:w="155" w:type="dxa"/>
            <w:tcBorders/>
            <w:shd w:fill="D8D8D8"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437" w:type="dxa"/>
            <w:tcBorders>
              <w:bottom w:val="single" w:sz="2" w:space="0" w:color="000000"/>
            </w:tcBorders>
            <w:tcMar>
              <w:bottom w:w="152" w:type="dxa"/>
            </w:tcMar>
            <w:vAlign w:val="center"/>
          </w:tcPr>
          <w:p>
            <w:pPr>
              <w:pStyle w:val="TableContents"/>
              <w:bidi w:val="0"/>
              <w:spacing w:before="0" w:after="283"/>
              <w:jc w:val="left"/>
              <w:rPr>
                <w:spacing w:val="-2"/>
              </w:rPr>
            </w:pPr>
            <w:r>
              <w:rPr>
                <w:spacing w:val="-2"/>
              </w:rPr>
              <w:t xml:space="preserve">Eliminate formulaic cash payments following a change of control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83AD40"/>
            </w:tcBorders>
            <w:shd w:fill="83AD4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8D8D8" w:val="clear"/>
            <w:tcMar>
              <w:bottom w:w="28" w:type="dxa"/>
            </w:tcMar>
            <w:vAlign w:val="center"/>
          </w:tcPr>
          <w:p>
            <w:pPr>
              <w:pStyle w:val="TableContents"/>
              <w:bidi w:val="0"/>
              <w:spacing w:before="0" w:after="283"/>
              <w:jc w:val="left"/>
              <w:rPr/>
            </w:pPr>
            <w:r>
              <w:rPr/>
              <w:t>​</w:t>
            </w:r>
          </w:p>
        </w:tc>
        <w:tc>
          <w:tcPr>
            <w:tcW w:w="5044" w:type="dxa"/>
            <w:tcBorders>
              <w:bottom w:val="single" w:sz="2" w:space="0" w:color="000000"/>
            </w:tcBorders>
            <w:shd w:fill="D8D8D8" w:val="clear"/>
            <w:tcMar>
              <w:bottom w:w="152" w:type="dxa"/>
            </w:tcMar>
            <w:vAlign w:val="center"/>
          </w:tcPr>
          <w:p>
            <w:pPr>
              <w:pStyle w:val="TableContents"/>
              <w:bidi w:val="0"/>
              <w:spacing w:lineRule="atLeast" w:line="180" w:before="0" w:after="0"/>
              <w:jc w:val="left"/>
              <w:rPr/>
            </w:pPr>
            <w:r>
              <w:rPr>
                <w:spacing w:val="-2"/>
              </w:rPr>
              <w:t>Eliminated the provision in the:</w:t>
            </w:r>
            <w:r>
              <w:rPr/>
              <w:t xml:space="preserve"> </w:t>
            </w:r>
          </w:p>
          <w:p>
            <w:pPr>
              <w:pStyle w:val="TableContents"/>
              <w:bidi w:val="0"/>
              <w:spacing w:lineRule="atLeast" w:line="180" w:before="40" w:after="0"/>
              <w:ind w:left="140" w:right="0" w:hanging="0"/>
              <w:jc w:val="left"/>
              <w:rPr/>
            </w:pPr>
            <w:r>
              <w:rPr>
                <w:spacing w:val="-2"/>
              </w:rPr>
              <w:t>CEO employment agreement (June 2025)</w:t>
            </w:r>
            <w:r>
              <w:rPr/>
              <w:t xml:space="preserve"> </w:t>
            </w:r>
            <w:r>
              <mc:AlternateContent>
                <mc:Choice Requires="wps">
                  <w:drawing>
                    <wp:anchor behindDoc="0" distT="25400" distB="0" distL="0" distR="0" simplePos="0" locked="0" layoutInCell="1" allowOverlap="1" relativeHeight="314">
                      <wp:simplePos x="0" y="0"/>
                      <wp:positionH relativeFrom="column">
                        <wp:align>left</wp:align>
                      </wp:positionH>
                      <wp:positionV relativeFrom="line">
                        <wp:align>top</wp:align>
                      </wp:positionV>
                      <wp:extent cx="88900" cy="525780"/>
                      <wp:effectExtent l="0" t="0" r="0" b="0"/>
                      <wp:wrapSquare wrapText="right"/>
                      <wp:docPr id="14" name="Frame12"/>
                      <a:graphic xmlns:a="http://schemas.openxmlformats.org/drawingml/2006/main">
                        <a:graphicData uri="http://schemas.microsoft.com/office/word/2010/wordprocessingShape">
                          <wps:wsp>
                            <wps:cNvSpPr txBox="1"/>
                            <wps:spPr>
                              <a:xfrm>
                                <a:off x="0" y="0"/>
                                <a:ext cx="88900" cy="52578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7pt;height:41.4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40" w:after="0"/>
              <w:ind w:left="140" w:right="0" w:hanging="0"/>
              <w:jc w:val="left"/>
              <w:rPr/>
            </w:pPr>
            <w:r>
              <w:rPr>
                <w:spacing w:val="-2"/>
              </w:rPr>
              <w:t>General Counsel employment agreement (August 2025)</w:t>
            </w:r>
            <w:r>
              <w:rPr/>
              <w:t xml:space="preserve"> </w:t>
            </w:r>
            <w:r>
              <mc:AlternateContent>
                <mc:Choice Requires="wps">
                  <w:drawing>
                    <wp:anchor behindDoc="0" distT="25400" distB="0" distL="0" distR="0" simplePos="0" locked="0" layoutInCell="1" allowOverlap="1" relativeHeight="315">
                      <wp:simplePos x="0" y="0"/>
                      <wp:positionH relativeFrom="column">
                        <wp:align>left</wp:align>
                      </wp:positionH>
                      <wp:positionV relativeFrom="line">
                        <wp:align>top</wp:align>
                      </wp:positionV>
                      <wp:extent cx="88900" cy="525780"/>
                      <wp:effectExtent l="0" t="0" r="0" b="0"/>
                      <wp:wrapSquare wrapText="right"/>
                      <wp:docPr id="15" name="Frame13"/>
                      <a:graphic xmlns:a="http://schemas.openxmlformats.org/drawingml/2006/main">
                        <a:graphicData uri="http://schemas.microsoft.com/office/word/2010/wordprocessingShape">
                          <wps:wsp>
                            <wps:cNvSpPr txBox="1"/>
                            <wps:spPr>
                              <a:xfrm>
                                <a:off x="0" y="0"/>
                                <a:ext cx="88900" cy="52578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7pt;height:41.4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40" w:after="0"/>
              <w:ind w:left="140" w:right="0" w:hanging="0"/>
              <w:jc w:val="left"/>
              <w:rPr/>
            </w:pPr>
            <w:r>
              <w:rPr>
                <w:spacing w:val="-2"/>
              </w:rPr>
              <w:t>CFO employment agreement (February 2026)</w:t>
            </w:r>
            <w:r>
              <w:rPr/>
              <w:t xml:space="preserve"> </w:t>
            </w:r>
            <w:r>
              <mc:AlternateContent>
                <mc:Choice Requires="wps">
                  <w:drawing>
                    <wp:anchor behindDoc="0" distT="25400" distB="0" distL="0" distR="0" simplePos="0" locked="0" layoutInCell="1" allowOverlap="1" relativeHeight="316">
                      <wp:simplePos x="0" y="0"/>
                      <wp:positionH relativeFrom="column">
                        <wp:align>left</wp:align>
                      </wp:positionH>
                      <wp:positionV relativeFrom="line">
                        <wp:align>top</wp:align>
                      </wp:positionV>
                      <wp:extent cx="88900" cy="525780"/>
                      <wp:effectExtent l="0" t="0" r="0" b="0"/>
                      <wp:wrapSquare wrapText="right"/>
                      <wp:docPr id="16" name="Frame14"/>
                      <a:graphic xmlns:a="http://schemas.openxmlformats.org/drawingml/2006/main">
                        <a:graphicData uri="http://schemas.microsoft.com/office/word/2010/wordprocessingShape">
                          <wps:wsp>
                            <wps:cNvSpPr txBox="1"/>
                            <wps:spPr>
                              <a:xfrm>
                                <a:off x="0" y="0"/>
                                <a:ext cx="88900" cy="52578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7pt;height:41.4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40" w:after="0"/>
              <w:ind w:left="140" w:right="0" w:hanging="0"/>
              <w:jc w:val="left"/>
              <w:rPr/>
            </w:pPr>
            <w:r>
              <w:rPr>
                <w:spacing w:val="-2"/>
              </w:rPr>
              <w:t>President employment agreement (February 2026)</w:t>
            </w:r>
            <w:r>
              <w:rPr/>
              <w:t xml:space="preserve"> </w:t>
            </w:r>
            <w:r>
              <mc:AlternateContent>
                <mc:Choice Requires="wps">
                  <w:drawing>
                    <wp:anchor behindDoc="0" distT="25400" distB="0" distL="0" distR="0" simplePos="0" locked="0" layoutInCell="1" allowOverlap="1" relativeHeight="317">
                      <wp:simplePos x="0" y="0"/>
                      <wp:positionH relativeFrom="column">
                        <wp:align>left</wp:align>
                      </wp:positionH>
                      <wp:positionV relativeFrom="line">
                        <wp:align>top</wp:align>
                      </wp:positionV>
                      <wp:extent cx="88900" cy="525780"/>
                      <wp:effectExtent l="0" t="0" r="0" b="0"/>
                      <wp:wrapSquare wrapText="right"/>
                      <wp:docPr id="17" name="Frame15"/>
                      <a:graphic xmlns:a="http://schemas.openxmlformats.org/drawingml/2006/main">
                        <a:graphicData uri="http://schemas.microsoft.com/office/word/2010/wordprocessingShape">
                          <wps:wsp>
                            <wps:cNvSpPr txBox="1"/>
                            <wps:spPr>
                              <a:xfrm>
                                <a:off x="0" y="0"/>
                                <a:ext cx="88900" cy="52578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7pt;height:41.4pt;mso-wrap-distance-left:0pt;mso-wrap-distance-right:0pt;mso-wrap-distance-top:2pt;mso-wrap-distance-bottom:0pt;margin-top:2pt;mso-position-vertical:top;mso-position-vertical-relative:text;margin-left:7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000000"/>
            </w:tcBorders>
            <w:shd w:fill="D8D8D8" w:val="clear"/>
            <w:tcMar>
              <w:bottom w:w="28" w:type="dxa"/>
            </w:tcMar>
            <w:vAlign w:val="center"/>
          </w:tcPr>
          <w:p>
            <w:pPr>
              <w:pStyle w:val="TableContents"/>
              <w:bidi w:val="0"/>
              <w:spacing w:before="0" w:after="283"/>
              <w:jc w:val="left"/>
              <w:rPr/>
            </w:pPr>
            <w:r>
              <w:rPr/>
              <w:t>​</w:t>
            </w:r>
          </w:p>
        </w:tc>
        <w:tc>
          <w:tcPr>
            <w:tcW w:w="155" w:type="dxa"/>
            <w:tcBorders/>
            <w:shd w:fill="D8D8D8"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437" w:type="dxa"/>
            <w:tcBorders>
              <w:bottom w:val="single" w:sz="2" w:space="0" w:color="000000"/>
            </w:tcBorders>
            <w:tcMar>
              <w:bottom w:w="125" w:type="dxa"/>
            </w:tcMar>
            <w:vAlign w:val="center"/>
          </w:tcPr>
          <w:p>
            <w:pPr>
              <w:pStyle w:val="TableContents"/>
              <w:bidi w:val="0"/>
              <w:spacing w:before="0" w:after="283"/>
              <w:jc w:val="left"/>
              <w:rPr>
                <w:spacing w:val="-2"/>
              </w:rPr>
            </w:pPr>
            <w:r>
              <w:rPr>
                <w:spacing w:val="-2"/>
              </w:rPr>
              <w:t xml:space="preserve">Eliminate short-term performance periods in long-term performance incentives plan for all NEOs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83AD40"/>
            </w:tcBorders>
            <w:shd w:fill="83AD4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8D8D8" w:val="clear"/>
            <w:tcMar>
              <w:bottom w:w="28" w:type="dxa"/>
            </w:tcMar>
            <w:vAlign w:val="center"/>
          </w:tcPr>
          <w:p>
            <w:pPr>
              <w:pStyle w:val="TableContents"/>
              <w:bidi w:val="0"/>
              <w:spacing w:before="0" w:after="283"/>
              <w:jc w:val="left"/>
              <w:rPr/>
            </w:pPr>
            <w:r>
              <w:rPr/>
              <w:t>​</w:t>
            </w:r>
          </w:p>
        </w:tc>
        <w:tc>
          <w:tcPr>
            <w:tcW w:w="5044" w:type="dxa"/>
            <w:tcBorders>
              <w:bottom w:val="single" w:sz="2" w:space="0" w:color="000000"/>
            </w:tcBorders>
            <w:shd w:fill="D8D8D8" w:val="clear"/>
            <w:tcMar>
              <w:bottom w:w="125" w:type="dxa"/>
            </w:tcMar>
            <w:vAlign w:val="center"/>
          </w:tcPr>
          <w:p>
            <w:pPr>
              <w:pStyle w:val="TableContents"/>
              <w:bidi w:val="0"/>
              <w:spacing w:before="0" w:after="0"/>
              <w:jc w:val="left"/>
              <w:rPr/>
            </w:pPr>
            <w:r>
              <w:rPr>
                <w:spacing w:val="-2"/>
              </w:rPr>
              <w:t>Adopted three-year performance goals in long-term performance equity awards for:</w:t>
            </w:r>
            <w:r>
              <w:rPr/>
              <w:t xml:space="preserve"> </w:t>
            </w:r>
          </w:p>
          <w:p>
            <w:pPr>
              <w:pStyle w:val="TableContents"/>
              <w:bidi w:val="0"/>
              <w:spacing w:lineRule="atLeast" w:line="180" w:before="40" w:after="0"/>
              <w:ind w:left="140" w:right="0" w:hanging="0"/>
              <w:jc w:val="left"/>
              <w:rPr/>
            </w:pPr>
            <w:r>
              <w:rPr>
                <w:spacing w:val="-2"/>
              </w:rPr>
              <w:t>General Counsel’s 2025 equity awards</w:t>
            </w:r>
            <w:r>
              <w:rPr/>
              <w:t xml:space="preserve"> </w:t>
            </w:r>
            <w:r>
              <mc:AlternateContent>
                <mc:Choice Requires="wps">
                  <w:drawing>
                    <wp:anchor behindDoc="0" distT="25400" distB="0" distL="0" distR="0" simplePos="0" locked="0" layoutInCell="1" allowOverlap="1" relativeHeight="318">
                      <wp:simplePos x="0" y="0"/>
                      <wp:positionH relativeFrom="column">
                        <wp:align>left</wp:align>
                      </wp:positionH>
                      <wp:positionV relativeFrom="line">
                        <wp:align>top</wp:align>
                      </wp:positionV>
                      <wp:extent cx="88900" cy="525780"/>
                      <wp:effectExtent l="0" t="0" r="0" b="0"/>
                      <wp:wrapSquare wrapText="right"/>
                      <wp:docPr id="18" name="Frame16"/>
                      <a:graphic xmlns:a="http://schemas.openxmlformats.org/drawingml/2006/main">
                        <a:graphicData uri="http://schemas.microsoft.com/office/word/2010/wordprocessingShape">
                          <wps:wsp>
                            <wps:cNvSpPr txBox="1"/>
                            <wps:spPr>
                              <a:xfrm>
                                <a:off x="0" y="0"/>
                                <a:ext cx="88900" cy="52578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7pt;height:41.4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40" w:after="0"/>
              <w:ind w:left="140" w:right="0" w:hanging="0"/>
              <w:jc w:val="left"/>
              <w:rPr/>
            </w:pPr>
            <w:r>
              <w:rPr>
                <w:spacing w:val="-2"/>
              </w:rPr>
              <w:t>CFO’s 2026 equity awards</w:t>
            </w:r>
            <w:r>
              <w:rPr/>
              <w:t xml:space="preserve"> </w:t>
            </w:r>
            <w:r>
              <mc:AlternateContent>
                <mc:Choice Requires="wps">
                  <w:drawing>
                    <wp:anchor behindDoc="0" distT="25400" distB="0" distL="0" distR="0" simplePos="0" locked="0" layoutInCell="1" allowOverlap="1" relativeHeight="319">
                      <wp:simplePos x="0" y="0"/>
                      <wp:positionH relativeFrom="column">
                        <wp:align>left</wp:align>
                      </wp:positionH>
                      <wp:positionV relativeFrom="line">
                        <wp:align>top</wp:align>
                      </wp:positionV>
                      <wp:extent cx="88900" cy="525780"/>
                      <wp:effectExtent l="0" t="0" r="0" b="0"/>
                      <wp:wrapSquare wrapText="right"/>
                      <wp:docPr id="19" name="Frame17"/>
                      <a:graphic xmlns:a="http://schemas.openxmlformats.org/drawingml/2006/main">
                        <a:graphicData uri="http://schemas.microsoft.com/office/word/2010/wordprocessingShape">
                          <wps:wsp>
                            <wps:cNvSpPr txBox="1"/>
                            <wps:spPr>
                              <a:xfrm>
                                <a:off x="0" y="0"/>
                                <a:ext cx="88900" cy="52578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7pt;height:41.4pt;mso-wrap-distance-left:0pt;mso-wrap-distance-right:0pt;mso-wrap-distance-top:2pt;mso-wrap-distance-bottom:0pt;margin-top:2pt;mso-position-vertical:top;mso-position-vertical-relative:text;margin-left:7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40" w:after="0"/>
              <w:ind w:left="140" w:right="0" w:hanging="0"/>
              <w:jc w:val="left"/>
              <w:rPr/>
            </w:pPr>
            <w:r>
              <w:rPr>
                <w:spacing w:val="-2"/>
              </w:rPr>
              <w:t>President’s 2026 equity awards</w:t>
            </w:r>
            <w:r>
              <w:rPr/>
              <w:t xml:space="preserve"> </w:t>
            </w:r>
            <w:r>
              <mc:AlternateContent>
                <mc:Choice Requires="wps">
                  <w:drawing>
                    <wp:anchor behindDoc="0" distT="25400" distB="0" distL="0" distR="0" simplePos="0" locked="0" layoutInCell="1" allowOverlap="1" relativeHeight="320">
                      <wp:simplePos x="0" y="0"/>
                      <wp:positionH relativeFrom="column">
                        <wp:align>left</wp:align>
                      </wp:positionH>
                      <wp:positionV relativeFrom="line">
                        <wp:align>top</wp:align>
                      </wp:positionV>
                      <wp:extent cx="88900" cy="525780"/>
                      <wp:effectExtent l="0" t="0" r="0" b="0"/>
                      <wp:wrapSquare wrapText="right"/>
                      <wp:docPr id="20" name="Frame18"/>
                      <a:graphic xmlns:a="http://schemas.openxmlformats.org/drawingml/2006/main">
                        <a:graphicData uri="http://schemas.microsoft.com/office/word/2010/wordprocessingShape">
                          <wps:wsp>
                            <wps:cNvSpPr txBox="1"/>
                            <wps:spPr>
                              <a:xfrm>
                                <a:off x="0" y="0"/>
                                <a:ext cx="88900" cy="52578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7pt;height:41.4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000000"/>
            </w:tcBorders>
            <w:shd w:fill="D8D8D8" w:val="clear"/>
            <w:tcMar>
              <w:bottom w:w="28" w:type="dxa"/>
            </w:tcMar>
            <w:vAlign w:val="center"/>
          </w:tcPr>
          <w:p>
            <w:pPr>
              <w:pStyle w:val="TableContents"/>
              <w:bidi w:val="0"/>
              <w:spacing w:before="0" w:after="283"/>
              <w:jc w:val="left"/>
              <w:rPr/>
            </w:pPr>
            <w:r>
              <w:rPr/>
              <w:t>​</w:t>
            </w:r>
          </w:p>
        </w:tc>
        <w:tc>
          <w:tcPr>
            <w:tcW w:w="155" w:type="dxa"/>
            <w:tcBorders/>
            <w:shd w:fill="D8D8D8"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E9F9D8" w:val="clear"/>
            <w:tcMar>
              <w:bottom w:w="28" w:type="dxa"/>
            </w:tcMar>
            <w:vAlign w:val="center"/>
          </w:tcPr>
          <w:p>
            <w:pPr>
              <w:pStyle w:val="TableContents"/>
              <w:bidi w:val="0"/>
              <w:spacing w:before="0" w:after="283"/>
              <w:jc w:val="left"/>
              <w:rPr/>
            </w:pPr>
            <w:r>
              <w:rPr/>
              <w:t>​</w:t>
            </w:r>
          </w:p>
        </w:tc>
        <w:tc>
          <w:tcPr>
            <w:tcW w:w="8808" w:type="dxa"/>
            <w:gridSpan w:val="5"/>
            <w:tcBorders>
              <w:bottom w:val="single" w:sz="2" w:space="0" w:color="000000"/>
            </w:tcBorders>
            <w:shd w:fill="E9F9D8" w:val="clear"/>
            <w:tcMar>
              <w:bottom w:w="28" w:type="dxa"/>
            </w:tcMar>
            <w:vAlign w:val="center"/>
          </w:tcPr>
          <w:p>
            <w:pPr>
              <w:pStyle w:val="TableContents"/>
              <w:bidi w:val="0"/>
              <w:spacing w:lineRule="atLeast" w:line="220" w:before="0" w:after="0"/>
              <w:jc w:val="center"/>
              <w:rPr/>
            </w:pPr>
            <w:r>
              <w:rPr>
                <w:spacing w:val="-2"/>
              </w:rPr>
              <w:t>Prior to the June 3, 2025 Annual Meeting</w:t>
            </w:r>
            <w:r>
              <w:rPr/>
              <w:t xml:space="preserve"> </w:t>
            </w:r>
          </w:p>
        </w:tc>
        <w:tc>
          <w:tcPr>
            <w:tcW w:w="109" w:type="dxa"/>
            <w:tcBorders>
              <w:bottom w:val="single" w:sz="2" w:space="0" w:color="000000"/>
            </w:tcBorders>
            <w:shd w:fill="E9F9D8" w:val="clear"/>
            <w:tcMar>
              <w:bottom w:w="28" w:type="dxa"/>
            </w:tcMar>
            <w:vAlign w:val="center"/>
          </w:tcPr>
          <w:p>
            <w:pPr>
              <w:pStyle w:val="TableContents"/>
              <w:bidi w:val="0"/>
              <w:spacing w:before="0" w:after="283"/>
              <w:jc w:val="left"/>
              <w:rPr/>
            </w:pPr>
            <w:r>
              <w:rPr/>
              <w:t>​</w:t>
            </w:r>
          </w:p>
        </w:tc>
        <w:tc>
          <w:tcPr>
            <w:tcW w:w="155" w:type="dxa"/>
            <w:tcBorders/>
            <w:shd w:fill="E9F9D8"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437" w:type="dxa"/>
            <w:tcBorders>
              <w:bottom w:val="single" w:sz="2" w:space="0" w:color="000000"/>
            </w:tcBorders>
            <w:tcMar>
              <w:bottom w:w="152" w:type="dxa"/>
            </w:tcMar>
            <w:vAlign w:val="center"/>
          </w:tcPr>
          <w:p>
            <w:pPr>
              <w:pStyle w:val="TableContents"/>
              <w:bidi w:val="0"/>
              <w:spacing w:before="0" w:after="283"/>
              <w:jc w:val="left"/>
              <w:rPr>
                <w:spacing w:val="-2"/>
              </w:rPr>
            </w:pPr>
            <w:r>
              <w:rPr>
                <w:spacing w:val="-2"/>
              </w:rPr>
              <w:t xml:space="preserve">Eliminate short term performance periods in long-term performance incentives plan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83AD40"/>
            </w:tcBorders>
            <w:shd w:fill="83AD4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8D8D8" w:val="clear"/>
            <w:tcMar>
              <w:bottom w:w="28" w:type="dxa"/>
            </w:tcMar>
            <w:vAlign w:val="center"/>
          </w:tcPr>
          <w:p>
            <w:pPr>
              <w:pStyle w:val="TableContents"/>
              <w:bidi w:val="0"/>
              <w:spacing w:before="0" w:after="283"/>
              <w:jc w:val="left"/>
              <w:rPr/>
            </w:pPr>
            <w:r>
              <w:rPr/>
              <w:t>​</w:t>
            </w:r>
          </w:p>
        </w:tc>
        <w:tc>
          <w:tcPr>
            <w:tcW w:w="5044" w:type="dxa"/>
            <w:tcBorders>
              <w:bottom w:val="single" w:sz="2" w:space="0" w:color="000000"/>
            </w:tcBorders>
            <w:shd w:fill="D8D8D8" w:val="clear"/>
            <w:tcMar>
              <w:bottom w:w="152" w:type="dxa"/>
            </w:tcMar>
            <w:vAlign w:val="center"/>
          </w:tcPr>
          <w:p>
            <w:pPr>
              <w:pStyle w:val="TableContents"/>
              <w:bidi w:val="0"/>
              <w:spacing w:lineRule="atLeast" w:line="180" w:before="0" w:after="0"/>
              <w:jc w:val="left"/>
              <w:rPr/>
            </w:pPr>
            <w:r>
              <w:rPr>
                <w:spacing w:val="-2"/>
                <w:u w:val="single"/>
              </w:rPr>
              <w:t>December 2024: CEO New Employment Agreement</w:t>
            </w:r>
            <w:r>
              <w:rPr/>
              <w:t xml:space="preserve"> </w:t>
            </w:r>
          </w:p>
          <w:p>
            <w:pPr>
              <w:pStyle w:val="TableContents"/>
              <w:bidi w:val="0"/>
              <w:spacing w:lineRule="atLeast" w:line="220" w:before="40" w:after="0"/>
              <w:ind w:left="140" w:right="0" w:hanging="0"/>
              <w:jc w:val="left"/>
              <w:rPr/>
            </w:pPr>
            <w:r>
              <w:rPr>
                <w:spacing w:val="-2"/>
              </w:rPr>
              <w:t>Eliminated short-term performance periods from long- term incentive plan</w:t>
            </w:r>
            <w:r>
              <w:rPr/>
              <w:t xml:space="preserve"> </w:t>
            </w:r>
            <w:r>
              <mc:AlternateContent>
                <mc:Choice Requires="wps">
                  <w:drawing>
                    <wp:anchor behindDoc="0" distT="25400" distB="0" distL="0" distR="0" simplePos="0" locked="0" layoutInCell="1" allowOverlap="1" relativeHeight="321">
                      <wp:simplePos x="0" y="0"/>
                      <wp:positionH relativeFrom="column">
                        <wp:align>left</wp:align>
                      </wp:positionH>
                      <wp:positionV relativeFrom="line">
                        <wp:align>top</wp:align>
                      </wp:positionV>
                      <wp:extent cx="88900" cy="525780"/>
                      <wp:effectExtent l="0" t="0" r="0" b="0"/>
                      <wp:wrapSquare wrapText="right"/>
                      <wp:docPr id="21" name="Frame19"/>
                      <a:graphic xmlns:a="http://schemas.openxmlformats.org/drawingml/2006/main">
                        <a:graphicData uri="http://schemas.microsoft.com/office/word/2010/wordprocessingShape">
                          <wps:wsp>
                            <wps:cNvSpPr txBox="1"/>
                            <wps:spPr>
                              <a:xfrm>
                                <a:off x="0" y="0"/>
                                <a:ext cx="88900" cy="52578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7pt;height:41.4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40" w:after="0"/>
              <w:ind w:left="140" w:right="0" w:hanging="0"/>
              <w:jc w:val="left"/>
              <w:rPr/>
            </w:pPr>
            <w:r>
              <w:rPr>
                <w:spacing w:val="-2"/>
              </w:rPr>
              <w:t>Adopted exclusively three-year performance goals in long-term performance equity awards</w:t>
            </w:r>
            <w:r>
              <w:rPr/>
              <w:t xml:space="preserve"> </w:t>
            </w:r>
            <w:r>
              <mc:AlternateContent>
                <mc:Choice Requires="wps">
                  <w:drawing>
                    <wp:anchor behindDoc="0" distT="25400" distB="0" distL="0" distR="0" simplePos="0" locked="0" layoutInCell="1" allowOverlap="1" relativeHeight="322">
                      <wp:simplePos x="0" y="0"/>
                      <wp:positionH relativeFrom="column">
                        <wp:align>left</wp:align>
                      </wp:positionH>
                      <wp:positionV relativeFrom="line">
                        <wp:align>top</wp:align>
                      </wp:positionV>
                      <wp:extent cx="88900" cy="525780"/>
                      <wp:effectExtent l="0" t="0" r="0" b="0"/>
                      <wp:wrapSquare wrapText="right"/>
                      <wp:docPr id="22" name="Frame20"/>
                      <a:graphic xmlns:a="http://schemas.openxmlformats.org/drawingml/2006/main">
                        <a:graphicData uri="http://schemas.microsoft.com/office/word/2010/wordprocessingShape">
                          <wps:wsp>
                            <wps:cNvSpPr txBox="1"/>
                            <wps:spPr>
                              <a:xfrm>
                                <a:off x="0" y="0"/>
                                <a:ext cx="88900" cy="52578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7pt;height:41.4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40" w:after="0"/>
              <w:ind w:left="140" w:right="0" w:hanging="0"/>
              <w:jc w:val="left"/>
              <w:rPr/>
            </w:pPr>
            <w:r>
              <w:rPr>
                <w:spacing w:val="-2"/>
              </w:rPr>
              <w:t>Reduced target value from $7.5 million to $5.0 million in annual long-term performance-based equity awards</w:t>
            </w:r>
            <w:r>
              <w:rPr/>
              <w:t xml:space="preserve"> </w:t>
            </w:r>
            <w:r>
              <mc:AlternateContent>
                <mc:Choice Requires="wps">
                  <w:drawing>
                    <wp:anchor behindDoc="0" distT="25400" distB="0" distL="0" distR="0" simplePos="0" locked="0" layoutInCell="1" allowOverlap="1" relativeHeight="323">
                      <wp:simplePos x="0" y="0"/>
                      <wp:positionH relativeFrom="column">
                        <wp:align>left</wp:align>
                      </wp:positionH>
                      <wp:positionV relativeFrom="line">
                        <wp:align>top</wp:align>
                      </wp:positionV>
                      <wp:extent cx="88900" cy="525780"/>
                      <wp:effectExtent l="0" t="0" r="0" b="0"/>
                      <wp:wrapSquare wrapText="right"/>
                      <wp:docPr id="23" name="Frame21"/>
                      <a:graphic xmlns:a="http://schemas.openxmlformats.org/drawingml/2006/main">
                        <a:graphicData uri="http://schemas.microsoft.com/office/word/2010/wordprocessingShape">
                          <wps:wsp>
                            <wps:cNvSpPr txBox="1"/>
                            <wps:spPr>
                              <a:xfrm>
                                <a:off x="0" y="0"/>
                                <a:ext cx="88900" cy="52578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7pt;height:41.4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000000"/>
            </w:tcBorders>
            <w:shd w:fill="D8D8D8" w:val="clear"/>
            <w:tcMar>
              <w:bottom w:w="28" w:type="dxa"/>
            </w:tcMar>
            <w:vAlign w:val="center"/>
          </w:tcPr>
          <w:p>
            <w:pPr>
              <w:pStyle w:val="TableContents"/>
              <w:bidi w:val="0"/>
              <w:spacing w:before="0" w:after="283"/>
              <w:jc w:val="left"/>
              <w:rPr/>
            </w:pPr>
            <w:r>
              <w:rPr/>
              <w:t>​</w:t>
            </w:r>
          </w:p>
        </w:tc>
        <w:tc>
          <w:tcPr>
            <w:tcW w:w="155" w:type="dxa"/>
            <w:tcBorders/>
            <w:shd w:fill="D8D8D8"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83AD40"/>
            </w:tcBorders>
            <w:tcMar>
              <w:bottom w:w="28" w:type="dxa"/>
            </w:tcMar>
            <w:vAlign w:val="center"/>
          </w:tcPr>
          <w:p>
            <w:pPr>
              <w:pStyle w:val="TableContents"/>
              <w:bidi w:val="0"/>
              <w:spacing w:before="0" w:after="283"/>
              <w:jc w:val="left"/>
              <w:rPr/>
            </w:pPr>
            <w:r>
              <w:rPr/>
              <w:t>​</w:t>
            </w:r>
          </w:p>
        </w:tc>
        <w:tc>
          <w:tcPr>
            <w:tcW w:w="3437" w:type="dxa"/>
            <w:tcBorders>
              <w:bottom w:val="single" w:sz="6" w:space="0" w:color="83AD40"/>
            </w:tcBorders>
            <w:tcMar>
              <w:bottom w:w="28" w:type="dxa"/>
            </w:tcMar>
            <w:vAlign w:val="center"/>
          </w:tcPr>
          <w:p>
            <w:pPr>
              <w:pStyle w:val="TableContents"/>
              <w:bidi w:val="0"/>
              <w:spacing w:before="0" w:after="283"/>
              <w:jc w:val="left"/>
              <w:rPr>
                <w:spacing w:val="-2"/>
              </w:rPr>
            </w:pPr>
            <w:r>
              <w:rPr>
                <w:spacing w:val="-2"/>
              </w:rPr>
              <w:t xml:space="preserve">Update cash severance basis to “average” and eliminate “maximum bonus” </w:t>
            </w:r>
          </w:p>
        </w:tc>
        <w:tc>
          <w:tcPr>
            <w:tcW w:w="109" w:type="dxa"/>
            <w:tcBorders>
              <w:bottom w:val="single" w:sz="6" w:space="0" w:color="83AD40"/>
            </w:tcBorders>
            <w:tcMar>
              <w:bottom w:w="28" w:type="dxa"/>
            </w:tcMar>
            <w:vAlign w:val="center"/>
          </w:tcPr>
          <w:p>
            <w:pPr>
              <w:pStyle w:val="TableContents"/>
              <w:bidi w:val="0"/>
              <w:spacing w:before="0" w:after="283"/>
              <w:jc w:val="left"/>
              <w:rPr/>
            </w:pPr>
            <w:r>
              <w:rPr/>
              <w:t>​</w:t>
            </w:r>
          </w:p>
        </w:tc>
        <w:tc>
          <w:tcPr>
            <w:tcW w:w="109" w:type="dxa"/>
            <w:tcBorders>
              <w:bottom w:val="single" w:sz="6" w:space="0" w:color="83AD40"/>
            </w:tcBorders>
            <w:shd w:fill="83AD40" w:val="clear"/>
            <w:tcMar>
              <w:bottom w:w="28" w:type="dxa"/>
            </w:tcMar>
            <w:vAlign w:val="center"/>
          </w:tcPr>
          <w:p>
            <w:pPr>
              <w:pStyle w:val="TableContents"/>
              <w:bidi w:val="0"/>
              <w:spacing w:before="0" w:after="283"/>
              <w:jc w:val="left"/>
              <w:rPr/>
            </w:pPr>
            <w:r>
              <w:rPr/>
              <w:t>​</w:t>
            </w:r>
          </w:p>
        </w:tc>
        <w:tc>
          <w:tcPr>
            <w:tcW w:w="109" w:type="dxa"/>
            <w:tcBorders>
              <w:bottom w:val="single" w:sz="6" w:space="0" w:color="83AD40"/>
            </w:tcBorders>
            <w:shd w:fill="D8D8D8" w:val="clear"/>
            <w:tcMar>
              <w:bottom w:w="28" w:type="dxa"/>
            </w:tcMar>
            <w:vAlign w:val="center"/>
          </w:tcPr>
          <w:p>
            <w:pPr>
              <w:pStyle w:val="TableContents"/>
              <w:bidi w:val="0"/>
              <w:spacing w:before="0" w:after="283"/>
              <w:jc w:val="left"/>
              <w:rPr/>
            </w:pPr>
            <w:r>
              <w:rPr/>
              <w:t>​</w:t>
            </w:r>
          </w:p>
        </w:tc>
        <w:tc>
          <w:tcPr>
            <w:tcW w:w="5044" w:type="dxa"/>
            <w:tcBorders>
              <w:bottom w:val="single" w:sz="6" w:space="0" w:color="83AD40"/>
            </w:tcBorders>
            <w:shd w:fill="D8D8D8" w:val="clear"/>
            <w:tcMar>
              <w:bottom w:w="28" w:type="dxa"/>
            </w:tcMar>
            <w:vAlign w:val="center"/>
          </w:tcPr>
          <w:p>
            <w:pPr>
              <w:pStyle w:val="TableContents"/>
              <w:bidi w:val="0"/>
              <w:spacing w:before="0" w:after="283"/>
              <w:jc w:val="left"/>
              <w:rPr/>
            </w:pPr>
            <w:r>
              <w:rPr>
                <w:spacing w:val="-2"/>
                <w:u w:val="single"/>
              </w:rPr>
              <w:t>December 2024: CEO New Employment Agreement</w:t>
            </w:r>
            <w:r>
              <w:rPr>
                <w:spacing w:val="-2"/>
              </w:rPr>
              <w:t xml:space="preserve"> Reduced cash severance basis from “maximum bonus” to “average bonus in prior two years”</w:t>
            </w:r>
            <w:r>
              <w:rPr/>
              <w:t xml:space="preserve"> </w:t>
            </w:r>
          </w:p>
        </w:tc>
        <w:tc>
          <w:tcPr>
            <w:tcW w:w="109" w:type="dxa"/>
            <w:tcBorders>
              <w:bottom w:val="single" w:sz="6" w:space="0" w:color="83AD40"/>
            </w:tcBorders>
            <w:shd w:fill="D8D8D8" w:val="clear"/>
            <w:tcMar>
              <w:bottom w:w="28" w:type="dxa"/>
            </w:tcMar>
            <w:vAlign w:val="center"/>
          </w:tcPr>
          <w:p>
            <w:pPr>
              <w:pStyle w:val="TableContents"/>
              <w:bidi w:val="0"/>
              <w:spacing w:before="0" w:after="283"/>
              <w:jc w:val="left"/>
              <w:rPr/>
            </w:pPr>
            <w:r>
              <w:rPr/>
              <w:t>​</w:t>
            </w:r>
          </w:p>
        </w:tc>
        <w:tc>
          <w:tcPr>
            <w:tcW w:w="155" w:type="dxa"/>
            <w:tcBorders/>
            <w:shd w:fill="D8D8D8" w:val="clear"/>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933" w:type="dxa"/>
        <w:jc w:val="left"/>
        <w:tblInd w:w="900" w:type="dxa"/>
        <w:tblLayout w:type="fixed"/>
        <w:tblCellMar>
          <w:top w:w="0" w:type="dxa"/>
          <w:left w:w="0" w:type="dxa"/>
          <w:bottom w:w="0" w:type="dxa"/>
          <w:right w:w="0" w:type="dxa"/>
        </w:tblCellMar>
      </w:tblPr>
      <w:tblGrid>
        <w:gridCol w:w="124"/>
        <w:gridCol w:w="211"/>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211" w:type="dxa"/>
            <w:tcBorders/>
            <w:vAlign w:val="center"/>
          </w:tcPr>
          <w:p>
            <w:pPr>
              <w:pStyle w:val="TableContents"/>
              <w:bidi w:val="0"/>
              <w:spacing w:lineRule="atLeast" w:line="200"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0"/>
              <w:jc w:val="right"/>
              <w:rPr>
                <w:color w:val="1F2668"/>
                <w:sz w:val="24"/>
              </w:rPr>
            </w:pPr>
            <w:r>
              <w:rPr>
                <w:color w:val="1F2668"/>
                <w:sz w:val="24"/>
              </w:rPr>
              <w:t>3</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360" w:before="560" w:after="154"/>
        <w:ind w:left="900" w:right="0" w:hanging="0"/>
        <w:jc w:val="left"/>
        <w:rPr>
          <w:rFonts w:ascii="Arial;Helvetica;sans-serif" w:hAnsi="Arial;Helvetica;sans-serif"/>
          <w:b/>
          <w:i w:val="false"/>
          <w:caps w:val="false"/>
          <w:smallCaps w:val="false"/>
          <w:color w:val="83AD40"/>
          <w:sz w:val="32"/>
        </w:rPr>
      </w:pPr>
      <w:r>
        <w:rPr>
          <w:rFonts w:ascii="Arial;Helvetica;sans-serif" w:hAnsi="Arial;Helvetica;sans-serif"/>
          <w:b/>
          <w:i w:val="false"/>
          <w:caps/>
          <w:color w:val="83AD40"/>
          <w:spacing w:val="-3"/>
          <w:sz w:val="32"/>
        </w:rPr>
        <w:t>TRANSFORMATION OF EXECUTIVE PAY REFLECTS STOCKHOLDER FEEDBACK, WITH FOCUS ON CREATING SUSTAINABLE STOCKHOLDER VALUE</w:t>
      </w:r>
      <w:r>
        <w:rPr>
          <w:rFonts w:ascii="Arial;Helvetica;sans-serif" w:hAnsi="Arial;Helvetica;sans-serif"/>
          <w:b/>
          <w:i w:val="false"/>
          <w:caps w:val="false"/>
          <w:smallCaps w:val="false"/>
          <w:color w:val="000000"/>
          <w:spacing w:val="6"/>
          <w:sz w:val="32"/>
        </w:rPr>
        <w:t xml:space="preserve"> </w:t>
      </w:r>
    </w:p>
    <w:tbl>
      <w:tblPr>
        <w:tblW w:w="9305" w:type="dxa"/>
        <w:jc w:val="left"/>
        <w:tblInd w:w="900" w:type="dxa"/>
        <w:tblLayout w:type="fixed"/>
        <w:tblCellMar>
          <w:top w:w="0" w:type="dxa"/>
          <w:left w:w="0" w:type="dxa"/>
          <w:bottom w:w="28" w:type="dxa"/>
          <w:right w:w="0" w:type="dxa"/>
        </w:tblCellMar>
      </w:tblPr>
      <w:tblGrid>
        <w:gridCol w:w="124"/>
        <w:gridCol w:w="1523"/>
        <w:gridCol w:w="109"/>
        <w:gridCol w:w="109"/>
        <w:gridCol w:w="109"/>
        <w:gridCol w:w="7176"/>
        <w:gridCol w:w="155"/>
      </w:tblGrid>
      <w:tr>
        <w:trPr/>
        <w:tc>
          <w:tcPr>
            <w:tcW w:w="124" w:type="dxa"/>
            <w:tcBorders>
              <w:bottom w:val="single" w:sz="8" w:space="0" w:color="83AD40"/>
            </w:tcBorders>
            <w:shd w:fill="E9F9D8" w:val="clear"/>
            <w:vAlign w:val="center"/>
          </w:tcPr>
          <w:p>
            <w:pPr>
              <w:pStyle w:val="TableContents"/>
              <w:bidi w:val="0"/>
              <w:spacing w:before="0" w:after="283"/>
              <w:jc w:val="left"/>
              <w:rPr/>
            </w:pPr>
            <w:r>
              <w:rPr/>
              <w:t>​</w:t>
            </w:r>
          </w:p>
        </w:tc>
        <w:tc>
          <w:tcPr>
            <w:tcW w:w="1523" w:type="dxa"/>
            <w:tcBorders>
              <w:bottom w:val="single" w:sz="8" w:space="0" w:color="83AD40"/>
            </w:tcBorders>
            <w:shd w:fill="E9F9D8" w:val="clear"/>
            <w:vAlign w:val="center"/>
          </w:tcPr>
          <w:p>
            <w:pPr>
              <w:pStyle w:val="TableContents"/>
              <w:bidi w:val="0"/>
              <w:spacing w:lineRule="atLeast" w:line="203" w:before="0" w:after="0"/>
              <w:jc w:val="left"/>
              <w:rPr/>
            </w:pPr>
            <w:r>
              <w:rPr>
                <w:spacing w:val="-2"/>
              </w:rPr>
              <w:t>Pay Element</w:t>
            </w:r>
            <w:r>
              <w:rPr/>
              <w:t xml:space="preserve"> </w:t>
            </w:r>
          </w:p>
        </w:tc>
        <w:tc>
          <w:tcPr>
            <w:tcW w:w="109" w:type="dxa"/>
            <w:tcBorders>
              <w:bottom w:val="single" w:sz="8" w:space="0" w:color="83AD40"/>
            </w:tcBorders>
            <w:shd w:fill="E9F9D8" w:val="clear"/>
            <w:vAlign w:val="center"/>
          </w:tcPr>
          <w:p>
            <w:pPr>
              <w:pStyle w:val="TableContents"/>
              <w:bidi w:val="0"/>
              <w:spacing w:before="0" w:after="283"/>
              <w:jc w:val="left"/>
              <w:rPr/>
            </w:pPr>
            <w:r>
              <w:rPr/>
              <w:t>​</w:t>
            </w:r>
          </w:p>
        </w:tc>
        <w:tc>
          <w:tcPr>
            <w:tcW w:w="109" w:type="dxa"/>
            <w:tcBorders>
              <w:bottom w:val="single" w:sz="8" w:space="0" w:color="FFFFFF"/>
            </w:tcBorders>
            <w:shd w:fill="FFFFFF" w:val="clear"/>
            <w:vAlign w:val="center"/>
          </w:tcPr>
          <w:p>
            <w:pPr>
              <w:pStyle w:val="TableContents"/>
              <w:bidi w:val="0"/>
              <w:spacing w:before="0" w:after="283"/>
              <w:jc w:val="left"/>
              <w:rPr/>
            </w:pPr>
            <w:r>
              <w:rPr/>
              <w:t>​</w:t>
            </w:r>
          </w:p>
        </w:tc>
        <w:tc>
          <w:tcPr>
            <w:tcW w:w="109" w:type="dxa"/>
            <w:tcBorders>
              <w:bottom w:val="single" w:sz="8" w:space="0" w:color="83AD40"/>
            </w:tcBorders>
            <w:shd w:fill="E9F9D8" w:val="clear"/>
            <w:vAlign w:val="center"/>
          </w:tcPr>
          <w:p>
            <w:pPr>
              <w:pStyle w:val="TableContents"/>
              <w:bidi w:val="0"/>
              <w:spacing w:before="0" w:after="283"/>
              <w:jc w:val="left"/>
              <w:rPr/>
            </w:pPr>
            <w:r>
              <w:rPr/>
              <w:t>​</w:t>
            </w:r>
          </w:p>
        </w:tc>
        <w:tc>
          <w:tcPr>
            <w:tcW w:w="7176" w:type="dxa"/>
            <w:tcBorders>
              <w:bottom w:val="single" w:sz="8" w:space="0" w:color="83AD40"/>
            </w:tcBorders>
            <w:shd w:fill="E9F9D8" w:val="clear"/>
            <w:vAlign w:val="center"/>
          </w:tcPr>
          <w:p>
            <w:pPr>
              <w:pStyle w:val="TableContents"/>
              <w:bidi w:val="0"/>
              <w:spacing w:lineRule="atLeast" w:line="203" w:before="0" w:after="0"/>
              <w:jc w:val="center"/>
              <w:rPr/>
            </w:pPr>
            <w:r>
              <w:rPr>
                <w:spacing w:val="-2"/>
              </w:rPr>
              <w:t>Evolution of Executive Pay (2019–2026)</w:t>
            </w:r>
            <w:r>
              <w:rPr/>
              <w:t xml:space="preserve"> </w:t>
            </w:r>
          </w:p>
        </w:tc>
        <w:tc>
          <w:tcPr>
            <w:tcW w:w="155" w:type="dxa"/>
            <w:tcBorders>
              <w:bottom w:val="single" w:sz="8" w:space="0" w:color="83AD40"/>
            </w:tcBorders>
            <w:shd w:fill="E9F9D8" w:val="clear"/>
            <w:vAlign w:val="center"/>
          </w:tcPr>
          <w:p>
            <w:pPr>
              <w:pStyle w:val="TableContents"/>
              <w:bidi w:val="0"/>
              <w:spacing w:before="0" w:after="283"/>
              <w:jc w:val="left"/>
              <w:rPr/>
            </w:pPr>
            <w:r>
              <w:rPr/>
              <w:t>​</w:t>
            </w:r>
          </w:p>
        </w:tc>
      </w:tr>
      <w:tr>
        <w:trPr/>
        <w:tc>
          <w:tcPr>
            <w:tcW w:w="124" w:type="dxa"/>
            <w:vMerge w:val="restart"/>
            <w:tcBorders>
              <w:bottom w:val="single" w:sz="8" w:space="0" w:color="83AD40"/>
            </w:tcBorders>
            <w:shd w:fill="E9F9D8" w:val="clear"/>
            <w:vAlign w:val="center"/>
          </w:tcPr>
          <w:p>
            <w:pPr>
              <w:pStyle w:val="TableContents"/>
              <w:bidi w:val="0"/>
              <w:spacing w:before="0" w:after="283"/>
              <w:jc w:val="left"/>
              <w:rPr/>
            </w:pPr>
            <w:r>
              <w:rPr/>
              <w:t>​</w:t>
            </w:r>
          </w:p>
        </w:tc>
        <w:tc>
          <w:tcPr>
            <w:tcW w:w="1523" w:type="dxa"/>
            <w:vMerge w:val="restart"/>
            <w:tcBorders>
              <w:bottom w:val="single" w:sz="8" w:space="0" w:color="83AD40"/>
            </w:tcBorders>
            <w:shd w:fill="E9F9D8" w:val="clear"/>
            <w:vAlign w:val="center"/>
          </w:tcPr>
          <w:p>
            <w:pPr>
              <w:pStyle w:val="TableContents"/>
              <w:bidi w:val="0"/>
              <w:spacing w:lineRule="atLeast" w:line="220" w:before="0" w:after="0"/>
              <w:jc w:val="left"/>
              <w:rPr>
                <w:b/>
              </w:rPr>
            </w:pPr>
            <w:r>
              <w:rPr>
                <w:b/>
                <w:spacing w:val="-2"/>
              </w:rPr>
              <w:t>Base Salary</w:t>
            </w:r>
            <w:r>
              <w:rPr>
                <w:b/>
              </w:rPr>
              <w:t xml:space="preserve"> </w:t>
            </w:r>
          </w:p>
        </w:tc>
        <w:tc>
          <w:tcPr>
            <w:tcW w:w="109" w:type="dxa"/>
            <w:vMerge w:val="restart"/>
            <w:tcBorders>
              <w:bottom w:val="single" w:sz="8" w:space="0" w:color="83AD40"/>
            </w:tcBorders>
            <w:shd w:fill="E9F9D8" w:val="clear"/>
            <w:vAlign w:val="center"/>
          </w:tcPr>
          <w:p>
            <w:pPr>
              <w:pStyle w:val="TableContents"/>
              <w:bidi w:val="0"/>
              <w:spacing w:before="0" w:after="283"/>
              <w:jc w:val="left"/>
              <w:rPr/>
            </w:pPr>
            <w:r>
              <w:rPr/>
              <w:t>​</w:t>
            </w:r>
          </w:p>
        </w:tc>
        <w:tc>
          <w:tcPr>
            <w:tcW w:w="109" w:type="dxa"/>
            <w:vMerge w:val="restart"/>
            <w:tcBorders>
              <w:bottom w:val="single" w:sz="8"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76" w:type="dxa"/>
            <w:tcBorders/>
            <w:tcMar>
              <w:bottom w:w="0" w:type="dxa"/>
            </w:tcMar>
            <w:vAlign w:val="center"/>
          </w:tcPr>
          <w:p>
            <w:pPr>
              <w:pStyle w:val="TableContents"/>
              <w:bidi w:val="0"/>
              <w:spacing w:lineRule="atLeast" w:line="180" w:before="0" w:after="0"/>
              <w:ind w:left="240" w:right="0" w:hanging="0"/>
              <w:jc w:val="left"/>
              <w:rPr>
                <w:spacing w:val="-2"/>
              </w:rPr>
            </w:pPr>
            <w:r>
              <w:rPr>
                <w:spacing w:val="-2"/>
              </w:rPr>
              <w:t xml:space="preserve">Remains the only fixed pay element </w:t>
            </w:r>
            <w:r>
              <mc:AlternateContent>
                <mc:Choice Requires="wps">
                  <w:drawing>
                    <wp:anchor behindDoc="0" distT="0" distB="0" distL="0" distR="0" simplePos="0" locked="0" layoutInCell="1" allowOverlap="1" relativeHeight="324">
                      <wp:simplePos x="0" y="0"/>
                      <wp:positionH relativeFrom="column">
                        <wp:align>left</wp:align>
                      </wp:positionH>
                      <wp:positionV relativeFrom="line">
                        <wp:posOffset>635</wp:posOffset>
                      </wp:positionV>
                      <wp:extent cx="152400" cy="525780"/>
                      <wp:effectExtent l="0" t="0" r="0" b="0"/>
                      <wp:wrapSquare wrapText="right"/>
                      <wp:docPr id="24" name="Frame22"/>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180" w:before="0" w:after="283"/>
                                    <w:jc w:val="left"/>
                                    <w:rPr/>
                                  </w:pPr>
                                  <w:r>
                                    <w:rPr>
                                      <w:color w:val="83AD4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83AD4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60" w:after="0"/>
              <w:ind w:left="240" w:right="0" w:hanging="0"/>
              <w:jc w:val="left"/>
              <w:rPr>
                <w:spacing w:val="-2"/>
              </w:rPr>
            </w:pPr>
            <w:r>
              <w:rPr>
                <w:spacing w:val="-2"/>
              </w:rPr>
              <w:t xml:space="preserve">Base salaries determined under respective employment agreements with no guaranteed increases each year </w:t>
            </w:r>
            <w:r>
              <mc:AlternateContent>
                <mc:Choice Requires="wps">
                  <w:drawing>
                    <wp:anchor behindDoc="0" distT="101600" distB="0" distL="0" distR="0" simplePos="0" locked="0" layoutInCell="1" allowOverlap="1" relativeHeight="325">
                      <wp:simplePos x="0" y="0"/>
                      <wp:positionH relativeFrom="column">
                        <wp:align>left</wp:align>
                      </wp:positionH>
                      <wp:positionV relativeFrom="line">
                        <wp:align>top</wp:align>
                      </wp:positionV>
                      <wp:extent cx="152400" cy="525780"/>
                      <wp:effectExtent l="0" t="0" r="0" b="0"/>
                      <wp:wrapSquare wrapText="right"/>
                      <wp:docPr id="25" name="Frame23"/>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20" w:before="0" w:after="283"/>
                                    <w:jc w:val="left"/>
                                    <w:rPr/>
                                  </w:pPr>
                                  <w:r>
                                    <w:rPr>
                                      <w:color w:val="83AD4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83AD4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vMerge w:val="continue"/>
            <w:tcBorders>
              <w:bottom w:val="single" w:sz="8" w:space="0" w:color="83AD40"/>
            </w:tcBorders>
            <w:shd w:fill="E9F9D8" w:val="clear"/>
            <w:vAlign w:val="center"/>
          </w:tcPr>
          <w:p>
            <w:pPr>
              <w:pStyle w:val="Normal"/>
              <w:bidi w:val="0"/>
              <w:jc w:val="left"/>
              <w:rPr/>
            </w:pPr>
            <w:r>
              <w:rPr/>
            </w:r>
          </w:p>
        </w:tc>
        <w:tc>
          <w:tcPr>
            <w:tcW w:w="1523" w:type="dxa"/>
            <w:vMerge w:val="continue"/>
            <w:tcBorders>
              <w:bottom w:val="single" w:sz="8" w:space="0" w:color="83AD40"/>
            </w:tcBorders>
            <w:shd w:fill="E9F9D8" w:val="clear"/>
            <w:vAlign w:val="center"/>
          </w:tcPr>
          <w:p>
            <w:pPr>
              <w:pStyle w:val="Normal"/>
              <w:bidi w:val="0"/>
              <w:jc w:val="left"/>
              <w:rPr/>
            </w:pPr>
            <w:r>
              <w:rPr/>
            </w:r>
          </w:p>
        </w:tc>
        <w:tc>
          <w:tcPr>
            <w:tcW w:w="109" w:type="dxa"/>
            <w:vMerge w:val="continue"/>
            <w:tcBorders>
              <w:bottom w:val="single" w:sz="8" w:space="0" w:color="83AD40"/>
            </w:tcBorders>
            <w:shd w:fill="E9F9D8" w:val="clear"/>
            <w:vAlign w:val="center"/>
          </w:tcPr>
          <w:p>
            <w:pPr>
              <w:pStyle w:val="Normal"/>
              <w:bidi w:val="0"/>
              <w:jc w:val="left"/>
              <w:rPr/>
            </w:pPr>
            <w:r>
              <w:rPr/>
            </w:r>
          </w:p>
        </w:tc>
        <w:tc>
          <w:tcPr>
            <w:tcW w:w="109" w:type="dxa"/>
            <w:vMerge w:val="continue"/>
            <w:tcBorders>
              <w:bottom w:val="single" w:sz="8" w:space="0" w:color="FFFFFF"/>
            </w:tcBorders>
            <w:shd w:fill="FFFFFF" w:val="clear"/>
            <w:vAlign w:val="center"/>
          </w:tcPr>
          <w:p>
            <w:pPr>
              <w:pStyle w:val="Normal"/>
              <w:bidi w:val="0"/>
              <w:jc w:val="left"/>
              <w:rPr/>
            </w:pPr>
            <w:r>
              <w:rPr/>
            </w:r>
          </w:p>
        </w:tc>
        <w:tc>
          <w:tcPr>
            <w:tcW w:w="109" w:type="dxa"/>
            <w:tcBorders>
              <w:bottom w:val="single" w:sz="8" w:space="0" w:color="83AD40"/>
            </w:tcBorders>
            <w:shd w:fill="83AD40" w:val="clear"/>
            <w:vAlign w:val="center"/>
          </w:tcPr>
          <w:p>
            <w:pPr>
              <w:pStyle w:val="TableContents"/>
              <w:bidi w:val="0"/>
              <w:spacing w:before="0" w:after="283"/>
              <w:jc w:val="left"/>
              <w:rPr/>
            </w:pPr>
            <w:r>
              <w:rPr/>
              <w:t>​</w:t>
            </w:r>
          </w:p>
        </w:tc>
        <w:tc>
          <w:tcPr>
            <w:tcW w:w="7176" w:type="dxa"/>
            <w:tcBorders>
              <w:bottom w:val="single" w:sz="8" w:space="0" w:color="83AD40"/>
            </w:tcBorders>
            <w:shd w:fill="83AD40" w:val="clear"/>
            <w:vAlign w:val="center"/>
          </w:tcPr>
          <w:p>
            <w:pPr>
              <w:pStyle w:val="TableContents"/>
              <w:bidi w:val="0"/>
              <w:spacing w:lineRule="atLeast" w:line="180" w:before="0" w:after="0"/>
              <w:jc w:val="left"/>
              <w:rPr/>
            </w:pPr>
            <w:r>
              <w:rPr>
                <w:spacing w:val="-2"/>
              </w:rPr>
              <w:t>In response to stockholder feedback:</w:t>
            </w:r>
            <w:r>
              <w:rPr/>
              <w:t xml:space="preserve"> </w:t>
            </w:r>
          </w:p>
          <w:p>
            <w:pPr>
              <w:pStyle w:val="TableContents"/>
              <w:bidi w:val="0"/>
              <w:spacing w:lineRule="atLeast" w:line="180" w:before="160" w:after="0"/>
              <w:ind w:left="240" w:right="0" w:hanging="0"/>
              <w:jc w:val="left"/>
              <w:rPr>
                <w:b w:val="false"/>
              </w:rPr>
            </w:pPr>
            <w:r>
              <w:rPr>
                <w:b/>
                <w:spacing w:val="-2"/>
              </w:rPr>
              <w:t>Deferred Compensation pay element was eliminated</w:t>
            </w:r>
            <w:r>
              <w:rPr>
                <w:b w:val="false"/>
              </w:rPr>
              <w:t xml:space="preserve"> </w:t>
            </w:r>
            <w:r>
              <mc:AlternateContent>
                <mc:Choice Requires="wps">
                  <w:drawing>
                    <wp:anchor behindDoc="0" distT="101600" distB="0" distL="0" distR="0" simplePos="0" locked="0" layoutInCell="1" allowOverlap="1" relativeHeight="326">
                      <wp:simplePos x="0" y="0"/>
                      <wp:positionH relativeFrom="column">
                        <wp:align>left</wp:align>
                      </wp:positionH>
                      <wp:positionV relativeFrom="line">
                        <wp:align>top</wp:align>
                      </wp:positionV>
                      <wp:extent cx="152400" cy="525780"/>
                      <wp:effectExtent l="0" t="0" r="0" b="0"/>
                      <wp:wrapSquare wrapText="right"/>
                      <wp:docPr id="26" name="Frame24"/>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 w:val="false"/>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 w:val="false"/>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bottom w:val="single" w:sz="8" w:space="0" w:color="83AD40"/>
            </w:tcBorders>
            <w:shd w:fill="83AD40" w:val="clear"/>
            <w:vAlign w:val="center"/>
          </w:tcPr>
          <w:p>
            <w:pPr>
              <w:pStyle w:val="TableContents"/>
              <w:bidi w:val="0"/>
              <w:spacing w:before="0" w:after="283"/>
              <w:jc w:val="left"/>
              <w:rPr/>
            </w:pPr>
            <w:r>
              <w:rPr/>
              <w:t>​</w:t>
            </w:r>
          </w:p>
        </w:tc>
      </w:tr>
      <w:tr>
        <w:trPr/>
        <w:tc>
          <w:tcPr>
            <w:tcW w:w="124" w:type="dxa"/>
            <w:vMerge w:val="restart"/>
            <w:tcBorders>
              <w:bottom w:val="single" w:sz="8" w:space="0" w:color="83AD40"/>
            </w:tcBorders>
            <w:shd w:fill="E9F9D8" w:val="clear"/>
            <w:vAlign w:val="center"/>
          </w:tcPr>
          <w:p>
            <w:pPr>
              <w:pStyle w:val="TableContents"/>
              <w:bidi w:val="0"/>
              <w:spacing w:before="0" w:after="283"/>
              <w:jc w:val="left"/>
              <w:rPr/>
            </w:pPr>
            <w:r>
              <w:rPr/>
              <w:t>​</w:t>
            </w:r>
          </w:p>
        </w:tc>
        <w:tc>
          <w:tcPr>
            <w:tcW w:w="1523" w:type="dxa"/>
            <w:vMerge w:val="restart"/>
            <w:tcBorders>
              <w:bottom w:val="single" w:sz="8" w:space="0" w:color="83AD40"/>
            </w:tcBorders>
            <w:shd w:fill="E9F9D8" w:val="clear"/>
            <w:vAlign w:val="center"/>
          </w:tcPr>
          <w:p>
            <w:pPr>
              <w:pStyle w:val="TableContents"/>
              <w:bidi w:val="0"/>
              <w:spacing w:lineRule="atLeast" w:line="220" w:before="0" w:after="0"/>
              <w:jc w:val="left"/>
              <w:rPr>
                <w:b/>
              </w:rPr>
            </w:pPr>
            <w:r>
              <w:rPr>
                <w:b/>
                <w:spacing w:val="-2"/>
              </w:rPr>
              <w:t>Annual Bonus</w:t>
            </w:r>
            <w:r>
              <w:rPr>
                <w:b/>
              </w:rPr>
              <w:t xml:space="preserve"> </w:t>
            </w:r>
          </w:p>
        </w:tc>
        <w:tc>
          <w:tcPr>
            <w:tcW w:w="109" w:type="dxa"/>
            <w:vMerge w:val="restart"/>
            <w:tcBorders>
              <w:bottom w:val="single" w:sz="8" w:space="0" w:color="83AD40"/>
            </w:tcBorders>
            <w:shd w:fill="E9F9D8" w:val="clear"/>
            <w:vAlign w:val="center"/>
          </w:tcPr>
          <w:p>
            <w:pPr>
              <w:pStyle w:val="TableContents"/>
              <w:bidi w:val="0"/>
              <w:spacing w:before="0" w:after="283"/>
              <w:jc w:val="left"/>
              <w:rPr/>
            </w:pPr>
            <w:r>
              <w:rPr/>
              <w:t>​</w:t>
            </w:r>
          </w:p>
        </w:tc>
        <w:tc>
          <w:tcPr>
            <w:tcW w:w="109" w:type="dxa"/>
            <w:vMerge w:val="restart"/>
            <w:tcBorders>
              <w:bottom w:val="single" w:sz="8"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76" w:type="dxa"/>
            <w:tcBorders/>
            <w:tcMar>
              <w:bottom w:w="0" w:type="dxa"/>
            </w:tcMar>
            <w:vAlign w:val="center"/>
          </w:tcPr>
          <w:p>
            <w:pPr>
              <w:pStyle w:val="TableContents"/>
              <w:bidi w:val="0"/>
              <w:spacing w:lineRule="atLeast" w:line="220" w:before="0" w:after="0"/>
              <w:ind w:left="240" w:right="0" w:hanging="0"/>
              <w:jc w:val="left"/>
              <w:rPr/>
            </w:pPr>
            <w:r>
              <w:rPr>
                <w:spacing w:val="-2"/>
              </w:rPr>
              <w:t>Primarily performance-based incentive structure with payouts determined based on Company performance against preset financial and operational goals in line with those announced at Investor Conference</w:t>
            </w:r>
            <w:r>
              <w:rPr/>
              <w:t xml:space="preserve"> </w:t>
            </w:r>
            <w:r>
              <mc:AlternateContent>
                <mc:Choice Requires="wps">
                  <w:drawing>
                    <wp:anchor behindDoc="0" distT="0" distB="0" distL="0" distR="0" simplePos="0" locked="0" layoutInCell="1" allowOverlap="1" relativeHeight="327">
                      <wp:simplePos x="0" y="0"/>
                      <wp:positionH relativeFrom="column">
                        <wp:align>left</wp:align>
                      </wp:positionH>
                      <wp:positionV relativeFrom="line">
                        <wp:posOffset>635</wp:posOffset>
                      </wp:positionV>
                      <wp:extent cx="152400" cy="525780"/>
                      <wp:effectExtent l="0" t="0" r="0" b="0"/>
                      <wp:wrapSquare wrapText="right"/>
                      <wp:docPr id="27" name="Frame25"/>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20" w:before="0" w:after="283"/>
                                    <w:jc w:val="left"/>
                                    <w:rPr/>
                                  </w:pPr>
                                  <w:r>
                                    <w:rPr>
                                      <w:color w:val="83AD4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83AD4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60" w:after="0"/>
              <w:ind w:left="440" w:right="0" w:hanging="0"/>
              <w:jc w:val="left"/>
              <w:rPr/>
            </w:pPr>
            <w:r>
              <w:rPr>
                <w:spacing w:val="-2"/>
              </w:rPr>
              <w:t>CEO Annual Bonus: 100% formulaic</w:t>
            </w:r>
            <w:r>
              <w:rPr/>
              <w:t xml:space="preserve"> </w:t>
            </w:r>
            <w:r>
              <mc:AlternateContent>
                <mc:Choice Requires="wps">
                  <w:drawing>
                    <wp:anchor behindDoc="0" distT="101600" distB="0" distL="152400" distR="0" simplePos="0" locked="0" layoutInCell="1" allowOverlap="1" relativeHeight="328">
                      <wp:simplePos x="0" y="0"/>
                      <wp:positionH relativeFrom="column">
                        <wp:align>left</wp:align>
                      </wp:positionH>
                      <wp:positionV relativeFrom="line">
                        <wp:align>top</wp:align>
                      </wp:positionV>
                      <wp:extent cx="127000" cy="525780"/>
                      <wp:effectExtent l="0" t="0" r="0" b="0"/>
                      <wp:wrapSquare wrapText="right"/>
                      <wp:docPr id="28" name="Frame26"/>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180" w:before="0" w:after="283"/>
                                    <w:jc w:val="left"/>
                                    <w:rPr/>
                                  </w:pPr>
                                  <w:r>
                                    <w:rPr>
                                      <w:color w:val="83AD4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12pt;mso-wrap-distance-right:0pt;mso-wrap-distance-top:8pt;mso-wrap-distance-bottom:0pt;margin-top:8pt;mso-position-vertical:top;mso-position-vertical-relative:text;margin-left:12pt;mso-position-horizontal:left;mso-position-horizontal-relative:text">
                      <v:textbox>
                        <w:txbxContent>
                          <w:p>
                            <w:pPr>
                              <w:pStyle w:val="TextBody"/>
                              <w:bidi w:val="0"/>
                              <w:spacing w:lineRule="atLeast" w:line="180" w:before="0" w:after="283"/>
                              <w:jc w:val="left"/>
                              <w:rPr/>
                            </w:pPr>
                            <w:r>
                              <w:rPr>
                                <w:color w:val="83AD4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60" w:after="0"/>
              <w:ind w:left="440" w:right="0" w:hanging="0"/>
              <w:jc w:val="left"/>
              <w:rPr/>
            </w:pPr>
            <w:r>
              <w:rPr>
                <w:spacing w:val="-2"/>
              </w:rPr>
              <w:t>President Annual Bonus: 75% formulaic</w:t>
            </w:r>
            <w:r>
              <w:rPr/>
              <w:t xml:space="preserve"> </w:t>
            </w:r>
            <w:r>
              <mc:AlternateContent>
                <mc:Choice Requires="wps">
                  <w:drawing>
                    <wp:anchor behindDoc="0" distT="101600" distB="0" distL="152400" distR="0" simplePos="0" locked="0" layoutInCell="1" allowOverlap="1" relativeHeight="329">
                      <wp:simplePos x="0" y="0"/>
                      <wp:positionH relativeFrom="column">
                        <wp:align>left</wp:align>
                      </wp:positionH>
                      <wp:positionV relativeFrom="line">
                        <wp:align>top</wp:align>
                      </wp:positionV>
                      <wp:extent cx="127000" cy="525780"/>
                      <wp:effectExtent l="0" t="0" r="0" b="0"/>
                      <wp:wrapSquare wrapText="right"/>
                      <wp:docPr id="29" name="Frame27"/>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180" w:before="0" w:after="283"/>
                                    <w:jc w:val="left"/>
                                    <w:rPr/>
                                  </w:pPr>
                                  <w:r>
                                    <w:rPr>
                                      <w:color w:val="83AD4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12pt;mso-wrap-distance-right:0pt;mso-wrap-distance-top:8pt;mso-wrap-distance-bottom:0pt;margin-top:8pt;mso-position-vertical:top;mso-position-vertical-relative:text;margin-left:34pt;mso-position-horizontal:left;mso-position-horizontal-relative:text">
                      <v:textbox>
                        <w:txbxContent>
                          <w:p>
                            <w:pPr>
                              <w:pStyle w:val="TextBody"/>
                              <w:bidi w:val="0"/>
                              <w:spacing w:lineRule="atLeast" w:line="180" w:before="0" w:after="283"/>
                              <w:jc w:val="left"/>
                              <w:rPr/>
                            </w:pPr>
                            <w:r>
                              <w:rPr>
                                <w:color w:val="83AD4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60" w:after="0"/>
              <w:ind w:left="440" w:right="0" w:hanging="0"/>
              <w:jc w:val="left"/>
              <w:rPr/>
            </w:pPr>
            <w:r>
              <w:rPr>
                <w:spacing w:val="-2"/>
              </w:rPr>
              <w:t>CFO Annual Bonus: 60% formulaic</w:t>
            </w:r>
            <w:r>
              <w:rPr/>
              <w:t xml:space="preserve"> </w:t>
            </w:r>
            <w:r>
              <mc:AlternateContent>
                <mc:Choice Requires="wps">
                  <w:drawing>
                    <wp:anchor behindDoc="0" distT="101600" distB="0" distL="152400" distR="0" simplePos="0" locked="0" layoutInCell="1" allowOverlap="1" relativeHeight="330">
                      <wp:simplePos x="0" y="0"/>
                      <wp:positionH relativeFrom="column">
                        <wp:align>left</wp:align>
                      </wp:positionH>
                      <wp:positionV relativeFrom="line">
                        <wp:align>top</wp:align>
                      </wp:positionV>
                      <wp:extent cx="127000" cy="525780"/>
                      <wp:effectExtent l="0" t="0" r="0" b="0"/>
                      <wp:wrapSquare wrapText="right"/>
                      <wp:docPr id="30" name="Frame28"/>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180" w:before="0" w:after="283"/>
                                    <w:jc w:val="left"/>
                                    <w:rPr/>
                                  </w:pPr>
                                  <w:r>
                                    <w:rPr>
                                      <w:color w:val="83AD4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12pt;mso-wrap-distance-right:0pt;mso-wrap-distance-top:8pt;mso-wrap-distance-bottom:0pt;margin-top:8pt;mso-position-vertical:top;mso-position-vertical-relative:text;margin-left:12pt;mso-position-horizontal:left;mso-position-horizontal-relative:text">
                      <v:textbox>
                        <w:txbxContent>
                          <w:p>
                            <w:pPr>
                              <w:pStyle w:val="TextBody"/>
                              <w:bidi w:val="0"/>
                              <w:spacing w:lineRule="atLeast" w:line="180" w:before="0" w:after="283"/>
                              <w:jc w:val="left"/>
                              <w:rPr/>
                            </w:pPr>
                            <w:r>
                              <w:rPr>
                                <w:color w:val="83AD4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60" w:after="0"/>
              <w:ind w:left="440" w:right="0" w:hanging="0"/>
              <w:jc w:val="left"/>
              <w:rPr/>
            </w:pPr>
            <w:r>
              <w:rPr>
                <w:spacing w:val="-2"/>
              </w:rPr>
              <w:t>General Counsel Annual Bonus: 50% formulaic</w:t>
            </w:r>
            <w:r>
              <w:rPr/>
              <w:t xml:space="preserve"> </w:t>
            </w:r>
            <w:r>
              <mc:AlternateContent>
                <mc:Choice Requires="wps">
                  <w:drawing>
                    <wp:anchor behindDoc="0" distT="101600" distB="0" distL="152400" distR="0" simplePos="0" locked="0" layoutInCell="1" allowOverlap="1" relativeHeight="331">
                      <wp:simplePos x="0" y="0"/>
                      <wp:positionH relativeFrom="column">
                        <wp:align>left</wp:align>
                      </wp:positionH>
                      <wp:positionV relativeFrom="line">
                        <wp:align>top</wp:align>
                      </wp:positionV>
                      <wp:extent cx="127000" cy="525780"/>
                      <wp:effectExtent l="0" t="0" r="0" b="0"/>
                      <wp:wrapSquare wrapText="right"/>
                      <wp:docPr id="31" name="Frame29"/>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180" w:before="0" w:after="283"/>
                                    <w:jc w:val="left"/>
                                    <w:rPr/>
                                  </w:pPr>
                                  <w:r>
                                    <w:rPr>
                                      <w:color w:val="83AD4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12pt;mso-wrap-distance-right:0pt;mso-wrap-distance-top:8pt;mso-wrap-distance-bottom:0pt;margin-top:8pt;mso-position-vertical:top;mso-position-vertical-relative:text;margin-left:34pt;mso-position-horizontal:left;mso-position-horizontal-relative:text">
                      <v:textbox>
                        <w:txbxContent>
                          <w:p>
                            <w:pPr>
                              <w:pStyle w:val="TextBody"/>
                              <w:bidi w:val="0"/>
                              <w:spacing w:lineRule="atLeast" w:line="180" w:before="0" w:after="283"/>
                              <w:jc w:val="left"/>
                              <w:rPr/>
                            </w:pPr>
                            <w:r>
                              <w:rPr>
                                <w:color w:val="83AD4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60" w:after="0"/>
              <w:ind w:left="240" w:right="0" w:hanging="0"/>
              <w:jc w:val="left"/>
              <w:rPr>
                <w:spacing w:val="-2"/>
              </w:rPr>
            </w:pPr>
            <w:r>
              <w:rPr>
                <w:spacing w:val="-2"/>
              </w:rPr>
              <w:t xml:space="preserve">Up to 100% of annual incentive may be paid in equity that remains subject to a three-year no-sell restriction </w:t>
            </w:r>
            <w:r>
              <mc:AlternateContent>
                <mc:Choice Requires="wps">
                  <w:drawing>
                    <wp:anchor behindDoc="0" distT="101600" distB="0" distL="0" distR="0" simplePos="0" locked="0" layoutInCell="1" allowOverlap="1" relativeHeight="332">
                      <wp:simplePos x="0" y="0"/>
                      <wp:positionH relativeFrom="column">
                        <wp:align>left</wp:align>
                      </wp:positionH>
                      <wp:positionV relativeFrom="line">
                        <wp:align>top</wp:align>
                      </wp:positionV>
                      <wp:extent cx="152400" cy="525780"/>
                      <wp:effectExtent l="0" t="0" r="0" b="0"/>
                      <wp:wrapSquare wrapText="right"/>
                      <wp:docPr id="32" name="Frame30"/>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20" w:before="0" w:after="283"/>
                                    <w:jc w:val="left"/>
                                    <w:rPr/>
                                  </w:pPr>
                                  <w:r>
                                    <w:rPr>
                                      <w:color w:val="83AD4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83AD4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vMerge w:val="continue"/>
            <w:tcBorders>
              <w:bottom w:val="single" w:sz="8" w:space="0" w:color="83AD40"/>
            </w:tcBorders>
            <w:shd w:fill="E9F9D8" w:val="clear"/>
            <w:vAlign w:val="center"/>
          </w:tcPr>
          <w:p>
            <w:pPr>
              <w:pStyle w:val="Normal"/>
              <w:bidi w:val="0"/>
              <w:jc w:val="left"/>
              <w:rPr/>
            </w:pPr>
            <w:r>
              <w:rPr/>
            </w:r>
          </w:p>
        </w:tc>
        <w:tc>
          <w:tcPr>
            <w:tcW w:w="1523" w:type="dxa"/>
            <w:vMerge w:val="continue"/>
            <w:tcBorders>
              <w:bottom w:val="single" w:sz="8" w:space="0" w:color="83AD40"/>
            </w:tcBorders>
            <w:shd w:fill="E9F9D8" w:val="clear"/>
            <w:vAlign w:val="center"/>
          </w:tcPr>
          <w:p>
            <w:pPr>
              <w:pStyle w:val="Normal"/>
              <w:bidi w:val="0"/>
              <w:jc w:val="left"/>
              <w:rPr/>
            </w:pPr>
            <w:r>
              <w:rPr/>
            </w:r>
          </w:p>
        </w:tc>
        <w:tc>
          <w:tcPr>
            <w:tcW w:w="109" w:type="dxa"/>
            <w:vMerge w:val="continue"/>
            <w:tcBorders>
              <w:bottom w:val="single" w:sz="8" w:space="0" w:color="83AD40"/>
            </w:tcBorders>
            <w:shd w:fill="E9F9D8" w:val="clear"/>
            <w:vAlign w:val="center"/>
          </w:tcPr>
          <w:p>
            <w:pPr>
              <w:pStyle w:val="Normal"/>
              <w:bidi w:val="0"/>
              <w:jc w:val="left"/>
              <w:rPr/>
            </w:pPr>
            <w:r>
              <w:rPr/>
            </w:r>
          </w:p>
        </w:tc>
        <w:tc>
          <w:tcPr>
            <w:tcW w:w="109" w:type="dxa"/>
            <w:vMerge w:val="continue"/>
            <w:tcBorders>
              <w:bottom w:val="single" w:sz="8" w:space="0" w:color="FFFFFF"/>
            </w:tcBorders>
            <w:shd w:fill="FFFFFF" w:val="clear"/>
            <w:vAlign w:val="center"/>
          </w:tcPr>
          <w:p>
            <w:pPr>
              <w:pStyle w:val="Normal"/>
              <w:bidi w:val="0"/>
              <w:jc w:val="left"/>
              <w:rPr/>
            </w:pPr>
            <w:r>
              <w:rPr/>
            </w:r>
          </w:p>
        </w:tc>
        <w:tc>
          <w:tcPr>
            <w:tcW w:w="109" w:type="dxa"/>
            <w:tcBorders>
              <w:bottom w:val="single" w:sz="8" w:space="0" w:color="83AD40"/>
            </w:tcBorders>
            <w:shd w:fill="83AD40" w:val="clear"/>
            <w:vAlign w:val="center"/>
          </w:tcPr>
          <w:p>
            <w:pPr>
              <w:pStyle w:val="TableContents"/>
              <w:bidi w:val="0"/>
              <w:spacing w:before="0" w:after="283"/>
              <w:jc w:val="left"/>
              <w:rPr/>
            </w:pPr>
            <w:r>
              <w:rPr/>
              <w:t>​</w:t>
            </w:r>
          </w:p>
        </w:tc>
        <w:tc>
          <w:tcPr>
            <w:tcW w:w="7176" w:type="dxa"/>
            <w:tcBorders>
              <w:bottom w:val="single" w:sz="8" w:space="0" w:color="83AD40"/>
            </w:tcBorders>
            <w:shd w:fill="83AD40" w:val="clear"/>
            <w:vAlign w:val="center"/>
          </w:tcPr>
          <w:p>
            <w:pPr>
              <w:pStyle w:val="TableContents"/>
              <w:bidi w:val="0"/>
              <w:spacing w:lineRule="atLeast" w:line="180" w:before="0" w:after="0"/>
              <w:jc w:val="left"/>
              <w:rPr/>
            </w:pPr>
            <w:r>
              <w:rPr>
                <w:spacing w:val="-2"/>
              </w:rPr>
              <w:t>In response to stockholder feedback:</w:t>
            </w:r>
            <w:r>
              <w:rPr/>
              <w:t xml:space="preserve"> </w:t>
            </w:r>
          </w:p>
          <w:p>
            <w:pPr>
              <w:pStyle w:val="TableContents"/>
              <w:bidi w:val="0"/>
              <w:spacing w:lineRule="atLeast" w:line="180" w:before="160" w:after="0"/>
              <w:ind w:left="240" w:right="0" w:hanging="0"/>
              <w:jc w:val="left"/>
              <w:rPr>
                <w:b w:val="false"/>
              </w:rPr>
            </w:pPr>
            <w:r>
              <w:rPr>
                <w:b/>
                <w:spacing w:val="-2"/>
              </w:rPr>
              <w:t>The formulaic component has been increased while decreasing discretionary component</w:t>
            </w:r>
            <w:r>
              <w:rPr>
                <w:b w:val="false"/>
              </w:rPr>
              <w:t xml:space="preserve"> </w:t>
            </w:r>
            <w:r>
              <mc:AlternateContent>
                <mc:Choice Requires="wps">
                  <w:drawing>
                    <wp:anchor behindDoc="0" distT="101600" distB="0" distL="0" distR="0" simplePos="0" locked="0" layoutInCell="1" allowOverlap="1" relativeHeight="333">
                      <wp:simplePos x="0" y="0"/>
                      <wp:positionH relativeFrom="column">
                        <wp:align>left</wp:align>
                      </wp:positionH>
                      <wp:positionV relativeFrom="line">
                        <wp:align>top</wp:align>
                      </wp:positionV>
                      <wp:extent cx="152400" cy="525780"/>
                      <wp:effectExtent l="0" t="0" r="0" b="0"/>
                      <wp:wrapSquare wrapText="right"/>
                      <wp:docPr id="33" name="Frame31"/>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 w:val="false"/>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 w:val="false"/>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60" w:after="0"/>
              <w:ind w:left="240" w:right="0" w:hanging="0"/>
              <w:jc w:val="left"/>
              <w:rPr>
                <w:b w:val="false"/>
              </w:rPr>
            </w:pPr>
            <w:r>
              <w:rPr>
                <w:b/>
                <w:spacing w:val="-2"/>
              </w:rPr>
              <w:t>TSR was replaced with operating metrics</w:t>
            </w:r>
            <w:r>
              <w:rPr>
                <w:b w:val="false"/>
              </w:rPr>
              <w:t xml:space="preserve"> </w:t>
            </w:r>
            <w:r>
              <mc:AlternateContent>
                <mc:Choice Requires="wps">
                  <w:drawing>
                    <wp:anchor behindDoc="0" distT="101600" distB="0" distL="0" distR="0" simplePos="0" locked="0" layoutInCell="1" allowOverlap="1" relativeHeight="334">
                      <wp:simplePos x="0" y="0"/>
                      <wp:positionH relativeFrom="column">
                        <wp:align>left</wp:align>
                      </wp:positionH>
                      <wp:positionV relativeFrom="line">
                        <wp:align>top</wp:align>
                      </wp:positionV>
                      <wp:extent cx="152400" cy="525780"/>
                      <wp:effectExtent l="0" t="0" r="0" b="0"/>
                      <wp:wrapSquare wrapText="right"/>
                      <wp:docPr id="34" name="Frame32"/>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 w:val="false"/>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 w:val="false"/>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bottom w:val="single" w:sz="8" w:space="0" w:color="83AD40"/>
            </w:tcBorders>
            <w:shd w:fill="83AD40" w:val="clear"/>
            <w:vAlign w:val="center"/>
          </w:tcPr>
          <w:p>
            <w:pPr>
              <w:pStyle w:val="TableContents"/>
              <w:bidi w:val="0"/>
              <w:spacing w:before="0" w:after="283"/>
              <w:jc w:val="left"/>
              <w:rPr/>
            </w:pPr>
            <w:r>
              <w:rPr/>
              <w:t>​</w:t>
            </w:r>
          </w:p>
        </w:tc>
      </w:tr>
      <w:tr>
        <w:trPr/>
        <w:tc>
          <w:tcPr>
            <w:tcW w:w="124" w:type="dxa"/>
            <w:vMerge w:val="restart"/>
            <w:tcBorders>
              <w:bottom w:val="single" w:sz="8" w:space="0" w:color="83AD40"/>
            </w:tcBorders>
            <w:shd w:fill="E9F9D8" w:val="clear"/>
            <w:vAlign w:val="center"/>
          </w:tcPr>
          <w:p>
            <w:pPr>
              <w:pStyle w:val="TableContents"/>
              <w:bidi w:val="0"/>
              <w:spacing w:before="0" w:after="283"/>
              <w:jc w:val="left"/>
              <w:rPr/>
            </w:pPr>
            <w:r>
              <w:rPr/>
              <w:t>​</w:t>
            </w:r>
          </w:p>
        </w:tc>
        <w:tc>
          <w:tcPr>
            <w:tcW w:w="1523" w:type="dxa"/>
            <w:vMerge w:val="restart"/>
            <w:tcBorders>
              <w:bottom w:val="single" w:sz="8" w:space="0" w:color="83AD40"/>
            </w:tcBorders>
            <w:shd w:fill="E9F9D8" w:val="clear"/>
            <w:vAlign w:val="center"/>
          </w:tcPr>
          <w:p>
            <w:pPr>
              <w:pStyle w:val="TableContents"/>
              <w:bidi w:val="0"/>
              <w:spacing w:lineRule="atLeast" w:line="220" w:before="0" w:after="0"/>
              <w:jc w:val="left"/>
              <w:rPr>
                <w:b/>
              </w:rPr>
            </w:pPr>
            <w:r>
              <w:rPr>
                <w:b/>
                <w:spacing w:val="-2"/>
              </w:rPr>
              <w:t>Long-term Incentives</w:t>
            </w:r>
            <w:r>
              <w:rPr>
                <w:b/>
              </w:rPr>
              <w:t xml:space="preserve"> </w:t>
            </w:r>
          </w:p>
        </w:tc>
        <w:tc>
          <w:tcPr>
            <w:tcW w:w="109" w:type="dxa"/>
            <w:vMerge w:val="restart"/>
            <w:tcBorders>
              <w:bottom w:val="single" w:sz="8" w:space="0" w:color="83AD40"/>
            </w:tcBorders>
            <w:shd w:fill="E9F9D8" w:val="clear"/>
            <w:vAlign w:val="center"/>
          </w:tcPr>
          <w:p>
            <w:pPr>
              <w:pStyle w:val="TableContents"/>
              <w:bidi w:val="0"/>
              <w:spacing w:before="0" w:after="283"/>
              <w:jc w:val="left"/>
              <w:rPr/>
            </w:pPr>
            <w:r>
              <w:rPr/>
              <w:t>​</w:t>
            </w:r>
          </w:p>
        </w:tc>
        <w:tc>
          <w:tcPr>
            <w:tcW w:w="109" w:type="dxa"/>
            <w:vMerge w:val="restart"/>
            <w:tcBorders>
              <w:bottom w:val="single" w:sz="8"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76" w:type="dxa"/>
            <w:tcBorders/>
            <w:tcMar>
              <w:bottom w:w="0" w:type="dxa"/>
            </w:tcMar>
            <w:vAlign w:val="center"/>
          </w:tcPr>
          <w:p>
            <w:pPr>
              <w:pStyle w:val="TableContents"/>
              <w:bidi w:val="0"/>
              <w:spacing w:lineRule="atLeast" w:line="180" w:before="0" w:after="0"/>
              <w:ind w:left="240" w:right="0" w:hanging="0"/>
              <w:jc w:val="left"/>
              <w:rPr/>
            </w:pPr>
            <w:r>
              <w:rPr>
                <w:spacing w:val="-2"/>
              </w:rPr>
              <w:t>Performance-based equity incentives for all NEOs include a 3-year performance period</w:t>
            </w:r>
            <w:r>
              <w:rPr/>
              <w:t xml:space="preserve"> </w:t>
            </w:r>
            <w:r>
              <mc:AlternateContent>
                <mc:Choice Requires="wps">
                  <w:drawing>
                    <wp:anchor behindDoc="0" distT="0" distB="0" distL="0" distR="0" simplePos="0" locked="0" layoutInCell="1" allowOverlap="1" relativeHeight="335">
                      <wp:simplePos x="0" y="0"/>
                      <wp:positionH relativeFrom="column">
                        <wp:align>left</wp:align>
                      </wp:positionH>
                      <wp:positionV relativeFrom="line">
                        <wp:posOffset>635</wp:posOffset>
                      </wp:positionV>
                      <wp:extent cx="152400" cy="525780"/>
                      <wp:effectExtent l="0" t="0" r="0" b="0"/>
                      <wp:wrapSquare wrapText="right"/>
                      <wp:docPr id="35" name="Frame33"/>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180" w:before="0" w:after="283"/>
                                    <w:jc w:val="left"/>
                                    <w:rPr/>
                                  </w:pPr>
                                  <w:r>
                                    <w:rPr>
                                      <w:color w:val="83AD4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83AD4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60" w:after="0"/>
              <w:ind w:left="240" w:right="0" w:hanging="0"/>
              <w:jc w:val="left"/>
              <w:rPr>
                <w:spacing w:val="-2"/>
              </w:rPr>
            </w:pPr>
            <w:r>
              <w:rPr>
                <w:spacing w:val="-2"/>
              </w:rPr>
              <w:t xml:space="preserve">Time-based equity incentives for CEO and President subject to an Outperformance Modifier (as defined herein) based on Company performance against three-year operational and financial goals </w:t>
            </w:r>
            <w:r>
              <mc:AlternateContent>
                <mc:Choice Requires="wps">
                  <w:drawing>
                    <wp:anchor behindDoc="0" distT="101600" distB="0" distL="0" distR="0" simplePos="0" locked="0" layoutInCell="1" allowOverlap="1" relativeHeight="336">
                      <wp:simplePos x="0" y="0"/>
                      <wp:positionH relativeFrom="column">
                        <wp:align>left</wp:align>
                      </wp:positionH>
                      <wp:positionV relativeFrom="line">
                        <wp:align>top</wp:align>
                      </wp:positionV>
                      <wp:extent cx="152400" cy="525780"/>
                      <wp:effectExtent l="0" t="0" r="0" b="0"/>
                      <wp:wrapSquare wrapText="right"/>
                      <wp:docPr id="36" name="Frame34"/>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20" w:before="0" w:after="283"/>
                                    <w:jc w:val="left"/>
                                    <w:rPr/>
                                  </w:pPr>
                                  <w:r>
                                    <w:rPr>
                                      <w:color w:val="83AD4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83AD4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vMerge w:val="continue"/>
            <w:tcBorders>
              <w:bottom w:val="single" w:sz="8" w:space="0" w:color="83AD40"/>
            </w:tcBorders>
            <w:shd w:fill="E9F9D8" w:val="clear"/>
            <w:vAlign w:val="center"/>
          </w:tcPr>
          <w:p>
            <w:pPr>
              <w:pStyle w:val="Normal"/>
              <w:bidi w:val="0"/>
              <w:jc w:val="left"/>
              <w:rPr/>
            </w:pPr>
            <w:r>
              <w:rPr/>
            </w:r>
          </w:p>
        </w:tc>
        <w:tc>
          <w:tcPr>
            <w:tcW w:w="1523" w:type="dxa"/>
            <w:vMerge w:val="continue"/>
            <w:tcBorders>
              <w:bottom w:val="single" w:sz="8" w:space="0" w:color="83AD40"/>
            </w:tcBorders>
            <w:shd w:fill="E9F9D8" w:val="clear"/>
            <w:vAlign w:val="center"/>
          </w:tcPr>
          <w:p>
            <w:pPr>
              <w:pStyle w:val="Normal"/>
              <w:bidi w:val="0"/>
              <w:jc w:val="left"/>
              <w:rPr/>
            </w:pPr>
            <w:r>
              <w:rPr/>
            </w:r>
          </w:p>
        </w:tc>
        <w:tc>
          <w:tcPr>
            <w:tcW w:w="109" w:type="dxa"/>
            <w:vMerge w:val="continue"/>
            <w:tcBorders>
              <w:bottom w:val="single" w:sz="8" w:space="0" w:color="83AD40"/>
            </w:tcBorders>
            <w:shd w:fill="E9F9D8" w:val="clear"/>
            <w:vAlign w:val="center"/>
          </w:tcPr>
          <w:p>
            <w:pPr>
              <w:pStyle w:val="Normal"/>
              <w:bidi w:val="0"/>
              <w:jc w:val="left"/>
              <w:rPr/>
            </w:pPr>
            <w:r>
              <w:rPr/>
            </w:r>
          </w:p>
        </w:tc>
        <w:tc>
          <w:tcPr>
            <w:tcW w:w="109" w:type="dxa"/>
            <w:vMerge w:val="continue"/>
            <w:tcBorders>
              <w:bottom w:val="single" w:sz="8" w:space="0" w:color="FFFFFF"/>
            </w:tcBorders>
            <w:shd w:fill="FFFFFF" w:val="clear"/>
            <w:vAlign w:val="center"/>
          </w:tcPr>
          <w:p>
            <w:pPr>
              <w:pStyle w:val="Normal"/>
              <w:bidi w:val="0"/>
              <w:jc w:val="left"/>
              <w:rPr/>
            </w:pPr>
            <w:r>
              <w:rPr/>
            </w:r>
          </w:p>
        </w:tc>
        <w:tc>
          <w:tcPr>
            <w:tcW w:w="109" w:type="dxa"/>
            <w:tcBorders>
              <w:bottom w:val="single" w:sz="8" w:space="0" w:color="83AD40"/>
            </w:tcBorders>
            <w:shd w:fill="83AD40" w:val="clear"/>
            <w:vAlign w:val="center"/>
          </w:tcPr>
          <w:p>
            <w:pPr>
              <w:pStyle w:val="TableContents"/>
              <w:bidi w:val="0"/>
              <w:spacing w:before="0" w:after="283"/>
              <w:jc w:val="left"/>
              <w:rPr/>
            </w:pPr>
            <w:r>
              <w:rPr/>
              <w:t>​</w:t>
            </w:r>
          </w:p>
        </w:tc>
        <w:tc>
          <w:tcPr>
            <w:tcW w:w="7176" w:type="dxa"/>
            <w:tcBorders>
              <w:bottom w:val="single" w:sz="8" w:space="0" w:color="83AD40"/>
            </w:tcBorders>
            <w:shd w:fill="83AD40" w:val="clear"/>
            <w:vAlign w:val="center"/>
          </w:tcPr>
          <w:p>
            <w:pPr>
              <w:pStyle w:val="TableContents"/>
              <w:bidi w:val="0"/>
              <w:spacing w:lineRule="atLeast" w:line="180" w:before="0" w:after="0"/>
              <w:jc w:val="left"/>
              <w:rPr/>
            </w:pPr>
            <w:r>
              <w:rPr>
                <w:spacing w:val="-2"/>
              </w:rPr>
              <w:t>In response to stockholder feedback:</w:t>
            </w:r>
            <w:r>
              <w:rPr/>
              <w:t xml:space="preserve"> </w:t>
            </w:r>
          </w:p>
          <w:p>
            <w:pPr>
              <w:pStyle w:val="TableContents"/>
              <w:bidi w:val="0"/>
              <w:spacing w:lineRule="atLeast" w:line="180" w:before="160" w:after="0"/>
              <w:ind w:left="240" w:right="0" w:hanging="0"/>
              <w:jc w:val="left"/>
              <w:rPr>
                <w:b w:val="false"/>
              </w:rPr>
            </w:pPr>
            <w:r>
              <w:rPr>
                <w:b/>
                <w:spacing w:val="-2"/>
              </w:rPr>
              <w:t>All short-term performance goals in LTI performance awards have been eliminated</w:t>
            </w:r>
            <w:r>
              <w:rPr>
                <w:b w:val="false"/>
              </w:rPr>
              <w:t xml:space="preserve"> </w:t>
            </w:r>
            <w:r>
              <mc:AlternateContent>
                <mc:Choice Requires="wps">
                  <w:drawing>
                    <wp:anchor behindDoc="0" distT="101600" distB="0" distL="0" distR="0" simplePos="0" locked="0" layoutInCell="1" allowOverlap="1" relativeHeight="337">
                      <wp:simplePos x="0" y="0"/>
                      <wp:positionH relativeFrom="column">
                        <wp:align>left</wp:align>
                      </wp:positionH>
                      <wp:positionV relativeFrom="line">
                        <wp:align>top</wp:align>
                      </wp:positionV>
                      <wp:extent cx="152400" cy="525780"/>
                      <wp:effectExtent l="0" t="0" r="0" b="0"/>
                      <wp:wrapSquare wrapText="right"/>
                      <wp:docPr id="37" name="Frame35"/>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 w:val="false"/>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 w:val="false"/>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60" w:after="0"/>
              <w:ind w:left="240" w:right="0" w:hanging="0"/>
              <w:jc w:val="left"/>
              <w:rPr>
                <w:b w:val="false"/>
              </w:rPr>
            </w:pPr>
            <w:r>
              <w:rPr>
                <w:b/>
                <w:spacing w:val="-2"/>
              </w:rPr>
              <w:t>Retesting and guaranteed equity awards have been eliminated</w:t>
            </w:r>
            <w:r>
              <w:rPr>
                <w:b w:val="false"/>
              </w:rPr>
              <w:t xml:space="preserve"> </w:t>
            </w:r>
            <w:r>
              <mc:AlternateContent>
                <mc:Choice Requires="wps">
                  <w:drawing>
                    <wp:anchor behindDoc="0" distT="101600" distB="0" distL="0" distR="0" simplePos="0" locked="0" layoutInCell="1" allowOverlap="1" relativeHeight="338">
                      <wp:simplePos x="0" y="0"/>
                      <wp:positionH relativeFrom="column">
                        <wp:align>left</wp:align>
                      </wp:positionH>
                      <wp:positionV relativeFrom="line">
                        <wp:align>top</wp:align>
                      </wp:positionV>
                      <wp:extent cx="152400" cy="525780"/>
                      <wp:effectExtent l="0" t="0" r="0" b="0"/>
                      <wp:wrapSquare wrapText="right"/>
                      <wp:docPr id="38" name="Frame36"/>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 w:val="false"/>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 w:val="false"/>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bottom w:val="single" w:sz="8" w:space="0" w:color="83AD40"/>
            </w:tcBorders>
            <w:shd w:fill="83AD40" w:val="clear"/>
            <w:vAlign w:val="center"/>
          </w:tcPr>
          <w:p>
            <w:pPr>
              <w:pStyle w:val="TableContents"/>
              <w:bidi w:val="0"/>
              <w:spacing w:before="0" w:after="283"/>
              <w:jc w:val="left"/>
              <w:rPr/>
            </w:pPr>
            <w:r>
              <w:rPr/>
              <w:t>​</w:t>
            </w:r>
          </w:p>
        </w:tc>
      </w:tr>
      <w:tr>
        <w:trPr/>
        <w:tc>
          <w:tcPr>
            <w:tcW w:w="124" w:type="dxa"/>
            <w:vMerge w:val="restart"/>
            <w:tcBorders>
              <w:bottom w:val="single" w:sz="8" w:space="0" w:color="83AD40"/>
            </w:tcBorders>
            <w:shd w:fill="E9F9D8" w:val="clear"/>
            <w:vAlign w:val="center"/>
          </w:tcPr>
          <w:p>
            <w:pPr>
              <w:pStyle w:val="TableContents"/>
              <w:bidi w:val="0"/>
              <w:spacing w:before="0" w:after="283"/>
              <w:jc w:val="left"/>
              <w:rPr/>
            </w:pPr>
            <w:r>
              <w:rPr/>
              <w:t>​</w:t>
            </w:r>
          </w:p>
        </w:tc>
        <w:tc>
          <w:tcPr>
            <w:tcW w:w="1523" w:type="dxa"/>
            <w:vMerge w:val="restart"/>
            <w:tcBorders>
              <w:bottom w:val="single" w:sz="8" w:space="0" w:color="83AD40"/>
            </w:tcBorders>
            <w:shd w:fill="E9F9D8" w:val="clear"/>
            <w:vAlign w:val="center"/>
          </w:tcPr>
          <w:p>
            <w:pPr>
              <w:pStyle w:val="TableContents"/>
              <w:bidi w:val="0"/>
              <w:spacing w:lineRule="atLeast" w:line="220" w:before="0" w:after="0"/>
              <w:jc w:val="left"/>
              <w:rPr>
                <w:b/>
              </w:rPr>
            </w:pPr>
            <w:r>
              <w:rPr>
                <w:b/>
                <w:spacing w:val="-2"/>
              </w:rPr>
              <w:t>Other</w:t>
            </w:r>
            <w:r>
              <w:rPr>
                <w:b/>
              </w:rPr>
              <w:t xml:space="preserve"> </w:t>
            </w:r>
          </w:p>
        </w:tc>
        <w:tc>
          <w:tcPr>
            <w:tcW w:w="109" w:type="dxa"/>
            <w:vMerge w:val="restart"/>
            <w:tcBorders>
              <w:bottom w:val="single" w:sz="8" w:space="0" w:color="83AD40"/>
            </w:tcBorders>
            <w:shd w:fill="E9F9D8" w:val="clear"/>
            <w:vAlign w:val="center"/>
          </w:tcPr>
          <w:p>
            <w:pPr>
              <w:pStyle w:val="TableContents"/>
              <w:bidi w:val="0"/>
              <w:spacing w:before="0" w:after="283"/>
              <w:jc w:val="left"/>
              <w:rPr/>
            </w:pPr>
            <w:r>
              <w:rPr/>
              <w:t>​</w:t>
            </w:r>
          </w:p>
        </w:tc>
        <w:tc>
          <w:tcPr>
            <w:tcW w:w="109" w:type="dxa"/>
            <w:vMerge w:val="restart"/>
            <w:tcBorders>
              <w:bottom w:val="single" w:sz="8"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76" w:type="dxa"/>
            <w:tcBorders/>
            <w:tcMar>
              <w:top w:w="28" w:type="dxa"/>
              <w:left w:w="28" w:type="dxa"/>
              <w:right w:w="28" w:type="dxa"/>
            </w:tcMar>
            <w:vAlign w:val="center"/>
          </w:tcPr>
          <w:p>
            <w:pPr>
              <w:pStyle w:val="TableContents"/>
              <w:bidi w:val="0"/>
              <w:spacing w:lineRule="atLeast" w:line="180" w:before="0" w:after="0"/>
              <w:ind w:left="240" w:right="0" w:hanging="0"/>
              <w:jc w:val="left"/>
              <w:rPr>
                <w:spacing w:val="-2"/>
              </w:rPr>
            </w:pPr>
            <w:r>
              <w:rPr>
                <w:spacing w:val="-2"/>
              </w:rPr>
              <w:t xml:space="preserve">No excessive benefits for NEOs </w:t>
            </w:r>
            <w:r>
              <mc:AlternateContent>
                <mc:Choice Requires="wps">
                  <w:drawing>
                    <wp:anchor behindDoc="0" distT="0" distB="0" distL="0" distR="0" simplePos="0" locked="0" layoutInCell="1" allowOverlap="1" relativeHeight="339">
                      <wp:simplePos x="0" y="0"/>
                      <wp:positionH relativeFrom="column">
                        <wp:align>left</wp:align>
                      </wp:positionH>
                      <wp:positionV relativeFrom="line">
                        <wp:posOffset>635</wp:posOffset>
                      </wp:positionV>
                      <wp:extent cx="152400" cy="525780"/>
                      <wp:effectExtent l="0" t="0" r="0" b="0"/>
                      <wp:wrapSquare wrapText="right"/>
                      <wp:docPr id="39" name="Frame37"/>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180" w:before="0" w:after="283"/>
                                    <w:jc w:val="left"/>
                                    <w:rPr/>
                                  </w:pPr>
                                  <w:r>
                                    <w:rPr>
                                      <w:color w:val="83AD4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83AD4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vMerge w:val="continue"/>
            <w:tcBorders>
              <w:bottom w:val="single" w:sz="8" w:space="0" w:color="83AD40"/>
            </w:tcBorders>
            <w:shd w:fill="E9F9D8" w:val="clear"/>
            <w:vAlign w:val="center"/>
          </w:tcPr>
          <w:p>
            <w:pPr>
              <w:pStyle w:val="Normal"/>
              <w:bidi w:val="0"/>
              <w:jc w:val="left"/>
              <w:rPr/>
            </w:pPr>
            <w:r>
              <w:rPr/>
            </w:r>
          </w:p>
        </w:tc>
        <w:tc>
          <w:tcPr>
            <w:tcW w:w="1523" w:type="dxa"/>
            <w:vMerge w:val="continue"/>
            <w:tcBorders>
              <w:bottom w:val="single" w:sz="8" w:space="0" w:color="83AD40"/>
            </w:tcBorders>
            <w:shd w:fill="E9F9D8" w:val="clear"/>
            <w:vAlign w:val="center"/>
          </w:tcPr>
          <w:p>
            <w:pPr>
              <w:pStyle w:val="Normal"/>
              <w:bidi w:val="0"/>
              <w:jc w:val="left"/>
              <w:rPr/>
            </w:pPr>
            <w:r>
              <w:rPr/>
            </w:r>
          </w:p>
        </w:tc>
        <w:tc>
          <w:tcPr>
            <w:tcW w:w="109" w:type="dxa"/>
            <w:vMerge w:val="continue"/>
            <w:tcBorders>
              <w:bottom w:val="single" w:sz="8" w:space="0" w:color="83AD40"/>
            </w:tcBorders>
            <w:shd w:fill="E9F9D8" w:val="clear"/>
            <w:vAlign w:val="center"/>
          </w:tcPr>
          <w:p>
            <w:pPr>
              <w:pStyle w:val="Normal"/>
              <w:bidi w:val="0"/>
              <w:jc w:val="left"/>
              <w:rPr/>
            </w:pPr>
            <w:r>
              <w:rPr/>
            </w:r>
          </w:p>
        </w:tc>
        <w:tc>
          <w:tcPr>
            <w:tcW w:w="109" w:type="dxa"/>
            <w:vMerge w:val="continue"/>
            <w:tcBorders>
              <w:bottom w:val="single" w:sz="8" w:space="0" w:color="FFFFFF"/>
            </w:tcBorders>
            <w:shd w:fill="FFFFFF" w:val="clear"/>
            <w:vAlign w:val="center"/>
          </w:tcPr>
          <w:p>
            <w:pPr>
              <w:pStyle w:val="Normal"/>
              <w:bidi w:val="0"/>
              <w:jc w:val="left"/>
              <w:rPr/>
            </w:pPr>
            <w:r>
              <w:rPr/>
            </w:r>
          </w:p>
        </w:tc>
        <w:tc>
          <w:tcPr>
            <w:tcW w:w="109" w:type="dxa"/>
            <w:tcBorders>
              <w:bottom w:val="single" w:sz="8" w:space="0" w:color="83AD40"/>
            </w:tcBorders>
            <w:shd w:fill="83AD40" w:val="clear"/>
            <w:vAlign w:val="center"/>
          </w:tcPr>
          <w:p>
            <w:pPr>
              <w:pStyle w:val="TableContents"/>
              <w:bidi w:val="0"/>
              <w:spacing w:before="0" w:after="283"/>
              <w:jc w:val="left"/>
              <w:rPr/>
            </w:pPr>
            <w:r>
              <w:rPr/>
              <w:t>​</w:t>
            </w:r>
          </w:p>
        </w:tc>
        <w:tc>
          <w:tcPr>
            <w:tcW w:w="7176" w:type="dxa"/>
            <w:tcBorders>
              <w:bottom w:val="single" w:sz="8" w:space="0" w:color="83AD40"/>
            </w:tcBorders>
            <w:shd w:fill="83AD40" w:val="clear"/>
            <w:vAlign w:val="center"/>
          </w:tcPr>
          <w:p>
            <w:pPr>
              <w:pStyle w:val="TableContents"/>
              <w:bidi w:val="0"/>
              <w:spacing w:lineRule="atLeast" w:line="180" w:before="0" w:after="0"/>
              <w:jc w:val="left"/>
              <w:rPr/>
            </w:pPr>
            <w:r>
              <w:rPr>
                <w:spacing w:val="-2"/>
              </w:rPr>
              <w:t>In response to stockholder feedback:</w:t>
            </w:r>
            <w:r>
              <w:rPr/>
              <w:t xml:space="preserve"> </w:t>
            </w:r>
          </w:p>
          <w:p>
            <w:pPr>
              <w:pStyle w:val="TableContents"/>
              <w:bidi w:val="0"/>
              <w:spacing w:lineRule="atLeast" w:line="220" w:before="160" w:after="0"/>
              <w:ind w:left="240" w:right="0" w:hanging="0"/>
              <w:jc w:val="left"/>
              <w:rPr/>
            </w:pPr>
            <w:r>
              <w:rPr>
                <w:spacing w:val="-2"/>
              </w:rPr>
              <w:t>Elimination of provisions that provide for formulaic cash payments following a change in control in lieu of existing base salary, annual bonus and equity award entitlements</w:t>
            </w:r>
            <w:r>
              <w:rPr/>
              <w:t xml:space="preserve"> </w:t>
            </w:r>
            <w:r>
              <mc:AlternateContent>
                <mc:Choice Requires="wps">
                  <w:drawing>
                    <wp:anchor behindDoc="0" distT="101600" distB="0" distL="0" distR="0" simplePos="0" locked="0" layoutInCell="1" allowOverlap="1" relativeHeight="340">
                      <wp:simplePos x="0" y="0"/>
                      <wp:positionH relativeFrom="column">
                        <wp:align>left</wp:align>
                      </wp:positionH>
                      <wp:positionV relativeFrom="line">
                        <wp:align>top</wp:align>
                      </wp:positionV>
                      <wp:extent cx="152400" cy="525780"/>
                      <wp:effectExtent l="0" t="0" r="0" b="0"/>
                      <wp:wrapSquare wrapText="right"/>
                      <wp:docPr id="40" name="Frame38"/>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60" w:after="0"/>
              <w:ind w:left="240" w:right="0" w:hanging="0"/>
              <w:jc w:val="left"/>
              <w:rPr/>
            </w:pPr>
            <w:r>
              <w:rPr>
                <w:spacing w:val="-2"/>
              </w:rPr>
              <w:t>Updated cash severance basis to generally be the average bonus in prior two years (from maximum bonus)</w:t>
            </w:r>
            <w:r>
              <w:rPr/>
              <w:t xml:space="preserve"> </w:t>
            </w:r>
            <w:r>
              <mc:AlternateContent>
                <mc:Choice Requires="wps">
                  <w:drawing>
                    <wp:anchor behindDoc="0" distT="101600" distB="0" distL="0" distR="0" simplePos="0" locked="0" layoutInCell="1" allowOverlap="1" relativeHeight="341">
                      <wp:simplePos x="0" y="0"/>
                      <wp:positionH relativeFrom="column">
                        <wp:align>left</wp:align>
                      </wp:positionH>
                      <wp:positionV relativeFrom="line">
                        <wp:align>top</wp:align>
                      </wp:positionV>
                      <wp:extent cx="152400" cy="525780"/>
                      <wp:effectExtent l="0" t="0" r="0" b="0"/>
                      <wp:wrapSquare wrapText="right"/>
                      <wp:docPr id="41" name="Frame39"/>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bottom w:val="single" w:sz="8" w:space="0" w:color="83AD40"/>
            </w:tcBorders>
            <w:shd w:fill="83AD40" w:val="clear"/>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 w:name="t2PSH"/>
      <w:bookmarkEnd w:id="3"/>
      <w:r>
        <w:rPr>
          <w:rFonts w:ascii="calibri;arial;sans-serif" w:hAnsi="calibri;arial;sans-serif"/>
          <w:b w:val="false"/>
          <w:i w:val="false"/>
          <w:caps w:val="false"/>
          <w:smallCaps w:val="false"/>
          <w:color w:val="000000"/>
          <w:sz w:val="16"/>
        </w:rPr>
        <w:t xml:space="preserve">​ </w:t>
      </w:r>
    </w:p>
    <w:tbl>
      <w:tblPr>
        <w:tblW w:w="5105" w:type="dxa"/>
        <w:jc w:val="left"/>
        <w:tblInd w:w="900" w:type="dxa"/>
        <w:tblLayout w:type="fixed"/>
        <w:tblCellMar>
          <w:top w:w="0" w:type="dxa"/>
          <w:left w:w="0" w:type="dxa"/>
          <w:bottom w:w="0" w:type="dxa"/>
          <w:right w:w="0" w:type="dxa"/>
        </w:tblCellMar>
      </w:tblPr>
      <w:tblGrid>
        <w:gridCol w:w="124"/>
        <w:gridCol w:w="226"/>
        <w:gridCol w:w="109"/>
        <w:gridCol w:w="109"/>
        <w:gridCol w:w="4383"/>
        <w:gridCol w:w="154"/>
      </w:tblGrid>
      <w:tr>
        <w:trPr/>
        <w:tc>
          <w:tcPr>
            <w:tcW w:w="124"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left"/>
              <w:rPr/>
            </w:pPr>
            <w:r>
              <w:rPr/>
              <w:t>4</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383" w:type="dxa"/>
            <w:tcBorders/>
            <w:vAlign w:val="center"/>
          </w:tcPr>
          <w:p>
            <w:pPr>
              <w:pStyle w:val="TableContents"/>
              <w:bidi w:val="0"/>
              <w:spacing w:lineRule="atLeast" w:line="200" w:before="0" w:after="0"/>
              <w:jc w:val="left"/>
              <w:rPr/>
            </w:pPr>
            <w:r>
              <w:rPr>
                <w:spacing w:val="-2"/>
              </w:rPr>
              <w:t>    </w:t>
            </w:r>
            <w:r>
              <w:rPr>
                <w:spacing w:val="-2"/>
                <w:sz w:val="16"/>
              </w:rPr>
              <w:t>SL GREEN REALTY CORP. 2026 PROXY STATEMENT</w:t>
            </w:r>
            <w:r>
              <w:rPr>
                <w:sz w:val="16"/>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520" w:before="560" w:after="154"/>
        <w:ind w:left="900" w:right="0" w:hanging="0"/>
        <w:jc w:val="left"/>
        <w:rPr>
          <w:rFonts w:ascii="Arial;Helvetica;sans-serif" w:hAnsi="Arial;Helvetica;sans-serif"/>
          <w:b/>
          <w:i w:val="false"/>
          <w:caps w:val="false"/>
          <w:smallCaps w:val="false"/>
          <w:color w:val="1F2668"/>
          <w:sz w:val="42"/>
        </w:rPr>
      </w:pPr>
      <w:r>
        <w:rPr>
          <w:rFonts w:ascii="Arial;Helvetica;sans-serif" w:hAnsi="Arial;Helvetica;sans-serif"/>
          <w:b/>
          <w:i w:val="false"/>
          <w:caps/>
          <w:color w:val="1F2668"/>
          <w:spacing w:val="-4"/>
          <w:sz w:val="42"/>
        </w:rPr>
        <w:t>2026 PROXY STATEMENT HIGHLIGHTS</w:t>
      </w:r>
      <w:r>
        <w:rPr>
          <w:rFonts w:ascii="Arial;Helvetica;sans-serif" w:hAnsi="Arial;Helvetica;sans-serif"/>
          <w:b/>
          <w:i w:val="false"/>
          <w:caps w:val="false"/>
          <w:smallCaps w:val="false"/>
          <w:color w:val="000000"/>
          <w:spacing w:val="8"/>
          <w:sz w:val="42"/>
        </w:rPr>
        <w:t xml:space="preserve"> </w:t>
      </w:r>
    </w:p>
    <w:p>
      <w:pPr>
        <w:pStyle w:val="TextBody"/>
        <w:bidi w:val="0"/>
        <w:spacing w:lineRule="atLeast" w:line="360" w:before="220" w:after="283"/>
        <w:jc w:val="left"/>
        <w:rPr>
          <w:rFonts w:ascii="Arial;Helvetica;sans-serif" w:hAnsi="Arial;Helvetica;sans-serif"/>
          <w:b/>
          <w:i w:val="false"/>
          <w:caps w:val="false"/>
          <w:smallCaps w:val="false"/>
          <w:color w:val="83AD40"/>
          <w:sz w:val="32"/>
        </w:rPr>
      </w:pPr>
      <w:r>
        <w:rPr>
          <w:rFonts w:ascii="Arial;Helvetica;sans-serif" w:hAnsi="Arial;Helvetica;sans-serif"/>
          <w:b/>
          <w:i w:val="false"/>
          <w:caps/>
          <w:color w:val="83AD40"/>
          <w:spacing w:val="-3"/>
          <w:sz w:val="32"/>
        </w:rPr>
        <w:t>ROADMAP OF VOTING MATTERS</w:t>
      </w:r>
      <w:r>
        <w:rPr>
          <w:rFonts w:ascii="Arial;Helvetica;sans-serif" w:hAnsi="Arial;Helvetica;sans-serif"/>
          <w:b/>
          <w:i w:val="false"/>
          <w:caps w:val="false"/>
          <w:smallCaps w:val="false"/>
          <w:color w:val="000000"/>
          <w:spacing w:val="6"/>
          <w:sz w:val="32"/>
        </w:rPr>
        <w:t xml:space="preserve"> </w:t>
      </w:r>
    </w:p>
    <w:tbl>
      <w:tblPr>
        <w:tblW w:w="9305" w:type="dxa"/>
        <w:jc w:val="left"/>
        <w:tblInd w:w="900" w:type="dxa"/>
        <w:tblLayout w:type="fixed"/>
        <w:tblCellMar>
          <w:top w:w="0" w:type="dxa"/>
          <w:left w:w="0" w:type="dxa"/>
          <w:bottom w:w="28" w:type="dxa"/>
          <w:right w:w="0" w:type="dxa"/>
        </w:tblCellMar>
      </w:tblPr>
      <w:tblGrid>
        <w:gridCol w:w="124"/>
        <w:gridCol w:w="453"/>
        <w:gridCol w:w="109"/>
        <w:gridCol w:w="109"/>
        <w:gridCol w:w="2036"/>
        <w:gridCol w:w="162"/>
        <w:gridCol w:w="162"/>
        <w:gridCol w:w="1932"/>
        <w:gridCol w:w="162"/>
        <w:gridCol w:w="162"/>
        <w:gridCol w:w="2052"/>
        <w:gridCol w:w="109"/>
        <w:gridCol w:w="109"/>
        <w:gridCol w:w="1465"/>
        <w:gridCol w:w="159"/>
      </w:tblGrid>
      <w:tr>
        <w:trPr/>
        <w:tc>
          <w:tcPr>
            <w:tcW w:w="124" w:type="dxa"/>
            <w:vMerge w:val="restart"/>
            <w:tcBorders>
              <w:bottom w:val="single" w:sz="6" w:space="0" w:color="83AD40"/>
            </w:tcBorders>
            <w:vAlign w:val="center"/>
          </w:tcPr>
          <w:p>
            <w:pPr>
              <w:pStyle w:val="TableContents"/>
              <w:bidi w:val="0"/>
              <w:spacing w:before="0" w:after="283"/>
              <w:jc w:val="left"/>
              <w:rPr/>
            </w:pPr>
            <w:r>
              <w:rPr/>
              <w:t>​</w:t>
            </w:r>
          </w:p>
        </w:tc>
        <w:tc>
          <w:tcPr>
            <w:tcW w:w="453" w:type="dxa"/>
            <w:vMerge w:val="restart"/>
            <w:tcBorders>
              <w:bottom w:val="single" w:sz="6" w:space="0" w:color="83AD40"/>
            </w:tcBorders>
            <w:vAlign w:val="center"/>
          </w:tcPr>
          <w:p>
            <w:pPr>
              <w:pStyle w:val="TableContents"/>
              <w:bidi w:val="0"/>
              <w:spacing w:before="0" w:after="0"/>
              <w:jc w:val="left"/>
              <w:rPr/>
            </w:pPr>
            <w:r>
              <w:rPr/>
              <w:drawing>
                <wp:inline distT="0" distB="0" distL="0" distR="0">
                  <wp:extent cx="228600" cy="238125"/>
                  <wp:effectExtent l="0" t="0" r="0" b="0"/>
                  <wp:docPr id="4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 descr=""/>
                          <pic:cNvPicPr>
                            <a:picLocks noChangeAspect="1" noChangeArrowheads="1"/>
                          </pic:cNvPicPr>
                        </pic:nvPicPr>
                        <pic:blipFill>
                          <a:blip r:embed="rId4"/>
                          <a:stretch>
                            <a:fillRect/>
                          </a:stretch>
                        </pic:blipFill>
                        <pic:spPr bwMode="auto">
                          <a:xfrm>
                            <a:off x="0" y="0"/>
                            <a:ext cx="228600" cy="238125"/>
                          </a:xfrm>
                          <a:prstGeom prst="rect">
                            <a:avLst/>
                          </a:prstGeom>
                        </pic:spPr>
                      </pic:pic>
                    </a:graphicData>
                  </a:graphic>
                </wp:inline>
              </w:drawing>
            </w:r>
            <w:r>
              <w:rPr/>
              <w:t xml:space="preserve"> </w:t>
            </w:r>
          </w:p>
        </w:tc>
        <w:tc>
          <w:tcPr>
            <w:tcW w:w="109" w:type="dxa"/>
            <w:vMerge w:val="restart"/>
            <w:tcBorders>
              <w:bottom w:val="single" w:sz="6" w:space="0" w:color="83AD40"/>
            </w:tcBorders>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668" w:type="dxa"/>
            <w:gridSpan w:val="7"/>
            <w:tcBorders/>
            <w:tcMar>
              <w:bottom w:w="0" w:type="dxa"/>
            </w:tcMar>
            <w:vAlign w:val="center"/>
          </w:tcPr>
          <w:p>
            <w:pPr>
              <w:pStyle w:val="TableContents"/>
              <w:bidi w:val="0"/>
              <w:spacing w:before="0" w:after="283"/>
              <w:jc w:val="left"/>
              <w:rPr>
                <w:b/>
                <w:color w:val="1F2668"/>
                <w:sz w:val="26"/>
              </w:rPr>
            </w:pPr>
            <w:r>
              <w:rPr>
                <w:b/>
                <w:color w:val="1F2668"/>
                <w:spacing w:val="-3"/>
                <w:sz w:val="26"/>
              </w:rPr>
              <w:t>Election of Directors</w:t>
            </w:r>
            <w:r>
              <w:rPr>
                <w:b/>
                <w:color w:val="1F2668"/>
                <w:sz w:val="26"/>
              </w:rPr>
              <w:t xml:space="preserve"> </w:t>
            </w:r>
          </w:p>
          <w:p>
            <w:pPr>
              <w:pStyle w:val="TableContents"/>
              <w:bidi w:val="0"/>
              <w:spacing w:lineRule="atLeast" w:line="220" w:before="160" w:after="0"/>
              <w:ind w:left="180" w:right="0" w:hanging="0"/>
              <w:jc w:val="left"/>
              <w:rPr>
                <w:spacing w:val="-2"/>
              </w:rPr>
            </w:pPr>
            <w:r>
              <w:rPr>
                <w:spacing w:val="-2"/>
              </w:rPr>
              <w:t xml:space="preserve">The Board, upon the recommendation of the Nominating and Corporate Governance Committee, has nominated eight directors for re-election to serve until the 2027 Annual Meeting of stockholders and until their successors are duly elected and qualify. </w:t>
            </w:r>
            <w:r>
              <mc:AlternateContent>
                <mc:Choice Requires="wps">
                  <w:drawing>
                    <wp:anchor behindDoc="0" distT="101600" distB="0" distL="0" distR="0" simplePos="0" locked="0" layoutInCell="1" allowOverlap="1" relativeHeight="342">
                      <wp:simplePos x="0" y="0"/>
                      <wp:positionH relativeFrom="column">
                        <wp:align>left</wp:align>
                      </wp:positionH>
                      <wp:positionV relativeFrom="line">
                        <wp:align>top</wp:align>
                      </wp:positionV>
                      <wp:extent cx="114300" cy="350520"/>
                      <wp:effectExtent l="0" t="0" r="0" b="0"/>
                      <wp:wrapSquare wrapText="right"/>
                      <wp:docPr id="43" name="Frame40"/>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vMerge w:val="restart"/>
            <w:tcBorders>
              <w:bottom w:val="single" w:sz="6" w:space="0" w:color="83AD40"/>
            </w:tcBorders>
            <w:vAlign w:val="center"/>
          </w:tcPr>
          <w:p>
            <w:pPr>
              <w:pStyle w:val="TableContents"/>
              <w:bidi w:val="0"/>
              <w:spacing w:before="0" w:after="283"/>
              <w:jc w:val="left"/>
              <w:rPr/>
            </w:pPr>
            <w:r>
              <w:rPr/>
              <w:t>​</w:t>
            </w:r>
          </w:p>
        </w:tc>
        <w:tc>
          <w:tcPr>
            <w:tcW w:w="1465" w:type="dxa"/>
            <w:vMerge w:val="restart"/>
            <w:tcBorders>
              <w:bottom w:val="single" w:sz="6" w:space="0" w:color="83AD40"/>
            </w:tcBorders>
            <w:tcMar>
              <w:bottom w:w="200" w:type="dxa"/>
            </w:tcMar>
            <w:vAlign w:val="center"/>
          </w:tcPr>
          <w:p>
            <w:pPr>
              <w:pStyle w:val="TableContents"/>
              <w:bidi w:val="0"/>
              <w:spacing w:before="0" w:after="0"/>
              <w:jc w:val="left"/>
              <w:rPr/>
            </w:pPr>
            <w:r>
              <w:rPr/>
              <w:drawing>
                <wp:inline distT="0" distB="0" distL="0" distR="0">
                  <wp:extent cx="457200" cy="457200"/>
                  <wp:effectExtent l="0" t="0" r="0" b="0"/>
                  <wp:docPr id="4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 descr=""/>
                          <pic:cNvPicPr>
                            <a:picLocks noChangeAspect="1" noChangeArrowheads="1"/>
                          </pic:cNvPicPr>
                        </pic:nvPicPr>
                        <pic:blipFill>
                          <a:blip r:embed="rId5"/>
                          <a:stretch>
                            <a:fillRect/>
                          </a:stretch>
                        </pic:blipFill>
                        <pic:spPr bwMode="auto">
                          <a:xfrm>
                            <a:off x="0" y="0"/>
                            <a:ext cx="457200" cy="457200"/>
                          </a:xfrm>
                          <a:prstGeom prst="rect">
                            <a:avLst/>
                          </a:prstGeom>
                        </pic:spPr>
                      </pic:pic>
                    </a:graphicData>
                  </a:graphic>
                </wp:inline>
              </w:drawing>
            </w:r>
            <w:r>
              <w:rPr/>
              <w:t xml:space="preserve"> </w:t>
            </w:r>
          </w:p>
          <w:p>
            <w:pPr>
              <w:pStyle w:val="TableContents"/>
              <w:bidi w:val="0"/>
              <w:spacing w:lineRule="atLeast" w:line="220" w:before="199" w:after="283"/>
              <w:jc w:val="left"/>
              <w:rPr>
                <w:b/>
                <w:spacing w:val="-2"/>
              </w:rPr>
            </w:pPr>
            <w:r>
              <w:rPr>
                <w:b/>
                <w:spacing w:val="-2"/>
              </w:rPr>
              <w:t xml:space="preserve">The Board </w:t>
              <w:br/>
              <w:t xml:space="preserve">recommends a vote </w:t>
            </w:r>
          </w:p>
          <w:p>
            <w:pPr>
              <w:pStyle w:val="TableContents"/>
              <w:bidi w:val="0"/>
              <w:spacing w:lineRule="atLeast" w:line="180" w:before="40" w:after="283"/>
              <w:jc w:val="left"/>
              <w:rPr/>
            </w:pPr>
            <w:r>
              <w:rPr>
                <w:b/>
                <w:color w:val="1F2668"/>
                <w:sz w:val="24"/>
              </w:rPr>
              <w:t>FOR</w:t>
            </w:r>
            <w:r>
              <w:rPr>
                <w:b/>
                <w:color w:val="000000"/>
                <w:spacing w:val="-2"/>
                <w:sz w:val="16"/>
              </w:rPr>
              <w:t xml:space="preserve"> </w:t>
            </w:r>
            <w:r>
              <w:rPr>
                <w:b/>
                <w:color w:val="000000"/>
                <w:spacing w:val="-2"/>
                <w:sz w:val="18"/>
              </w:rPr>
              <w:t>each Nominee.</w:t>
            </w:r>
            <w:r>
              <w:rPr>
                <w:b/>
                <w:color w:val="1F2668"/>
                <w:sz w:val="16"/>
              </w:rPr>
              <w:t xml:space="preserve"> </w:t>
              <w:br/>
            </w:r>
            <w:r>
              <w:rPr>
                <w:b/>
                <w:color w:val="1F2668"/>
                <w:spacing w:val="-2"/>
                <w:sz w:val="16"/>
              </w:rPr>
              <w:t xml:space="preserve">SEE PAGE </w:t>
            </w:r>
            <w:hyperlink w:anchor="tEOD">
              <w:r>
                <w:rPr>
                  <w:rStyle w:val="InternetLink"/>
                  <w:b/>
                  <w:color w:val="000080"/>
                  <w:spacing w:val="-2"/>
                  <w:sz w:val="16"/>
                </w:rPr>
                <w:t>10</w:t>
              </w:r>
            </w:hyperlink>
            <w:r>
              <w:rPr>
                <w:b/>
                <w:color w:val="000000"/>
                <w:spacing w:val="-2"/>
                <w:sz w:val="16"/>
              </w:rPr>
              <w:t>   </w:t>
            </w:r>
            <w:r>
              <w:rPr>
                <w:b/>
                <w:color w:val="1F2668"/>
                <w:sz w:val="16"/>
              </w:rPr>
              <w:drawing>
                <wp:inline distT="0" distB="0" distL="0" distR="0">
                  <wp:extent cx="66675" cy="76200"/>
                  <wp:effectExtent l="0" t="0" r="0" b="0"/>
                  <wp:docPr id="4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5" descr=""/>
                          <pic:cNvPicPr>
                            <a:picLocks noChangeAspect="1" noChangeArrowheads="1"/>
                          </pic:cNvPicPr>
                        </pic:nvPicPr>
                        <pic:blipFill>
                          <a:blip r:embed="rId6"/>
                          <a:stretch>
                            <a:fillRect/>
                          </a:stretch>
                        </pic:blipFill>
                        <pic:spPr bwMode="auto">
                          <a:xfrm>
                            <a:off x="0" y="0"/>
                            <a:ext cx="66675" cy="76200"/>
                          </a:xfrm>
                          <a:prstGeom prst="rect">
                            <a:avLst/>
                          </a:prstGeom>
                        </pic:spPr>
                      </pic:pic>
                    </a:graphicData>
                  </a:graphic>
                </wp:inline>
              </w:drawing>
            </w:r>
            <w:r>
              <w:rPr>
                <w:b/>
                <w:color w:val="1F2668"/>
                <w:sz w:val="16"/>
              </w:rPr>
              <w:t xml:space="preserve"> </w:t>
            </w:r>
          </w:p>
        </w:tc>
        <w:tc>
          <w:tcPr>
            <w:tcW w:w="159" w:type="dxa"/>
            <w:vMerge w:val="restart"/>
            <w:tcBorders>
              <w:bottom w:val="single" w:sz="6" w:space="0" w:color="83AD40"/>
            </w:tcBorders>
            <w:vAlign w:val="center"/>
          </w:tcPr>
          <w:p>
            <w:pPr>
              <w:pStyle w:val="TableContents"/>
              <w:bidi w:val="0"/>
              <w:spacing w:before="0" w:after="283"/>
              <w:jc w:val="left"/>
              <w:rPr/>
            </w:pPr>
            <w:r>
              <w:rPr/>
              <w:t>​</w:t>
            </w:r>
          </w:p>
        </w:tc>
      </w:tr>
      <w:tr>
        <w:trPr/>
        <w:tc>
          <w:tcPr>
            <w:tcW w:w="124" w:type="dxa"/>
            <w:vMerge w:val="continue"/>
            <w:tcBorders>
              <w:bottom w:val="single" w:sz="6" w:space="0" w:color="83AD40"/>
            </w:tcBorders>
            <w:vAlign w:val="center"/>
          </w:tcPr>
          <w:p>
            <w:pPr>
              <w:pStyle w:val="Normal"/>
              <w:bidi w:val="0"/>
              <w:jc w:val="left"/>
              <w:rPr/>
            </w:pPr>
            <w:r>
              <w:rPr/>
            </w:r>
          </w:p>
        </w:tc>
        <w:tc>
          <w:tcPr>
            <w:tcW w:w="453" w:type="dxa"/>
            <w:vMerge w:val="continue"/>
            <w:tcBorders>
              <w:bottom w:val="single" w:sz="6" w:space="0" w:color="83AD40"/>
            </w:tcBorders>
            <w:vAlign w:val="center"/>
          </w:tcPr>
          <w:p>
            <w:pPr>
              <w:pStyle w:val="Normal"/>
              <w:bidi w:val="0"/>
              <w:jc w:val="left"/>
              <w:rPr/>
            </w:pPr>
            <w:r>
              <w:rPr/>
            </w:r>
          </w:p>
        </w:tc>
        <w:tc>
          <w:tcPr>
            <w:tcW w:w="109" w:type="dxa"/>
            <w:vMerge w:val="continue"/>
            <w:tcBorders>
              <w:bottom w:val="single" w:sz="6" w:space="0" w:color="83AD40"/>
            </w:tcBorders>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2036" w:type="dxa"/>
            <w:tcBorders/>
            <w:tcMar>
              <w:bottom w:w="0" w:type="dxa"/>
            </w:tcMar>
            <w:vAlign w:val="center"/>
          </w:tcPr>
          <w:p>
            <w:pPr>
              <w:pStyle w:val="TableContents"/>
              <w:bidi w:val="0"/>
              <w:spacing w:before="0" w:after="0"/>
              <w:ind w:left="180" w:right="0" w:hanging="0"/>
              <w:jc w:val="left"/>
              <w:rPr/>
            </w:pPr>
            <w:r>
              <w:rPr>
                <w:spacing w:val="-2"/>
              </w:rPr>
              <w:t>John H. Alschuler</w:t>
            </w:r>
            <w:r>
              <w:rPr/>
              <w:t xml:space="preserve"> </w:t>
            </w:r>
          </w:p>
          <w:p>
            <w:pPr>
              <w:pStyle w:val="TableContents"/>
              <w:bidi w:val="0"/>
              <w:spacing w:before="60" w:after="283"/>
              <w:ind w:left="180" w:right="0" w:hanging="0"/>
              <w:jc w:val="left"/>
              <w:rPr/>
            </w:pPr>
            <w:r>
              <w:rPr>
                <w:spacing w:val="-2"/>
              </w:rPr>
              <w:t>Carol N. Brown</w:t>
            </w:r>
            <w:r>
              <w:rPr/>
              <w:t xml:space="preserve"> </w:t>
            </w:r>
          </w:p>
          <w:p>
            <w:pPr>
              <w:pStyle w:val="TableContents"/>
              <w:bidi w:val="0"/>
              <w:spacing w:before="60" w:after="283"/>
              <w:ind w:left="180" w:right="0" w:hanging="0"/>
              <w:jc w:val="left"/>
              <w:rPr/>
            </w:pPr>
            <w:r>
              <w:rPr>
                <w:spacing w:val="-2"/>
              </w:rPr>
              <w:t>Lauren B. Dillard</w:t>
            </w:r>
            <w:r>
              <w:rPr/>
              <w:t xml:space="preserve"> </w:t>
            </w:r>
          </w:p>
        </w:tc>
        <w:tc>
          <w:tcPr>
            <w:tcW w:w="162"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left"/>
              <w:rPr/>
            </w:pPr>
            <w:r>
              <w:rPr/>
              <w:t>​</w:t>
            </w:r>
          </w:p>
        </w:tc>
        <w:tc>
          <w:tcPr>
            <w:tcW w:w="1932" w:type="dxa"/>
            <w:tcBorders/>
            <w:tcMar>
              <w:bottom w:w="0" w:type="dxa"/>
            </w:tcMar>
            <w:vAlign w:val="center"/>
          </w:tcPr>
          <w:p>
            <w:pPr>
              <w:pStyle w:val="TableContents"/>
              <w:bidi w:val="0"/>
              <w:spacing w:before="0" w:after="0"/>
              <w:jc w:val="left"/>
              <w:rPr/>
            </w:pPr>
            <w:r>
              <w:rPr>
                <w:spacing w:val="-2"/>
              </w:rPr>
              <w:t>Stephen L. Green</w:t>
            </w:r>
            <w:r>
              <w:rPr/>
              <w:t xml:space="preserve"> </w:t>
            </w:r>
          </w:p>
          <w:p>
            <w:pPr>
              <w:pStyle w:val="TableContents"/>
              <w:bidi w:val="0"/>
              <w:spacing w:before="60" w:after="283"/>
              <w:jc w:val="left"/>
              <w:rPr/>
            </w:pPr>
            <w:r>
              <w:rPr>
                <w:spacing w:val="-2"/>
              </w:rPr>
              <w:t>Craig M. Hatkoff</w:t>
            </w:r>
            <w:r>
              <w:rPr/>
              <w:t xml:space="preserve"> </w:t>
            </w:r>
          </w:p>
          <w:p>
            <w:pPr>
              <w:pStyle w:val="TableContents"/>
              <w:bidi w:val="0"/>
              <w:spacing w:before="60" w:after="283"/>
              <w:jc w:val="left"/>
              <w:rPr/>
            </w:pPr>
            <w:r>
              <w:rPr>
                <w:spacing w:val="-2"/>
              </w:rPr>
              <w:t>Marc Holliday</w:t>
            </w:r>
            <w:r>
              <w:rPr/>
              <w:t xml:space="preserve"> </w:t>
            </w:r>
          </w:p>
        </w:tc>
        <w:tc>
          <w:tcPr>
            <w:tcW w:w="162"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left"/>
              <w:rPr/>
            </w:pPr>
            <w:r>
              <w:rPr/>
              <w:t>​</w:t>
            </w:r>
          </w:p>
        </w:tc>
        <w:tc>
          <w:tcPr>
            <w:tcW w:w="2052" w:type="dxa"/>
            <w:tcBorders/>
            <w:tcMar>
              <w:bottom w:w="0" w:type="dxa"/>
            </w:tcMar>
            <w:vAlign w:val="center"/>
          </w:tcPr>
          <w:p>
            <w:pPr>
              <w:pStyle w:val="TableContents"/>
              <w:bidi w:val="0"/>
              <w:spacing w:before="0" w:after="0"/>
              <w:jc w:val="left"/>
              <w:rPr/>
            </w:pPr>
            <w:r>
              <w:rPr>
                <w:spacing w:val="-2"/>
              </w:rPr>
              <w:t>Peggy Lamb</w:t>
            </w:r>
            <w:r>
              <w:rPr/>
              <w:t xml:space="preserve"> </w:t>
            </w:r>
          </w:p>
          <w:p>
            <w:pPr>
              <w:pStyle w:val="TableContents"/>
              <w:bidi w:val="0"/>
              <w:spacing w:before="60" w:after="283"/>
              <w:jc w:val="left"/>
              <w:rPr/>
            </w:pPr>
            <w:r>
              <w:rPr>
                <w:spacing w:val="-2"/>
              </w:rPr>
              <w:t>Andrew W. Mathias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vMerge w:val="continue"/>
            <w:tcBorders>
              <w:bottom w:val="single" w:sz="6" w:space="0" w:color="83AD40"/>
            </w:tcBorders>
            <w:vAlign w:val="center"/>
          </w:tcPr>
          <w:p>
            <w:pPr>
              <w:pStyle w:val="Normal"/>
              <w:bidi w:val="0"/>
              <w:jc w:val="left"/>
              <w:rPr/>
            </w:pPr>
            <w:r>
              <w:rPr/>
            </w:r>
          </w:p>
        </w:tc>
        <w:tc>
          <w:tcPr>
            <w:tcW w:w="1465" w:type="dxa"/>
            <w:vMerge w:val="continue"/>
            <w:tcBorders>
              <w:bottom w:val="single" w:sz="6" w:space="0" w:color="83AD40"/>
            </w:tcBorders>
            <w:tcMar>
              <w:bottom w:w="200" w:type="dxa"/>
            </w:tcMar>
            <w:vAlign w:val="center"/>
          </w:tcPr>
          <w:p>
            <w:pPr>
              <w:pStyle w:val="Normal"/>
              <w:bidi w:val="0"/>
              <w:jc w:val="left"/>
              <w:rPr/>
            </w:pPr>
            <w:r>
              <w:rPr/>
            </w:r>
          </w:p>
        </w:tc>
        <w:tc>
          <w:tcPr>
            <w:tcW w:w="159" w:type="dxa"/>
            <w:vMerge w:val="continue"/>
            <w:tcBorders>
              <w:bottom w:val="single" w:sz="6" w:space="0" w:color="83AD40"/>
            </w:tcBorders>
            <w:vAlign w:val="center"/>
          </w:tcPr>
          <w:p>
            <w:pPr>
              <w:pStyle w:val="Normal"/>
              <w:bidi w:val="0"/>
              <w:jc w:val="left"/>
              <w:rPr/>
            </w:pPr>
            <w:r>
              <w:rPr/>
            </w:r>
          </w:p>
        </w:tc>
      </w:tr>
      <w:tr>
        <w:trPr/>
        <w:tc>
          <w:tcPr>
            <w:tcW w:w="124" w:type="dxa"/>
            <w:vMerge w:val="continue"/>
            <w:tcBorders>
              <w:bottom w:val="single" w:sz="6" w:space="0" w:color="83AD40"/>
            </w:tcBorders>
            <w:vAlign w:val="center"/>
          </w:tcPr>
          <w:p>
            <w:pPr>
              <w:pStyle w:val="Normal"/>
              <w:bidi w:val="0"/>
              <w:jc w:val="left"/>
              <w:rPr/>
            </w:pPr>
            <w:r>
              <w:rPr/>
            </w:r>
          </w:p>
        </w:tc>
        <w:tc>
          <w:tcPr>
            <w:tcW w:w="453" w:type="dxa"/>
            <w:vMerge w:val="continue"/>
            <w:tcBorders>
              <w:bottom w:val="single" w:sz="6" w:space="0" w:color="83AD40"/>
            </w:tcBorders>
            <w:vAlign w:val="center"/>
          </w:tcPr>
          <w:p>
            <w:pPr>
              <w:pStyle w:val="Normal"/>
              <w:bidi w:val="0"/>
              <w:jc w:val="left"/>
              <w:rPr/>
            </w:pPr>
            <w:r>
              <w:rPr/>
            </w:r>
          </w:p>
        </w:tc>
        <w:tc>
          <w:tcPr>
            <w:tcW w:w="109" w:type="dxa"/>
            <w:vMerge w:val="continue"/>
            <w:tcBorders>
              <w:bottom w:val="single" w:sz="6" w:space="0" w:color="83AD40"/>
            </w:tcBorders>
            <w:vAlign w:val="center"/>
          </w:tcPr>
          <w:p>
            <w:pPr>
              <w:pStyle w:val="Normal"/>
              <w:bidi w:val="0"/>
              <w:jc w:val="left"/>
              <w:rPr/>
            </w:pPr>
            <w:r>
              <w:rPr/>
            </w:r>
          </w:p>
        </w:tc>
        <w:tc>
          <w:tcPr>
            <w:tcW w:w="109" w:type="dxa"/>
            <w:tcBorders>
              <w:bottom w:val="single" w:sz="6" w:space="0" w:color="83AD40"/>
            </w:tcBorders>
            <w:vAlign w:val="center"/>
          </w:tcPr>
          <w:p>
            <w:pPr>
              <w:pStyle w:val="TableContents"/>
              <w:bidi w:val="0"/>
              <w:spacing w:before="0" w:after="283"/>
              <w:jc w:val="left"/>
              <w:rPr/>
            </w:pPr>
            <w:r>
              <w:rPr/>
              <w:t>​</w:t>
            </w:r>
          </w:p>
        </w:tc>
        <w:tc>
          <w:tcPr>
            <w:tcW w:w="6668" w:type="dxa"/>
            <w:gridSpan w:val="7"/>
            <w:tcBorders>
              <w:bottom w:val="single" w:sz="6" w:space="0" w:color="83AD40"/>
            </w:tcBorders>
            <w:tcMar>
              <w:bottom w:w="200" w:type="dxa"/>
            </w:tcMar>
            <w:vAlign w:val="center"/>
          </w:tcPr>
          <w:p>
            <w:pPr>
              <w:pStyle w:val="TableContents"/>
              <w:bidi w:val="0"/>
              <w:spacing w:lineRule="atLeast" w:line="220" w:before="0" w:after="0"/>
              <w:ind w:left="180" w:right="0" w:hanging="0"/>
              <w:jc w:val="left"/>
              <w:rPr>
                <w:spacing w:val="-2"/>
              </w:rPr>
            </w:pPr>
            <w:r>
              <w:rPr>
                <w:spacing w:val="-2"/>
              </w:rPr>
              <w:t xml:space="preserve">Our nominees represent a Board that has varied knowledge, skills, experience, perspectives and backgrounds. </w:t>
            </w:r>
            <w:r>
              <mc:AlternateContent>
                <mc:Choice Requires="wps">
                  <w:drawing>
                    <wp:anchor behindDoc="0" distT="0" distB="0" distL="0" distR="0" simplePos="0" locked="0" layoutInCell="1" allowOverlap="1" relativeHeight="343">
                      <wp:simplePos x="0" y="0"/>
                      <wp:positionH relativeFrom="column">
                        <wp:align>left</wp:align>
                      </wp:positionH>
                      <wp:positionV relativeFrom="line">
                        <wp:posOffset>635</wp:posOffset>
                      </wp:positionV>
                      <wp:extent cx="114300" cy="350520"/>
                      <wp:effectExtent l="0" t="0" r="0" b="0"/>
                      <wp:wrapSquare wrapText="right"/>
                      <wp:docPr id="46" name="Frame41"/>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60" w:after="25"/>
              <w:ind w:left="180" w:right="0" w:hanging="0"/>
              <w:jc w:val="left"/>
              <w:rPr>
                <w:spacing w:val="-2"/>
              </w:rPr>
            </w:pPr>
            <w:r>
              <w:rPr>
                <w:spacing w:val="-2"/>
              </w:rPr>
              <w:t xml:space="preserve">Each nominee has key skills that we believe are valuable to the effective oversight of the Company and the execution of our strategy. </w:t>
            </w:r>
            <w:r>
              <mc:AlternateContent>
                <mc:Choice Requires="wps">
                  <w:drawing>
                    <wp:anchor behindDoc="0" distT="101600" distB="15875" distL="0" distR="0" simplePos="0" locked="0" layoutInCell="1" allowOverlap="1" relativeHeight="344">
                      <wp:simplePos x="0" y="0"/>
                      <wp:positionH relativeFrom="column">
                        <wp:align>left</wp:align>
                      </wp:positionH>
                      <wp:positionV relativeFrom="line">
                        <wp:align>top</wp:align>
                      </wp:positionV>
                      <wp:extent cx="114300" cy="350520"/>
                      <wp:effectExtent l="0" t="0" r="0" b="0"/>
                      <wp:wrapSquare wrapText="right"/>
                      <wp:docPr id="47" name="Frame42"/>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8pt;mso-wrap-distance-bottom:1.25pt;margin-top:8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83AD40"/>
            </w:tcBorders>
            <w:vAlign w:val="center"/>
          </w:tcPr>
          <w:p>
            <w:pPr>
              <w:pStyle w:val="TableContents"/>
              <w:bidi w:val="0"/>
              <w:spacing w:before="0" w:after="283"/>
              <w:jc w:val="left"/>
              <w:rPr/>
            </w:pPr>
            <w:r>
              <w:rPr/>
              <w:t>​</w:t>
            </w:r>
          </w:p>
        </w:tc>
        <w:tc>
          <w:tcPr>
            <w:tcW w:w="109" w:type="dxa"/>
            <w:vMerge w:val="continue"/>
            <w:tcBorders>
              <w:bottom w:val="single" w:sz="6" w:space="0" w:color="83AD40"/>
            </w:tcBorders>
            <w:vAlign w:val="center"/>
          </w:tcPr>
          <w:p>
            <w:pPr>
              <w:pStyle w:val="Normal"/>
              <w:bidi w:val="0"/>
              <w:jc w:val="left"/>
              <w:rPr/>
            </w:pPr>
            <w:r>
              <w:rPr/>
            </w:r>
          </w:p>
        </w:tc>
        <w:tc>
          <w:tcPr>
            <w:tcW w:w="1465" w:type="dxa"/>
            <w:vMerge w:val="continue"/>
            <w:tcBorders>
              <w:bottom w:val="single" w:sz="6" w:space="0" w:color="83AD40"/>
            </w:tcBorders>
            <w:tcMar>
              <w:bottom w:w="200" w:type="dxa"/>
            </w:tcMar>
            <w:vAlign w:val="center"/>
          </w:tcPr>
          <w:p>
            <w:pPr>
              <w:pStyle w:val="Normal"/>
              <w:bidi w:val="0"/>
              <w:jc w:val="left"/>
              <w:rPr/>
            </w:pPr>
            <w:r>
              <w:rPr/>
            </w:r>
          </w:p>
        </w:tc>
        <w:tc>
          <w:tcPr>
            <w:tcW w:w="159" w:type="dxa"/>
            <w:vMerge w:val="continue"/>
            <w:tcBorders>
              <w:bottom w:val="single" w:sz="6" w:space="0" w:color="83AD40"/>
            </w:tcBorders>
            <w:vAlign w:val="center"/>
          </w:tcPr>
          <w:p>
            <w:pPr>
              <w:pStyle w:val="Normal"/>
              <w:bidi w:val="0"/>
              <w:jc w:val="left"/>
              <w:rPr/>
            </w:pPr>
            <w:r>
              <w:rPr/>
            </w:r>
          </w:p>
        </w:tc>
      </w:tr>
      <w:tr>
        <w:trPr/>
        <w:tc>
          <w:tcPr>
            <w:tcW w:w="124" w:type="dxa"/>
            <w:tcBorders>
              <w:bottom w:val="single" w:sz="6" w:space="0" w:color="83AD40"/>
            </w:tcBorders>
            <w:vAlign w:val="center"/>
          </w:tcPr>
          <w:p>
            <w:pPr>
              <w:pStyle w:val="TableContents"/>
              <w:bidi w:val="0"/>
              <w:spacing w:before="0" w:after="283"/>
              <w:jc w:val="left"/>
              <w:rPr/>
            </w:pPr>
            <w:r>
              <w:rPr/>
              <w:t>​</w:t>
            </w:r>
          </w:p>
        </w:tc>
        <w:tc>
          <w:tcPr>
            <w:tcW w:w="453" w:type="dxa"/>
            <w:tcBorders>
              <w:bottom w:val="single" w:sz="6" w:space="0" w:color="83AD40"/>
            </w:tcBorders>
            <w:vAlign w:val="center"/>
          </w:tcPr>
          <w:p>
            <w:pPr>
              <w:pStyle w:val="TableContents"/>
              <w:bidi w:val="0"/>
              <w:spacing w:before="0" w:after="0"/>
              <w:jc w:val="center"/>
              <w:rPr/>
            </w:pPr>
            <w:r>
              <w:rPr/>
              <w:drawing>
                <wp:inline distT="0" distB="0" distL="0" distR="0">
                  <wp:extent cx="228600" cy="238125"/>
                  <wp:effectExtent l="0" t="0" r="0" b="0"/>
                  <wp:docPr id="4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6" descr=""/>
                          <pic:cNvPicPr>
                            <a:picLocks noChangeAspect="1" noChangeArrowheads="1"/>
                          </pic:cNvPicPr>
                        </pic:nvPicPr>
                        <pic:blipFill>
                          <a:blip r:embed="rId7"/>
                          <a:stretch>
                            <a:fillRect/>
                          </a:stretch>
                        </pic:blipFill>
                        <pic:spPr bwMode="auto">
                          <a:xfrm>
                            <a:off x="0" y="0"/>
                            <a:ext cx="228600" cy="238125"/>
                          </a:xfrm>
                          <a:prstGeom prst="rect">
                            <a:avLst/>
                          </a:prstGeom>
                        </pic:spPr>
                      </pic:pic>
                    </a:graphicData>
                  </a:graphic>
                </wp:inline>
              </w:drawing>
            </w:r>
            <w:r>
              <w:rPr/>
              <w:t xml:space="preserve"> </w:t>
            </w:r>
          </w:p>
        </w:tc>
        <w:tc>
          <w:tcPr>
            <w:tcW w:w="109" w:type="dxa"/>
            <w:tcBorders>
              <w:bottom w:val="single" w:sz="6" w:space="0" w:color="83AD40"/>
            </w:tcBorders>
            <w:vAlign w:val="center"/>
          </w:tcPr>
          <w:p>
            <w:pPr>
              <w:pStyle w:val="TableContents"/>
              <w:bidi w:val="0"/>
              <w:spacing w:before="0" w:after="283"/>
              <w:jc w:val="left"/>
              <w:rPr/>
            </w:pPr>
            <w:r>
              <w:rPr/>
              <w:t>​</w:t>
            </w:r>
          </w:p>
        </w:tc>
        <w:tc>
          <w:tcPr>
            <w:tcW w:w="109" w:type="dxa"/>
            <w:tcBorders>
              <w:bottom w:val="single" w:sz="6" w:space="0" w:color="83AD40"/>
            </w:tcBorders>
            <w:vAlign w:val="center"/>
          </w:tcPr>
          <w:p>
            <w:pPr>
              <w:pStyle w:val="TableContents"/>
              <w:bidi w:val="0"/>
              <w:spacing w:before="0" w:after="283"/>
              <w:jc w:val="left"/>
              <w:rPr/>
            </w:pPr>
            <w:r>
              <w:rPr/>
              <w:t>​</w:t>
            </w:r>
          </w:p>
        </w:tc>
        <w:tc>
          <w:tcPr>
            <w:tcW w:w="6668" w:type="dxa"/>
            <w:gridSpan w:val="7"/>
            <w:tcBorders>
              <w:bottom w:val="single" w:sz="6" w:space="0" w:color="83AD40"/>
            </w:tcBorders>
            <w:tcMar>
              <w:bottom w:w="162" w:type="dxa"/>
            </w:tcMar>
            <w:vAlign w:val="center"/>
          </w:tcPr>
          <w:p>
            <w:pPr>
              <w:pStyle w:val="TableContents"/>
              <w:bidi w:val="0"/>
              <w:spacing w:lineRule="atLeast" w:line="260" w:before="0" w:after="283"/>
              <w:jc w:val="left"/>
              <w:rPr>
                <w:b/>
                <w:color w:val="1F2668"/>
                <w:sz w:val="26"/>
              </w:rPr>
            </w:pPr>
            <w:r>
              <w:rPr>
                <w:b/>
                <w:color w:val="1F2668"/>
                <w:spacing w:val="-3"/>
                <w:sz w:val="26"/>
              </w:rPr>
              <w:t>Advisory Approval of Executive Compensation</w:t>
            </w:r>
            <w:r>
              <w:rPr>
                <w:b/>
                <w:color w:val="000000"/>
                <w:sz w:val="26"/>
              </w:rPr>
              <w:t>​</w:t>
            </w:r>
            <w:r>
              <w:rPr>
                <w:b/>
                <w:color w:val="1F2668"/>
                <w:sz w:val="26"/>
              </w:rPr>
              <w:t xml:space="preserve"> </w:t>
            </w:r>
          </w:p>
          <w:p>
            <w:pPr>
              <w:pStyle w:val="TableContents"/>
              <w:bidi w:val="0"/>
              <w:spacing w:lineRule="atLeast" w:line="220" w:before="160" w:after="0"/>
              <w:ind w:left="180" w:right="0" w:hanging="0"/>
              <w:jc w:val="left"/>
              <w:rPr>
                <w:spacing w:val="-2"/>
              </w:rPr>
            </w:pPr>
            <w:r>
              <w:rPr>
                <w:spacing w:val="-2"/>
              </w:rPr>
              <w:t xml:space="preserve">At the heart of our executive compensation philosophy is a commitment to variable, incentive-based pay that strives to align stockholder value with the economic interests of our management team. </w:t>
            </w:r>
            <w:r>
              <mc:AlternateContent>
                <mc:Choice Requires="wps">
                  <w:drawing>
                    <wp:anchor behindDoc="0" distT="101600" distB="0" distL="0" distR="0" simplePos="0" locked="0" layoutInCell="1" allowOverlap="1" relativeHeight="345">
                      <wp:simplePos x="0" y="0"/>
                      <wp:positionH relativeFrom="column">
                        <wp:align>left</wp:align>
                      </wp:positionH>
                      <wp:positionV relativeFrom="line">
                        <wp:align>top</wp:align>
                      </wp:positionV>
                      <wp:extent cx="114300" cy="350520"/>
                      <wp:effectExtent l="0" t="0" r="0" b="0"/>
                      <wp:wrapSquare wrapText="right"/>
                      <wp:docPr id="49" name="Frame43"/>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60" w:after="63"/>
              <w:ind w:left="180" w:right="0" w:hanging="0"/>
              <w:jc w:val="left"/>
              <w:rPr>
                <w:spacing w:val="-2"/>
              </w:rPr>
            </w:pPr>
            <w:r>
              <w:rPr>
                <w:spacing w:val="-2"/>
              </w:rPr>
              <w:t xml:space="preserve">We believe that our executive compensation programs provide appropriate performance-based incentives to attract and retain leadership talent in the highly competitive New York City real estate market, to align management and stockholder interests and to continue to drive our long-term track record of superior return to stockholders. </w:t>
            </w:r>
            <w:r>
              <mc:AlternateContent>
                <mc:Choice Requires="wps">
                  <w:drawing>
                    <wp:anchor behindDoc="0" distT="101600" distB="40005" distL="0" distR="0" simplePos="0" locked="0" layoutInCell="1" allowOverlap="1" relativeHeight="346">
                      <wp:simplePos x="0" y="0"/>
                      <wp:positionH relativeFrom="column">
                        <wp:align>left</wp:align>
                      </wp:positionH>
                      <wp:positionV relativeFrom="line">
                        <wp:align>top</wp:align>
                      </wp:positionV>
                      <wp:extent cx="114300" cy="350520"/>
                      <wp:effectExtent l="0" t="0" r="0" b="0"/>
                      <wp:wrapSquare wrapText="right"/>
                      <wp:docPr id="50" name="Frame44"/>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8pt;mso-wrap-distance-bottom:3.15pt;margin-top:8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83AD40"/>
            </w:tcBorders>
            <w:vAlign w:val="center"/>
          </w:tcPr>
          <w:p>
            <w:pPr>
              <w:pStyle w:val="TableContents"/>
              <w:bidi w:val="0"/>
              <w:spacing w:before="0" w:after="283"/>
              <w:jc w:val="left"/>
              <w:rPr/>
            </w:pPr>
            <w:r>
              <w:rPr/>
              <w:t>​</w:t>
            </w:r>
          </w:p>
        </w:tc>
        <w:tc>
          <w:tcPr>
            <w:tcW w:w="109" w:type="dxa"/>
            <w:tcBorders>
              <w:bottom w:val="single" w:sz="6" w:space="0" w:color="83AD40"/>
            </w:tcBorders>
            <w:vAlign w:val="center"/>
          </w:tcPr>
          <w:p>
            <w:pPr>
              <w:pStyle w:val="TableContents"/>
              <w:bidi w:val="0"/>
              <w:spacing w:before="0" w:after="283"/>
              <w:jc w:val="left"/>
              <w:rPr/>
            </w:pPr>
            <w:r>
              <w:rPr/>
              <w:t>​</w:t>
            </w:r>
          </w:p>
        </w:tc>
        <w:tc>
          <w:tcPr>
            <w:tcW w:w="1465" w:type="dxa"/>
            <w:tcBorders>
              <w:bottom w:val="single" w:sz="6" w:space="0" w:color="83AD40"/>
            </w:tcBorders>
            <w:tcMar>
              <w:bottom w:w="162" w:type="dxa"/>
            </w:tcMar>
            <w:vAlign w:val="center"/>
          </w:tcPr>
          <w:p>
            <w:pPr>
              <w:pStyle w:val="TableContents"/>
              <w:bidi w:val="0"/>
              <w:spacing w:before="0" w:after="0"/>
              <w:jc w:val="left"/>
              <w:rPr/>
            </w:pPr>
            <w:r>
              <w:rPr/>
              <w:drawing>
                <wp:inline distT="0" distB="0" distL="0" distR="0">
                  <wp:extent cx="457200" cy="457200"/>
                  <wp:effectExtent l="0" t="0" r="0" b="0"/>
                  <wp:docPr id="5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7" descr=""/>
                          <pic:cNvPicPr>
                            <a:picLocks noChangeAspect="1" noChangeArrowheads="1"/>
                          </pic:cNvPicPr>
                        </pic:nvPicPr>
                        <pic:blipFill>
                          <a:blip r:embed="rId8"/>
                          <a:stretch>
                            <a:fillRect/>
                          </a:stretch>
                        </pic:blipFill>
                        <pic:spPr bwMode="auto">
                          <a:xfrm>
                            <a:off x="0" y="0"/>
                            <a:ext cx="457200" cy="457200"/>
                          </a:xfrm>
                          <a:prstGeom prst="rect">
                            <a:avLst/>
                          </a:prstGeom>
                        </pic:spPr>
                      </pic:pic>
                    </a:graphicData>
                  </a:graphic>
                </wp:inline>
              </w:drawing>
            </w:r>
            <w:r>
              <w:rPr/>
              <w:t xml:space="preserve"> </w:t>
            </w:r>
          </w:p>
          <w:p>
            <w:pPr>
              <w:pStyle w:val="TableContents"/>
              <w:bidi w:val="0"/>
              <w:spacing w:lineRule="atLeast" w:line="220" w:before="199" w:after="283"/>
              <w:jc w:val="left"/>
              <w:rPr>
                <w:b/>
              </w:rPr>
            </w:pPr>
            <w:r>
              <w:rPr>
                <w:b/>
                <w:spacing w:val="-2"/>
              </w:rPr>
              <w:t xml:space="preserve">The Board </w:t>
              <w:br/>
              <w:t>recommends a vote</w:t>
            </w:r>
            <w:r>
              <w:rPr>
                <w:b/>
              </w:rPr>
              <w:t xml:space="preserve"> </w:t>
            </w:r>
          </w:p>
          <w:p>
            <w:pPr>
              <w:pStyle w:val="TableContents"/>
              <w:bidi w:val="0"/>
              <w:spacing w:lineRule="atLeast" w:line="180" w:before="40" w:after="283"/>
              <w:jc w:val="left"/>
              <w:rPr/>
            </w:pPr>
            <w:r>
              <w:rPr>
                <w:b/>
                <w:color w:val="1F2668"/>
                <w:sz w:val="24"/>
              </w:rPr>
              <w:t>FOR</w:t>
            </w:r>
            <w:r>
              <w:rPr>
                <w:b/>
                <w:color w:val="000000"/>
                <w:spacing w:val="-2"/>
                <w:sz w:val="16"/>
              </w:rPr>
              <w:t xml:space="preserve"> </w:t>
            </w:r>
            <w:r>
              <w:rPr>
                <w:b/>
                <w:color w:val="000000"/>
                <w:spacing w:val="-2"/>
                <w:sz w:val="18"/>
              </w:rPr>
              <w:t>this proposal.</w:t>
            </w:r>
            <w:r>
              <w:rPr>
                <w:b/>
                <w:color w:val="1F2668"/>
                <w:sz w:val="16"/>
              </w:rPr>
              <w:t xml:space="preserve"> </w:t>
              <w:br/>
            </w:r>
            <w:r>
              <w:rPr>
                <w:b/>
                <w:color w:val="1F2668"/>
                <w:spacing w:val="-2"/>
                <w:sz w:val="16"/>
              </w:rPr>
              <w:t xml:space="preserve">SEE PAGE </w:t>
            </w:r>
            <w:hyperlink w:anchor="tPR2">
              <w:r>
                <w:rPr>
                  <w:rStyle w:val="InternetLink"/>
                  <w:b/>
                  <w:color w:val="000080"/>
                  <w:spacing w:val="-2"/>
                  <w:sz w:val="16"/>
                </w:rPr>
                <w:t>40</w:t>
              </w:r>
            </w:hyperlink>
            <w:r>
              <w:rPr>
                <w:b/>
                <w:color w:val="000000"/>
                <w:spacing w:val="-2"/>
                <w:sz w:val="16"/>
              </w:rPr>
              <w:t>   </w:t>
            </w:r>
            <w:r>
              <w:rPr>
                <w:b/>
                <w:color w:val="1F2668"/>
                <w:sz w:val="16"/>
              </w:rPr>
              <w:drawing>
                <wp:inline distT="0" distB="0" distL="0" distR="0">
                  <wp:extent cx="66675" cy="76200"/>
                  <wp:effectExtent l="0" t="0" r="0" b="0"/>
                  <wp:docPr id="5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8" descr=""/>
                          <pic:cNvPicPr>
                            <a:picLocks noChangeAspect="1" noChangeArrowheads="1"/>
                          </pic:cNvPicPr>
                        </pic:nvPicPr>
                        <pic:blipFill>
                          <a:blip r:embed="rId9"/>
                          <a:stretch>
                            <a:fillRect/>
                          </a:stretch>
                        </pic:blipFill>
                        <pic:spPr bwMode="auto">
                          <a:xfrm>
                            <a:off x="0" y="0"/>
                            <a:ext cx="66675" cy="76200"/>
                          </a:xfrm>
                          <a:prstGeom prst="rect">
                            <a:avLst/>
                          </a:prstGeom>
                        </pic:spPr>
                      </pic:pic>
                    </a:graphicData>
                  </a:graphic>
                </wp:inline>
              </w:drawing>
            </w:r>
            <w:r>
              <w:rPr>
                <w:b/>
                <w:color w:val="1F2668"/>
                <w:sz w:val="16"/>
              </w:rPr>
              <w:t xml:space="preserve"> </w:t>
            </w:r>
          </w:p>
        </w:tc>
        <w:tc>
          <w:tcPr>
            <w:tcW w:w="159" w:type="dxa"/>
            <w:tcBorders>
              <w:bottom w:val="single" w:sz="6" w:space="0" w:color="83AD40"/>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53" w:type="dxa"/>
            <w:tcBorders/>
            <w:tcMar>
              <w:bottom w:w="0" w:type="dxa"/>
            </w:tcMar>
            <w:vAlign w:val="center"/>
          </w:tcPr>
          <w:p>
            <w:pPr>
              <w:pStyle w:val="TableContents"/>
              <w:bidi w:val="0"/>
              <w:spacing w:before="0" w:after="0"/>
              <w:jc w:val="left"/>
              <w:rPr/>
            </w:pPr>
            <w:r>
              <w:rPr/>
              <w:drawing>
                <wp:inline distT="0" distB="0" distL="0" distR="0">
                  <wp:extent cx="228600" cy="238125"/>
                  <wp:effectExtent l="0" t="0" r="0" b="0"/>
                  <wp:docPr id="53"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9" descr=""/>
                          <pic:cNvPicPr>
                            <a:picLocks noChangeAspect="1" noChangeArrowheads="1"/>
                          </pic:cNvPicPr>
                        </pic:nvPicPr>
                        <pic:blipFill>
                          <a:blip r:embed="rId10"/>
                          <a:stretch>
                            <a:fillRect/>
                          </a:stretch>
                        </pic:blipFill>
                        <pic:spPr bwMode="auto">
                          <a:xfrm>
                            <a:off x="0" y="0"/>
                            <a:ext cx="228600" cy="238125"/>
                          </a:xfrm>
                          <a:prstGeom prst="rect">
                            <a:avLst/>
                          </a:prstGeom>
                        </pic:spPr>
                      </pic:pic>
                    </a:graphicData>
                  </a:graphic>
                </wp:inline>
              </w:drawing>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668" w:type="dxa"/>
            <w:gridSpan w:val="7"/>
            <w:tcBorders/>
            <w:tcMar>
              <w:bottom w:w="0" w:type="dxa"/>
            </w:tcMar>
            <w:vAlign w:val="center"/>
          </w:tcPr>
          <w:p>
            <w:pPr>
              <w:pStyle w:val="TableContents"/>
              <w:bidi w:val="0"/>
              <w:spacing w:lineRule="atLeast" w:line="300" w:before="0" w:after="0"/>
              <w:jc w:val="left"/>
              <w:rPr>
                <w:b/>
                <w:color w:val="1F2668"/>
                <w:sz w:val="26"/>
              </w:rPr>
            </w:pPr>
            <w:r>
              <w:rPr>
                <w:b/>
                <w:color w:val="1F2668"/>
                <w:spacing w:val="-3"/>
                <w:sz w:val="26"/>
              </w:rPr>
              <w:t>Ratification of Independent Registered Public Accounting Firm</w:t>
            </w:r>
            <w:r>
              <w:rPr>
                <w:b/>
                <w:color w:val="000000"/>
                <w:sz w:val="26"/>
              </w:rPr>
              <w:t>​</w:t>
            </w:r>
            <w:r>
              <w:rPr>
                <w:b/>
                <w:color w:val="1F2668"/>
                <w:sz w:val="26"/>
              </w:rPr>
              <w:t xml:space="preserve"> </w:t>
            </w:r>
          </w:p>
          <w:p>
            <w:pPr>
              <w:pStyle w:val="TableContents"/>
              <w:bidi w:val="0"/>
              <w:spacing w:lineRule="atLeast" w:line="220" w:before="160" w:after="0"/>
              <w:ind w:left="180" w:right="0" w:hanging="0"/>
              <w:jc w:val="left"/>
              <w:rPr>
                <w:spacing w:val="-2"/>
              </w:rPr>
            </w:pPr>
            <w:r>
              <w:rPr>
                <w:spacing w:val="-2"/>
              </w:rPr>
              <w:t xml:space="preserve">The Audit Committee of the Board has appointed the accounting firm of Deloitte &amp; Touche LLP to serve as our independent registered public accounting firm for the fiscal year ending December 31, 2026. </w:t>
            </w:r>
            <w:r>
              <mc:AlternateContent>
                <mc:Choice Requires="wps">
                  <w:drawing>
                    <wp:anchor behindDoc="0" distT="101600" distB="0" distL="0" distR="0" simplePos="0" locked="0" layoutInCell="1" allowOverlap="1" relativeHeight="348">
                      <wp:simplePos x="0" y="0"/>
                      <wp:positionH relativeFrom="column">
                        <wp:align>left</wp:align>
                      </wp:positionH>
                      <wp:positionV relativeFrom="line">
                        <wp:align>top</wp:align>
                      </wp:positionV>
                      <wp:extent cx="114300" cy="350520"/>
                      <wp:effectExtent l="0" t="0" r="0" b="0"/>
                      <wp:wrapSquare wrapText="right"/>
                      <wp:docPr id="54" name="Frame45"/>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60" w:after="0"/>
              <w:ind w:left="180" w:right="0" w:hanging="0"/>
              <w:jc w:val="left"/>
              <w:rPr>
                <w:spacing w:val="-2"/>
              </w:rPr>
            </w:pPr>
            <w:r>
              <w:rPr>
                <w:spacing w:val="-2"/>
              </w:rPr>
              <w:t xml:space="preserve">The Audit Committee and the Board believe that the appointment of Deloitte &amp; Touche LLP is in the best interest of the Company and its stockholders. </w:t>
            </w:r>
            <w:r>
              <mc:AlternateContent>
                <mc:Choice Requires="wps">
                  <w:drawing>
                    <wp:anchor behindDoc="0" distT="101600" distB="0" distL="0" distR="0" simplePos="0" locked="0" layoutInCell="1" allowOverlap="1" relativeHeight="347">
                      <wp:simplePos x="0" y="0"/>
                      <wp:positionH relativeFrom="column">
                        <wp:align>left</wp:align>
                      </wp:positionH>
                      <wp:positionV relativeFrom="line">
                        <wp:align>top</wp:align>
                      </wp:positionV>
                      <wp:extent cx="114300" cy="350520"/>
                      <wp:effectExtent l="0" t="0" r="0" b="0"/>
                      <wp:wrapSquare wrapText="right"/>
                      <wp:docPr id="55" name="Frame46"/>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5" w:type="dxa"/>
            <w:tcBorders/>
            <w:tcMar>
              <w:bottom w:w="0" w:type="dxa"/>
            </w:tcMar>
            <w:vAlign w:val="center"/>
          </w:tcPr>
          <w:p>
            <w:pPr>
              <w:pStyle w:val="TableContents"/>
              <w:bidi w:val="0"/>
              <w:spacing w:before="0" w:after="0"/>
              <w:jc w:val="left"/>
              <w:rPr/>
            </w:pPr>
            <w:r>
              <w:rPr/>
              <w:drawing>
                <wp:inline distT="0" distB="0" distL="0" distR="0">
                  <wp:extent cx="457200" cy="457200"/>
                  <wp:effectExtent l="0" t="0" r="0" b="0"/>
                  <wp:docPr id="56"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10" descr=""/>
                          <pic:cNvPicPr>
                            <a:picLocks noChangeAspect="1" noChangeArrowheads="1"/>
                          </pic:cNvPicPr>
                        </pic:nvPicPr>
                        <pic:blipFill>
                          <a:blip r:embed="rId11"/>
                          <a:stretch>
                            <a:fillRect/>
                          </a:stretch>
                        </pic:blipFill>
                        <pic:spPr bwMode="auto">
                          <a:xfrm>
                            <a:off x="0" y="0"/>
                            <a:ext cx="457200" cy="457200"/>
                          </a:xfrm>
                          <a:prstGeom prst="rect">
                            <a:avLst/>
                          </a:prstGeom>
                        </pic:spPr>
                      </pic:pic>
                    </a:graphicData>
                  </a:graphic>
                </wp:inline>
              </w:drawing>
            </w:r>
            <w:r>
              <w:rPr/>
              <w:t xml:space="preserve"> </w:t>
            </w:r>
          </w:p>
          <w:p>
            <w:pPr>
              <w:pStyle w:val="TableContents"/>
              <w:bidi w:val="0"/>
              <w:spacing w:lineRule="atLeast" w:line="220" w:before="199" w:after="283"/>
              <w:jc w:val="left"/>
              <w:rPr>
                <w:b/>
              </w:rPr>
            </w:pPr>
            <w:r>
              <w:rPr>
                <w:b/>
                <w:spacing w:val="-2"/>
              </w:rPr>
              <w:t xml:space="preserve">The Board </w:t>
              <w:br/>
              <w:t>recommends a vote</w:t>
            </w:r>
            <w:r>
              <w:rPr>
                <w:b/>
              </w:rPr>
              <w:t xml:space="preserve"> </w:t>
            </w:r>
          </w:p>
          <w:p>
            <w:pPr>
              <w:pStyle w:val="TableContents"/>
              <w:bidi w:val="0"/>
              <w:spacing w:lineRule="atLeast" w:line="180" w:before="40" w:after="283"/>
              <w:jc w:val="left"/>
              <w:rPr/>
            </w:pPr>
            <w:r>
              <w:rPr>
                <w:b/>
                <w:color w:val="1F2668"/>
                <w:sz w:val="24"/>
              </w:rPr>
              <w:t>FOR</w:t>
            </w:r>
            <w:r>
              <w:rPr>
                <w:b/>
                <w:color w:val="000000"/>
                <w:spacing w:val="-2"/>
                <w:sz w:val="16"/>
              </w:rPr>
              <w:t xml:space="preserve"> </w:t>
            </w:r>
            <w:r>
              <w:rPr>
                <w:b/>
                <w:color w:val="000000"/>
                <w:spacing w:val="-2"/>
                <w:sz w:val="18"/>
              </w:rPr>
              <w:t>this proposal.</w:t>
            </w:r>
            <w:r>
              <w:rPr>
                <w:b/>
                <w:color w:val="1F2668"/>
                <w:sz w:val="16"/>
              </w:rPr>
              <w:t xml:space="preserve"> </w:t>
              <w:br/>
            </w:r>
            <w:r>
              <w:rPr>
                <w:b/>
                <w:color w:val="1F2668"/>
                <w:spacing w:val="-2"/>
                <w:sz w:val="16"/>
              </w:rPr>
              <w:t xml:space="preserve">SEE PAGE </w:t>
            </w:r>
            <w:hyperlink w:anchor="tPR3">
              <w:r>
                <w:rPr>
                  <w:rStyle w:val="InternetLink"/>
                  <w:b/>
                  <w:color w:val="000080"/>
                  <w:spacing w:val="-2"/>
                  <w:sz w:val="16"/>
                </w:rPr>
                <w:t>83</w:t>
              </w:r>
            </w:hyperlink>
            <w:r>
              <w:rPr>
                <w:b/>
                <w:color w:val="000000"/>
                <w:spacing w:val="-2"/>
                <w:sz w:val="16"/>
              </w:rPr>
              <w:t>   </w:t>
            </w:r>
            <w:r>
              <w:rPr>
                <w:b/>
                <w:color w:val="1F2668"/>
                <w:sz w:val="16"/>
              </w:rPr>
              <w:drawing>
                <wp:inline distT="0" distB="0" distL="0" distR="0">
                  <wp:extent cx="66675" cy="76200"/>
                  <wp:effectExtent l="0" t="0" r="0" b="0"/>
                  <wp:docPr id="57"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11" descr=""/>
                          <pic:cNvPicPr>
                            <a:picLocks noChangeAspect="1" noChangeArrowheads="1"/>
                          </pic:cNvPicPr>
                        </pic:nvPicPr>
                        <pic:blipFill>
                          <a:blip r:embed="rId12"/>
                          <a:stretch>
                            <a:fillRect/>
                          </a:stretch>
                        </pic:blipFill>
                        <pic:spPr bwMode="auto">
                          <a:xfrm>
                            <a:off x="0" y="0"/>
                            <a:ext cx="66675" cy="76200"/>
                          </a:xfrm>
                          <a:prstGeom prst="rect">
                            <a:avLst/>
                          </a:prstGeom>
                        </pic:spPr>
                      </pic:pic>
                    </a:graphicData>
                  </a:graphic>
                </wp:inline>
              </w:drawing>
            </w:r>
            <w:r>
              <w:rPr>
                <w:b/>
                <w:color w:val="1F2668"/>
                <w:sz w:val="16"/>
              </w:rPr>
              <w:t xml:space="preserve"> </w:t>
            </w:r>
          </w:p>
        </w:tc>
        <w:tc>
          <w:tcPr>
            <w:tcW w:w="159" w:type="dxa"/>
            <w:tcBorders/>
            <w:tcMar>
              <w:bottom w:w="0" w:type="dxa"/>
            </w:tcMar>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280" w:type="dxa"/>
        <w:jc w:val="left"/>
        <w:tblInd w:w="900" w:type="dxa"/>
        <w:tblLayout w:type="fixed"/>
        <w:tblCellMar>
          <w:top w:w="0" w:type="dxa"/>
          <w:left w:w="0" w:type="dxa"/>
          <w:bottom w:w="0" w:type="dxa"/>
          <w:right w:w="0" w:type="dxa"/>
        </w:tblCellMar>
      </w:tblPr>
      <w:tblGrid>
        <w:gridCol w:w="124"/>
        <w:gridCol w:w="4558"/>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4558" w:type="dxa"/>
            <w:tcBorders/>
            <w:vAlign w:val="center"/>
          </w:tcPr>
          <w:p>
            <w:pPr>
              <w:pStyle w:val="TableContents"/>
              <w:bidi w:val="0"/>
              <w:spacing w:lineRule="atLeast" w:line="200" w:before="0" w:after="0"/>
              <w:jc w:val="left"/>
              <w:rPr/>
            </w:pPr>
            <w:r>
              <w:rPr>
                <w:spacing w:val="-2"/>
              </w:rPr>
              <w:t>2026 PROXY STATEMENT HIGHLIGHTS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0"/>
              <w:jc w:val="right"/>
              <w:rPr>
                <w:color w:val="1F2668"/>
                <w:sz w:val="24"/>
              </w:rPr>
            </w:pPr>
            <w:r>
              <w:rPr>
                <w:color w:val="1F2668"/>
                <w:sz w:val="24"/>
              </w:rPr>
              <w:t>5</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360" w:before="560" w:after="283"/>
        <w:ind w:left="900" w:right="0" w:hanging="0"/>
        <w:jc w:val="left"/>
        <w:rPr>
          <w:rFonts w:ascii="Arial;Helvetica;sans-serif" w:hAnsi="Arial;Helvetica;sans-serif"/>
          <w:b/>
          <w:i w:val="false"/>
          <w:caps w:val="false"/>
          <w:smallCaps w:val="false"/>
          <w:color w:val="83AD40"/>
          <w:sz w:val="32"/>
        </w:rPr>
      </w:pPr>
      <w:r>
        <w:rPr>
          <w:rFonts w:ascii="Arial;Helvetica;sans-serif" w:hAnsi="Arial;Helvetica;sans-serif"/>
          <w:b/>
          <w:i w:val="false"/>
          <w:caps/>
          <w:color w:val="83AD40"/>
          <w:spacing w:val="-3"/>
          <w:sz w:val="32"/>
        </w:rPr>
        <w:t>BUSINESS OVERVIEW AND HIGHLIGHTS</w:t>
      </w:r>
      <w:r>
        <w:rPr>
          <w:rFonts w:ascii="Arial;Helvetica;sans-serif" w:hAnsi="Arial;Helvetica;sans-serif"/>
          <w:b/>
          <w:i w:val="false"/>
          <w:caps w:val="false"/>
          <w:smallCaps w:val="false"/>
          <w:color w:val="000000"/>
          <w:spacing w:val="6"/>
          <w:sz w:val="32"/>
        </w:rPr>
        <w:t xml:space="preserve">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469900" distR="0" simplePos="0" locked="0" layoutInCell="1" allowOverlap="1" relativeHeight="177">
                <wp:simplePos x="0" y="0"/>
                <wp:positionH relativeFrom="column">
                  <wp:align>left</wp:align>
                </wp:positionH>
                <wp:positionV relativeFrom="line">
                  <wp:posOffset>635</wp:posOffset>
                </wp:positionV>
                <wp:extent cx="2286000" cy="8670290"/>
                <wp:effectExtent l="0" t="0" r="0" b="0"/>
                <wp:wrapSquare wrapText="right"/>
                <wp:docPr id="58" name="Frame47"/>
                <a:graphic xmlns:a="http://schemas.openxmlformats.org/drawingml/2006/main">
                  <a:graphicData uri="http://schemas.microsoft.com/office/word/2010/wordprocessingShape">
                    <wps:wsp>
                      <wps:cNvSpPr txBox="1"/>
                      <wps:spPr>
                        <a:xfrm>
                          <a:off x="0" y="0"/>
                          <a:ext cx="2286000" cy="8670290"/>
                        </a:xfrm>
                        <a:prstGeom prst="rect"/>
                        <a:solidFill>
                          <a:srgbClr val="FFFFFF"/>
                        </a:solidFill>
                      </wps:spPr>
                      <wps:txbx>
                        <w:txbxContent>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3993" w:type="dxa"/>
                              <w:jc w:val="left"/>
                              <w:tblInd w:w="0" w:type="dxa"/>
                              <w:tblLayout w:type="fixed"/>
                              <w:tblCellMar>
                                <w:top w:w="0" w:type="dxa"/>
                                <w:left w:w="0" w:type="dxa"/>
                                <w:bottom w:w="0" w:type="dxa"/>
                                <w:right w:w="0" w:type="dxa"/>
                              </w:tblCellMar>
                            </w:tblPr>
                            <w:tblGrid>
                              <w:gridCol w:w="124"/>
                              <w:gridCol w:w="3606"/>
                              <w:gridCol w:w="109"/>
                              <w:gridCol w:w="154"/>
                            </w:tblGrid>
                            <w:tr>
                              <w:trPr/>
                              <w:tc>
                                <w:tcPr>
                                  <w:tcW w:w="124" w:type="dxa"/>
                                  <w:tcBorders/>
                                  <w:vAlign w:val="center"/>
                                </w:tcPr>
                                <w:p>
                                  <w:pPr>
                                    <w:pStyle w:val="TableContents"/>
                                    <w:bidi w:val="0"/>
                                    <w:spacing w:before="0" w:after="283"/>
                                    <w:jc w:val="left"/>
                                    <w:rPr/>
                                  </w:pPr>
                                  <w:r>
                                    <w:rPr/>
                                    <w:t>​</w:t>
                                  </w:r>
                                </w:p>
                              </w:tc>
                              <w:tc>
                                <w:tcPr>
                                  <w:tcW w:w="3606" w:type="dxa"/>
                                  <w:tcBorders/>
                                  <w:vAlign w:val="center"/>
                                </w:tcPr>
                                <w:p>
                                  <w:pPr>
                                    <w:pStyle w:val="TableContents"/>
                                    <w:bidi w:val="0"/>
                                    <w:spacing w:before="0" w:after="0"/>
                                    <w:ind w:left="0" w:right="160" w:hanging="0"/>
                                    <w:jc w:val="left"/>
                                    <w:rPr/>
                                  </w:pPr>
                                  <w:r>
                                    <w:rPr/>
                                    <w:drawing>
                                      <wp:inline distT="0" distB="0" distL="0" distR="0">
                                        <wp:extent cx="2095500" cy="7696200"/>
                                        <wp:effectExtent l="0" t="0" r="0" b="0"/>
                                        <wp:docPr id="59"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12" descr=""/>
                                                <pic:cNvPicPr>
                                                  <a:picLocks noChangeAspect="1" noChangeArrowheads="1"/>
                                                </pic:cNvPicPr>
                                              </pic:nvPicPr>
                                              <pic:blipFill>
                                                <a:blip r:embed="rId13"/>
                                                <a:stretch>
                                                  <a:fillRect/>
                                                </a:stretch>
                                              </pic:blipFill>
                                              <pic:spPr bwMode="auto">
                                                <a:xfrm>
                                                  <a:off x="0" y="0"/>
                                                  <a:ext cx="2095500" cy="76962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80pt;height:682.7pt;mso-wrap-distance-left:37pt;mso-wrap-distance-right:0pt;mso-wrap-distance-top:0pt;mso-wrap-distance-bottom:0pt;margin-top:0pt;mso-position-vertical:top;mso-position-vertical-relative:text;margin-left:37pt;mso-position-horizontal:left;mso-position-horizontal-relative:text">
                <v:textbox>
                  <w:txbxContent>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3993" w:type="dxa"/>
                        <w:jc w:val="left"/>
                        <w:tblInd w:w="0" w:type="dxa"/>
                        <w:tblLayout w:type="fixed"/>
                        <w:tblCellMar>
                          <w:top w:w="0" w:type="dxa"/>
                          <w:left w:w="0" w:type="dxa"/>
                          <w:bottom w:w="0" w:type="dxa"/>
                          <w:right w:w="0" w:type="dxa"/>
                        </w:tblCellMar>
                      </w:tblPr>
                      <w:tblGrid>
                        <w:gridCol w:w="124"/>
                        <w:gridCol w:w="3606"/>
                        <w:gridCol w:w="109"/>
                        <w:gridCol w:w="154"/>
                      </w:tblGrid>
                      <w:tr>
                        <w:trPr/>
                        <w:tc>
                          <w:tcPr>
                            <w:tcW w:w="124" w:type="dxa"/>
                            <w:tcBorders/>
                            <w:vAlign w:val="center"/>
                          </w:tcPr>
                          <w:p>
                            <w:pPr>
                              <w:pStyle w:val="TableContents"/>
                              <w:bidi w:val="0"/>
                              <w:spacing w:before="0" w:after="283"/>
                              <w:jc w:val="left"/>
                              <w:rPr/>
                            </w:pPr>
                            <w:r>
                              <w:rPr/>
                              <w:t>​</w:t>
                            </w:r>
                          </w:p>
                        </w:tc>
                        <w:tc>
                          <w:tcPr>
                            <w:tcW w:w="3606" w:type="dxa"/>
                            <w:tcBorders/>
                            <w:vAlign w:val="center"/>
                          </w:tcPr>
                          <w:p>
                            <w:pPr>
                              <w:pStyle w:val="TableContents"/>
                              <w:bidi w:val="0"/>
                              <w:spacing w:before="0" w:after="0"/>
                              <w:ind w:left="0" w:right="160" w:hanging="0"/>
                              <w:jc w:val="left"/>
                              <w:rPr/>
                            </w:pPr>
                            <w:r>
                              <w:rPr/>
                              <w:drawing>
                                <wp:inline distT="0" distB="0" distL="0" distR="0">
                                  <wp:extent cx="2095500" cy="7696200"/>
                                  <wp:effectExtent l="0" t="0" r="0" b="0"/>
                                  <wp:docPr id="60"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12" descr=""/>
                                          <pic:cNvPicPr>
                                            <a:picLocks noChangeAspect="1" noChangeArrowheads="1"/>
                                          </pic:cNvPicPr>
                                        </pic:nvPicPr>
                                        <pic:blipFill>
                                          <a:blip r:embed="rId14"/>
                                          <a:stretch>
                                            <a:fillRect/>
                                          </a:stretch>
                                        </pic:blipFill>
                                        <pic:spPr bwMode="auto">
                                          <a:xfrm>
                                            <a:off x="0" y="0"/>
                                            <a:ext cx="2095500" cy="76962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254000" distR="0" simplePos="0" locked="0" layoutInCell="1" allowOverlap="1" relativeHeight="349">
                <wp:simplePos x="0" y="0"/>
                <wp:positionH relativeFrom="column">
                  <wp:align>left</wp:align>
                </wp:positionH>
                <wp:positionV relativeFrom="line">
                  <wp:posOffset>635</wp:posOffset>
                </wp:positionV>
                <wp:extent cx="3962400" cy="9388475"/>
                <wp:effectExtent l="0" t="0" r="0" b="0"/>
                <wp:wrapSquare wrapText="right"/>
                <wp:docPr id="61" name="Frame48"/>
                <a:graphic xmlns:a="http://schemas.openxmlformats.org/drawingml/2006/main">
                  <a:graphicData uri="http://schemas.microsoft.com/office/word/2010/wordprocessingShape">
                    <wps:wsp>
                      <wps:cNvSpPr txBox="1"/>
                      <wps:spPr>
                        <a:xfrm>
                          <a:off x="0" y="0"/>
                          <a:ext cx="3962400" cy="9388475"/>
                        </a:xfrm>
                        <a:prstGeom prst="rect"/>
                        <a:solidFill>
                          <a:srgbClr val="FFFFFF"/>
                        </a:solidFill>
                      </wps:spPr>
                      <wps:txbx>
                        <w:txbxContent>
                          <w:p>
                            <w:pPr>
                              <w:pStyle w:val="TextBody"/>
                              <w:bidi w:val="0"/>
                              <w:spacing w:lineRule="atLeast" w:line="260" w:before="260" w:after="283"/>
                              <w:jc w:val="left"/>
                              <w:rPr>
                                <w:b/>
                                <w:color w:val="83AD40"/>
                                <w:sz w:val="22"/>
                              </w:rPr>
                            </w:pPr>
                            <w:r>
                              <w:rPr>
                                <w:b/>
                                <w:color w:val="83AD40"/>
                                <w:spacing w:val="-2"/>
                                <w:sz w:val="22"/>
                              </w:rPr>
                              <w:t>Leading New York City-focused REIT</w:t>
                            </w:r>
                            <w:r>
                              <w:rPr>
                                <w:b/>
                                <w:color w:val="83AD40"/>
                                <w:sz w:val="22"/>
                              </w:rPr>
                              <w:t xml:space="preserve"> </w:t>
                            </w:r>
                          </w:p>
                          <w:p>
                            <w:pPr>
                              <w:pStyle w:val="TextBody"/>
                              <w:bidi w:val="0"/>
                              <w:spacing w:lineRule="atLeast" w:line="220" w:before="66" w:after="0"/>
                              <w:ind w:left="200" w:right="0" w:hanging="0"/>
                              <w:jc w:val="left"/>
                              <w:rPr/>
                            </w:pPr>
                            <w:r>
                              <w:rPr>
                                <w:spacing w:val="-2"/>
                              </w:rPr>
                              <w:t>Manhattan’s largest office landlord</w:t>
                            </w:r>
                            <w:r>
                              <w:rPr/>
                              <w:t xml:space="preserve"> </w:t>
                            </w:r>
                          </w:p>
                          <w:p>
                            <w:pPr>
                              <w:pStyle w:val="TextBody"/>
                              <w:bidi w:val="0"/>
                              <w:spacing w:before="0" w:after="0"/>
                              <w:ind w:left="0" w:right="0" w:hanging="0"/>
                              <w:jc w:val="left"/>
                              <w:rPr/>
                            </w:pPr>
                            <w:r>
                              <w:rPr/>
                              <w:t>​</w:t>
                            </w:r>
                          </w:p>
                          <w:p>
                            <w:pPr>
                              <w:pStyle w:val="TextBody"/>
                              <w:bidi w:val="0"/>
                              <w:spacing w:lineRule="atLeast" w:line="220" w:before="66" w:after="0"/>
                              <w:ind w:left="200" w:right="0" w:hanging="0"/>
                              <w:jc w:val="left"/>
                              <w:rPr/>
                            </w:pPr>
                            <w:r>
                              <w:rPr>
                                <w:spacing w:val="-2"/>
                              </w:rPr>
                              <w:t>Interests in 56 buildings representing 31.4 million square feet as of December 31, 2025</w:t>
                            </w:r>
                            <w:r>
                              <w:rPr/>
                              <w:t xml:space="preserve"> </w:t>
                            </w:r>
                          </w:p>
                          <w:p>
                            <w:pPr>
                              <w:pStyle w:val="TextBody"/>
                              <w:bidi w:val="0"/>
                              <w:spacing w:before="0" w:after="0"/>
                              <w:ind w:left="0" w:right="0" w:hanging="0"/>
                              <w:jc w:val="left"/>
                              <w:rPr/>
                            </w:pPr>
                            <w:r>
                              <w:rPr/>
                              <w:t>​</w:t>
                            </w:r>
                          </w:p>
                          <w:p>
                            <w:pPr>
                              <w:pStyle w:val="TextBody"/>
                              <w:bidi w:val="0"/>
                              <w:spacing w:lineRule="atLeast" w:line="220" w:before="66" w:after="0"/>
                              <w:ind w:left="200" w:right="0" w:hanging="0"/>
                              <w:jc w:val="left"/>
                              <w:rPr/>
                            </w:pPr>
                            <w:r>
                              <w:rPr>
                                <w:spacing w:val="-2"/>
                              </w:rPr>
                              <w:t>Same-store occupancy of 93.0% as of December 31, 2025, outperforming the Manhattan market average of 86.1%</w:t>
                            </w:r>
                            <w:r>
                              <w:rPr>
                                <w:spacing w:val="-1"/>
                                <w:sz w:val="14"/>
                              </w:rPr>
                              <w:t>1</w:t>
                            </w:r>
                            <w:r>
                              <w:rPr>
                                <w:spacing w:val="4"/>
                              </w:rPr>
                              <w:t xml:space="preserve"> </w:t>
                            </w:r>
                          </w:p>
                          <w:p>
                            <w:pPr>
                              <w:pStyle w:val="TextBody"/>
                              <w:bidi w:val="0"/>
                              <w:spacing w:before="0" w:after="0"/>
                              <w:ind w:left="0" w:right="0" w:hanging="0"/>
                              <w:jc w:val="left"/>
                              <w:rPr/>
                            </w:pPr>
                            <w:r>
                              <w:rPr/>
                              <w:t>​</w:t>
                            </w:r>
                          </w:p>
                          <w:p>
                            <w:pPr>
                              <w:pStyle w:val="TextBody"/>
                              <w:bidi w:val="0"/>
                              <w:spacing w:before="0" w:after="283"/>
                              <w:ind w:left="0" w:right="0" w:hanging="0"/>
                              <w:jc w:val="left"/>
                              <w:rPr>
                                <w:bdr w:val="single" w:sz="8" w:space="1" w:color="83AD40"/>
                              </w:rPr>
                            </w:pPr>
                            <w:r>
                              <w:rPr>
                                <w:bdr w:val="single" w:sz="8" w:space="1" w:color="83AD40"/>
                              </w:rPr>
                              <w:t>​</w:t>
                            </w:r>
                          </w:p>
                          <w:p>
                            <w:pPr>
                              <w:pStyle w:val="TextBody"/>
                              <w:bidi w:val="0"/>
                              <w:spacing w:lineRule="atLeast" w:line="260" w:before="246" w:after="283"/>
                              <w:jc w:val="left"/>
                              <w:rPr>
                                <w:b/>
                                <w:color w:val="83AD40"/>
                                <w:sz w:val="22"/>
                              </w:rPr>
                            </w:pPr>
                            <w:r>
                              <w:rPr>
                                <w:b/>
                                <w:color w:val="83AD40"/>
                                <w:spacing w:val="-2"/>
                                <w:sz w:val="22"/>
                              </w:rPr>
                              <w:t>Active, Responsible and Engaged Business Strategy</w:t>
                            </w:r>
                            <w:r>
                              <w:rPr>
                                <w:b/>
                                <w:color w:val="83AD40"/>
                                <w:sz w:val="22"/>
                              </w:rPr>
                              <w:t xml:space="preserve"> </w:t>
                            </w:r>
                          </w:p>
                          <w:p>
                            <w:pPr>
                              <w:pStyle w:val="TextBody"/>
                              <w:bidi w:val="0"/>
                              <w:spacing w:lineRule="atLeast" w:line="220" w:before="66" w:after="0"/>
                              <w:ind w:left="200" w:right="0" w:hanging="0"/>
                              <w:jc w:val="left"/>
                              <w:rPr/>
                            </w:pPr>
                            <w:r>
                              <w:rPr>
                                <w:spacing w:val="-2"/>
                              </w:rPr>
                              <w:t>Manhattan-focused with significant experience and market-leading insights</w:t>
                            </w:r>
                            <w:r>
                              <w:rPr/>
                              <w:t xml:space="preserve"> </w:t>
                            </w:r>
                          </w:p>
                          <w:p>
                            <w:pPr>
                              <w:pStyle w:val="TextBody"/>
                              <w:bidi w:val="0"/>
                              <w:spacing w:before="0" w:after="0"/>
                              <w:ind w:left="0" w:right="0" w:hanging="0"/>
                              <w:jc w:val="left"/>
                              <w:rPr/>
                            </w:pPr>
                            <w:r>
                              <w:rPr/>
                              <w:t>​</w:t>
                            </w:r>
                          </w:p>
                          <w:p>
                            <w:pPr>
                              <w:pStyle w:val="TextBody"/>
                              <w:bidi w:val="0"/>
                              <w:spacing w:lineRule="atLeast" w:line="220" w:before="66" w:after="0"/>
                              <w:ind w:left="200" w:right="0" w:hanging="0"/>
                              <w:jc w:val="left"/>
                              <w:rPr/>
                            </w:pPr>
                            <w:r>
                              <w:rPr>
                                <w:spacing w:val="-2"/>
                              </w:rPr>
                              <w:t>Transaction-oriented company, executing more transactions in one year than many of our competitors over a multi-year period</w:t>
                            </w:r>
                            <w:r>
                              <w:rPr/>
                              <w:t xml:space="preserve"> </w:t>
                            </w:r>
                          </w:p>
                          <w:p>
                            <w:pPr>
                              <w:pStyle w:val="TextBody"/>
                              <w:bidi w:val="0"/>
                              <w:spacing w:before="0" w:after="0"/>
                              <w:ind w:left="0" w:right="0" w:hanging="0"/>
                              <w:jc w:val="left"/>
                              <w:rPr/>
                            </w:pPr>
                            <w:r>
                              <w:rPr/>
                              <w:t>​</w:t>
                            </w:r>
                          </w:p>
                          <w:p>
                            <w:pPr>
                              <w:pStyle w:val="TextBody"/>
                              <w:bidi w:val="0"/>
                              <w:spacing w:lineRule="atLeast" w:line="220" w:before="66" w:after="0"/>
                              <w:ind w:left="200" w:right="0" w:hanging="0"/>
                              <w:jc w:val="left"/>
                              <w:rPr/>
                            </w:pPr>
                            <w:r>
                              <w:rPr>
                                <w:spacing w:val="-2"/>
                              </w:rPr>
                              <w:t>Ongoing diversification with adjacent high-margin businesses lessen long-term impact of economic cycles</w:t>
                            </w:r>
                            <w:r>
                              <w:rPr/>
                              <w:t xml:space="preserve"> </w:t>
                            </w:r>
                          </w:p>
                          <w:p>
                            <w:pPr>
                              <w:pStyle w:val="TextBody"/>
                              <w:bidi w:val="0"/>
                              <w:spacing w:before="0" w:after="0"/>
                              <w:ind w:left="0" w:right="0" w:hanging="0"/>
                              <w:jc w:val="left"/>
                              <w:rPr/>
                            </w:pPr>
                            <w:r>
                              <w:rPr/>
                              <w:t>​</w:t>
                            </w:r>
                          </w:p>
                          <w:p>
                            <w:pPr>
                              <w:pStyle w:val="TextBody"/>
                              <w:bidi w:val="0"/>
                              <w:spacing w:before="0" w:after="283"/>
                              <w:ind w:left="0" w:right="0" w:hanging="0"/>
                              <w:jc w:val="left"/>
                              <w:rPr>
                                <w:bdr w:val="single" w:sz="8" w:space="1" w:color="83AD40"/>
                              </w:rPr>
                            </w:pPr>
                            <w:r>
                              <w:rPr>
                                <w:bdr w:val="single" w:sz="8" w:space="1" w:color="83AD40"/>
                              </w:rPr>
                              <w:t>​</w:t>
                            </w:r>
                          </w:p>
                          <w:p>
                            <w:pPr>
                              <w:pStyle w:val="TextBody"/>
                              <w:bidi w:val="0"/>
                              <w:spacing w:lineRule="atLeast" w:line="260" w:before="244" w:after="283"/>
                              <w:jc w:val="left"/>
                              <w:rPr>
                                <w:b/>
                                <w:color w:val="83AD40"/>
                                <w:sz w:val="22"/>
                              </w:rPr>
                            </w:pPr>
                            <w:r>
                              <w:rPr>
                                <w:b/>
                                <w:color w:val="83AD40"/>
                                <w:spacing w:val="-2"/>
                                <w:sz w:val="22"/>
                              </w:rPr>
                              <w:t>Sustainable Development Creating Value for Our Stakeholders</w:t>
                            </w:r>
                            <w:r>
                              <w:rPr>
                                <w:b/>
                                <w:color w:val="83AD40"/>
                                <w:sz w:val="22"/>
                              </w:rPr>
                              <w:t xml:space="preserve"> </w:t>
                            </w:r>
                          </w:p>
                          <w:p>
                            <w:pPr>
                              <w:pStyle w:val="TextBody"/>
                              <w:bidi w:val="0"/>
                              <w:spacing w:lineRule="atLeast" w:line="220" w:before="64" w:after="0"/>
                              <w:ind w:left="200" w:right="0" w:hanging="0"/>
                              <w:jc w:val="left"/>
                              <w:rPr/>
                            </w:pPr>
                            <w:r>
                              <w:rPr>
                                <w:spacing w:val="-2"/>
                              </w:rPr>
                              <w:t>Committed to maintaining our industry leadership</w:t>
                            </w:r>
                            <w:r>
                              <w:rPr/>
                              <w:t xml:space="preserve"> </w:t>
                            </w:r>
                          </w:p>
                          <w:p>
                            <w:pPr>
                              <w:pStyle w:val="TextBody"/>
                              <w:bidi w:val="0"/>
                              <w:spacing w:before="0" w:after="0"/>
                              <w:ind w:left="0" w:right="0" w:hanging="0"/>
                              <w:jc w:val="left"/>
                              <w:rPr/>
                            </w:pPr>
                            <w:r>
                              <w:rPr/>
                              <w:t>​</w:t>
                            </w:r>
                          </w:p>
                          <w:p>
                            <w:pPr>
                              <w:pStyle w:val="TextBody"/>
                              <w:bidi w:val="0"/>
                              <w:spacing w:lineRule="atLeast" w:line="220" w:before="64" w:after="0"/>
                              <w:ind w:left="200" w:right="0" w:hanging="0"/>
                              <w:jc w:val="left"/>
                              <w:rPr/>
                            </w:pPr>
                            <w:r>
                              <w:rPr>
                                <w:spacing w:val="-2"/>
                              </w:rPr>
                              <w:t>Governed by fiscally responsible policies that guide sustainable operations, contribute to risk management and positively impact stockholders</w:t>
                            </w:r>
                            <w:r>
                              <w:rPr/>
                              <w:t xml:space="preserve"> </w:t>
                            </w:r>
                          </w:p>
                          <w:p>
                            <w:pPr>
                              <w:pStyle w:val="TextBody"/>
                              <w:bidi w:val="0"/>
                              <w:spacing w:before="0" w:after="0"/>
                              <w:ind w:left="0" w:right="0" w:hanging="0"/>
                              <w:jc w:val="left"/>
                              <w:rPr/>
                            </w:pPr>
                            <w:r>
                              <w:rPr/>
                              <w:t>​</w:t>
                            </w:r>
                          </w:p>
                          <w:tbl>
                            <w:tblPr>
                              <w:tblW w:w="6467" w:type="dxa"/>
                              <w:jc w:val="left"/>
                              <w:tblInd w:w="0" w:type="dxa"/>
                              <w:tblLayout w:type="fixed"/>
                              <w:tblCellMar>
                                <w:top w:w="0" w:type="dxa"/>
                                <w:left w:w="0" w:type="dxa"/>
                                <w:bottom w:w="0" w:type="dxa"/>
                                <w:right w:w="0" w:type="dxa"/>
                              </w:tblCellMar>
                            </w:tblPr>
                            <w:tblGrid>
                              <w:gridCol w:w="124"/>
                              <w:gridCol w:w="109"/>
                              <w:gridCol w:w="5971"/>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6" w:space="0" w:color="83AD40"/>
                                  </w:tcBorders>
                                  <w:tcMar>
                                    <w:bottom w:w="28" w:type="dxa"/>
                                  </w:tcMar>
                                  <w:vAlign w:val="center"/>
                                </w:tcPr>
                                <w:p>
                                  <w:pPr>
                                    <w:pStyle w:val="TableContents"/>
                                    <w:bidi w:val="0"/>
                                    <w:spacing w:before="0" w:after="283"/>
                                    <w:jc w:val="left"/>
                                    <w:rPr/>
                                  </w:pPr>
                                  <w:r>
                                    <w:rPr/>
                                    <w:t>​</w:t>
                                  </w:r>
                                </w:p>
                              </w:tc>
                              <w:tc>
                                <w:tcPr>
                                  <w:tcW w:w="5971" w:type="dxa"/>
                                  <w:tcBorders>
                                    <w:bottom w:val="single" w:sz="6" w:space="0" w:color="83AD40"/>
                                  </w:tcBorders>
                                  <w:tcMar>
                                    <w:bottom w:w="144" w:type="dxa"/>
                                  </w:tcMar>
                                  <w:vAlign w:val="center"/>
                                </w:tcPr>
                                <w:p>
                                  <w:pPr>
                                    <w:pStyle w:val="TableContents"/>
                                    <w:bidi w:val="0"/>
                                    <w:spacing w:lineRule="atLeast" w:line="280" w:before="0" w:after="0"/>
                                    <w:jc w:val="left"/>
                                    <w:rPr/>
                                  </w:pPr>
                                  <w:r>
                                    <w:rPr>
                                      <w:b/>
                                      <w:color w:val="83AD40"/>
                                      <w:spacing w:val="-3"/>
                                      <w:sz w:val="30"/>
                                    </w:rPr>
                                    <w:t>100%</w:t>
                                  </w:r>
                                  <w:r>
                                    <w:rPr/>
                                    <w:t>​</w:t>
                                  </w:r>
                                  <w:r>
                                    <w:rPr>
                                      <w:spacing w:val="-4"/>
                                    </w:rPr>
                                    <w:t xml:space="preserve"> </w:t>
                                  </w:r>
                                  <w:r>
                                    <w:rPr>
                                      <w:spacing w:val="-3"/>
                                    </w:rPr>
                                    <w:t xml:space="preserve">of our owned and operated portfolio hold one or more </w:t>
                                  </w:r>
                                </w:p>
                                <w:p>
                                  <w:pPr>
                                    <w:pStyle w:val="TableContents"/>
                                    <w:bidi w:val="0"/>
                                    <w:spacing w:before="90" w:after="283"/>
                                    <w:jc w:val="left"/>
                                    <w:rPr/>
                                  </w:pPr>
                                  <w:r>
                                    <w:rPr>
                                      <w:spacing w:val="-3"/>
                                    </w:rPr>
                                    <w:t>sustainability certifications</w:t>
                                  </w:r>
                                  <w:r>
                                    <w:rPr/>
                                    <w:t xml:space="preserve"> </w:t>
                                  </w:r>
                                </w:p>
                              </w:tc>
                              <w:tc>
                                <w:tcPr>
                                  <w:tcW w:w="109" w:type="dxa"/>
                                  <w:tcBorders>
                                    <w:bottom w:val="single" w:sz="6" w:space="0" w:color="83AD4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6986" w:type="dxa"/>
                              <w:jc w:val="left"/>
                              <w:tblInd w:w="0" w:type="dxa"/>
                              <w:tblLayout w:type="fixed"/>
                              <w:tblCellMar>
                                <w:top w:w="0" w:type="dxa"/>
                                <w:left w:w="0" w:type="dxa"/>
                                <w:bottom w:w="0" w:type="dxa"/>
                                <w:right w:w="0" w:type="dxa"/>
                              </w:tblCellMar>
                            </w:tblPr>
                            <w:tblGrid>
                              <w:gridCol w:w="124"/>
                              <w:gridCol w:w="109"/>
                              <w:gridCol w:w="6490"/>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6" w:space="0" w:color="83AD40"/>
                                  </w:tcBorders>
                                  <w:tcMar>
                                    <w:bottom w:w="28" w:type="dxa"/>
                                  </w:tcMar>
                                  <w:vAlign w:val="center"/>
                                </w:tcPr>
                                <w:p>
                                  <w:pPr>
                                    <w:pStyle w:val="TableContents"/>
                                    <w:bidi w:val="0"/>
                                    <w:spacing w:before="0" w:after="283"/>
                                    <w:jc w:val="left"/>
                                    <w:rPr/>
                                  </w:pPr>
                                  <w:r>
                                    <w:rPr/>
                                    <w:t>​</w:t>
                                  </w:r>
                                </w:p>
                              </w:tc>
                              <w:tc>
                                <w:tcPr>
                                  <w:tcW w:w="6490" w:type="dxa"/>
                                  <w:tcBorders>
                                    <w:bottom w:val="single" w:sz="6" w:space="0" w:color="83AD40"/>
                                  </w:tcBorders>
                                  <w:tcMar>
                                    <w:bottom w:w="144" w:type="dxa"/>
                                  </w:tcMar>
                                  <w:vAlign w:val="center"/>
                                </w:tcPr>
                                <w:p>
                                  <w:pPr>
                                    <w:pStyle w:val="TableContents"/>
                                    <w:bidi w:val="0"/>
                                    <w:spacing w:before="0" w:after="0"/>
                                    <w:jc w:val="left"/>
                                    <w:rPr>
                                      <w:b/>
                                      <w:color w:val="83AD40"/>
                                      <w:sz w:val="30"/>
                                    </w:rPr>
                                  </w:pPr>
                                  <w:r>
                                    <w:rPr>
                                      <w:b/>
                                      <w:color w:val="83AD40"/>
                                      <w:spacing w:val="-3"/>
                                      <w:sz w:val="30"/>
                                    </w:rPr>
                                    <w:t>GRESB Sector Leader</w:t>
                                  </w:r>
                                  <w:r>
                                    <w:rPr>
                                      <w:b/>
                                      <w:color w:val="000000"/>
                                      <w:sz w:val="30"/>
                                    </w:rPr>
                                    <w:t>​</w:t>
                                  </w:r>
                                  <w:r>
                                    <w:rPr>
                                      <w:b/>
                                      <w:color w:val="83AD40"/>
                                      <w:sz w:val="30"/>
                                    </w:rPr>
                                    <w:t xml:space="preserve"> </w:t>
                                  </w:r>
                                </w:p>
                                <w:p>
                                  <w:pPr>
                                    <w:pStyle w:val="TableContents"/>
                                    <w:bidi w:val="0"/>
                                    <w:spacing w:lineRule="atLeast" w:line="270" w:before="0" w:after="0"/>
                                    <w:jc w:val="left"/>
                                    <w:rPr>
                                      <w:spacing w:val="-3"/>
                                    </w:rPr>
                                  </w:pPr>
                                  <w:r>
                                    <w:rPr>
                                      <w:spacing w:val="-3"/>
                                    </w:rPr>
                                    <w:t xml:space="preserve">Recognized as one of the top two performers in the Mixed-Use Real </w:t>
                                  </w:r>
                                </w:p>
                                <w:p>
                                  <w:pPr>
                                    <w:pStyle w:val="TableContents"/>
                                    <w:bidi w:val="0"/>
                                    <w:spacing w:before="90" w:after="283"/>
                                    <w:jc w:val="left"/>
                                    <w:rPr/>
                                  </w:pPr>
                                  <w:r>
                                    <w:rPr>
                                      <w:spacing w:val="-3"/>
                                    </w:rPr>
                                    <w:t>Estate sector</w:t>
                                  </w:r>
                                  <w:r>
                                    <w:rPr/>
                                    <w:t xml:space="preserve"> </w:t>
                                  </w:r>
                                </w:p>
                              </w:tc>
                              <w:tc>
                                <w:tcPr>
                                  <w:tcW w:w="109" w:type="dxa"/>
                                  <w:tcBorders>
                                    <w:bottom w:val="single" w:sz="6" w:space="0" w:color="83AD4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10205" w:type="dxa"/>
                              <w:jc w:val="left"/>
                              <w:tblInd w:w="0" w:type="dxa"/>
                              <w:tblLayout w:type="fixed"/>
                              <w:tblCellMar>
                                <w:top w:w="0" w:type="dxa"/>
                                <w:left w:w="0" w:type="dxa"/>
                                <w:bottom w:w="0" w:type="dxa"/>
                                <w:right w:w="0" w:type="dxa"/>
                              </w:tblCellMar>
                            </w:tblPr>
                            <w:tblGrid>
                              <w:gridCol w:w="124"/>
                              <w:gridCol w:w="109"/>
                              <w:gridCol w:w="97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6" w:space="0" w:color="83AD40"/>
                                  </w:tcBorders>
                                  <w:tcMar>
                                    <w:bottom w:w="28" w:type="dxa"/>
                                  </w:tcMar>
                                  <w:vAlign w:val="center"/>
                                </w:tcPr>
                                <w:p>
                                  <w:pPr>
                                    <w:pStyle w:val="TableContents"/>
                                    <w:bidi w:val="0"/>
                                    <w:spacing w:before="0" w:after="283"/>
                                    <w:jc w:val="left"/>
                                    <w:rPr/>
                                  </w:pPr>
                                  <w:r>
                                    <w:rPr/>
                                    <w:t>​</w:t>
                                  </w:r>
                                </w:p>
                              </w:tc>
                              <w:tc>
                                <w:tcPr>
                                  <w:tcW w:w="9709" w:type="dxa"/>
                                  <w:tcBorders>
                                    <w:bottom w:val="single" w:sz="6" w:space="0" w:color="83AD40"/>
                                  </w:tcBorders>
                                  <w:tcMar>
                                    <w:bottom w:w="240" w:type="dxa"/>
                                  </w:tcMar>
                                  <w:vAlign w:val="center"/>
                                </w:tcPr>
                                <w:p>
                                  <w:pPr>
                                    <w:pStyle w:val="TableContents"/>
                                    <w:bidi w:val="0"/>
                                    <w:spacing w:before="0" w:after="283"/>
                                    <w:jc w:val="left"/>
                                    <w:rPr/>
                                  </w:pPr>
                                  <w:r>
                                    <w:rPr>
                                      <w:spacing w:val="-3"/>
                                    </w:rPr>
                                    <w:t>Newsweek’s America’s Greenest Companies</w:t>
                                  </w:r>
                                  <w:r>
                                    <w:rPr>
                                      <w:color w:val="000000"/>
                                      <w:spacing w:val="-3"/>
                                    </w:rPr>
                                    <w:t xml:space="preserve"> </w:t>
                                  </w:r>
                                  <w:r>
                                    <w:rPr>
                                      <w:b w:val="false"/>
                                      <w:color w:val="000000"/>
                                      <w:spacing w:val="-3"/>
                                    </w:rPr>
                                    <w:t xml:space="preserve">2026 and </w:t>
                                  </w:r>
                                  <w:r>
                                    <w:rPr>
                                      <w:spacing w:val="-3"/>
                                    </w:rPr>
                                    <w:t>USA Today’s America’s Climate Leaders</w:t>
                                  </w:r>
                                  <w:r>
                                    <w:rPr>
                                      <w:color w:val="000000"/>
                                      <w:spacing w:val="-3"/>
                                    </w:rPr>
                                    <w:t xml:space="preserve"> </w:t>
                                  </w:r>
                                  <w:r>
                                    <w:rPr>
                                      <w:b w:val="false"/>
                                      <w:color w:val="000000"/>
                                      <w:spacing w:val="-3"/>
                                      <w:sz w:val="27"/>
                                    </w:rPr>
                                    <w:t>2025 included the company in their respective sustainability rankings</w:t>
                                  </w:r>
                                  <w:r>
                                    <w:rPr/>
                                    <w:t xml:space="preserve"> </w:t>
                                  </w:r>
                                </w:p>
                              </w:tc>
                              <w:tc>
                                <w:tcPr>
                                  <w:tcW w:w="109" w:type="dxa"/>
                                  <w:tcBorders>
                                    <w:bottom w:val="single" w:sz="6" w:space="0" w:color="83AD4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10205" w:type="dxa"/>
                              <w:jc w:val="left"/>
                              <w:tblInd w:w="0" w:type="dxa"/>
                              <w:tblLayout w:type="fixed"/>
                              <w:tblCellMar>
                                <w:top w:w="0" w:type="dxa"/>
                                <w:left w:w="0" w:type="dxa"/>
                                <w:bottom w:w="0" w:type="dxa"/>
                                <w:right w:w="0" w:type="dxa"/>
                              </w:tblCellMar>
                            </w:tblPr>
                            <w:tblGrid>
                              <w:gridCol w:w="124"/>
                              <w:gridCol w:w="9927"/>
                              <w:gridCol w:w="154"/>
                            </w:tblGrid>
                            <w:tr>
                              <w:trPr/>
                              <w:tc>
                                <w:tcPr>
                                  <w:tcW w:w="124" w:type="dxa"/>
                                  <w:tcBorders/>
                                  <w:vAlign w:val="center"/>
                                </w:tcPr>
                                <w:p>
                                  <w:pPr>
                                    <w:pStyle w:val="TableContents"/>
                                    <w:bidi w:val="0"/>
                                    <w:spacing w:before="0" w:after="283"/>
                                    <w:jc w:val="left"/>
                                    <w:rPr/>
                                  </w:pPr>
                                  <w:r>
                                    <w:rPr/>
                                    <w:t>​</w:t>
                                  </w:r>
                                </w:p>
                              </w:tc>
                              <w:tc>
                                <w:tcPr>
                                  <w:tcW w:w="9927" w:type="dxa"/>
                                  <w:tcBorders/>
                                  <w:vAlign w:val="center"/>
                                </w:tcPr>
                                <w:p>
                                  <w:pPr>
                                    <w:pStyle w:val="TableContents"/>
                                    <w:bidi w:val="0"/>
                                    <w:spacing w:before="0" w:after="283"/>
                                    <w:jc w:val="left"/>
                                    <w:rPr/>
                                  </w:pPr>
                                  <w:r>
                                    <w:rPr>
                                      <w:spacing w:val="-2"/>
                                    </w:rPr>
                                    <w:t>As of December 31, 2025. More details can be found at SL Green’s 2025 ESG Report found under the “Sustainability—Reports and Resources” section of our corporate website at www.slgreen.com. The information found on our website is not incorporated into, and does not form a part of, this proxy statement or any other report or document we file with, or furnish to, the SEC.</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12pt;height:739.25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60" w:before="260" w:after="283"/>
                        <w:jc w:val="left"/>
                        <w:rPr>
                          <w:b/>
                          <w:color w:val="83AD40"/>
                          <w:sz w:val="22"/>
                        </w:rPr>
                      </w:pPr>
                      <w:r>
                        <w:rPr>
                          <w:b/>
                          <w:color w:val="83AD40"/>
                          <w:spacing w:val="-2"/>
                          <w:sz w:val="22"/>
                        </w:rPr>
                        <w:t>Leading New York City-focused REIT</w:t>
                      </w:r>
                      <w:r>
                        <w:rPr>
                          <w:b/>
                          <w:color w:val="83AD40"/>
                          <w:sz w:val="22"/>
                        </w:rPr>
                        <w:t xml:space="preserve"> </w:t>
                      </w:r>
                    </w:p>
                    <w:p>
                      <w:pPr>
                        <w:pStyle w:val="TextBody"/>
                        <w:bidi w:val="0"/>
                        <w:spacing w:lineRule="atLeast" w:line="220" w:before="66" w:after="0"/>
                        <w:ind w:left="200" w:right="0" w:hanging="0"/>
                        <w:jc w:val="left"/>
                        <w:rPr/>
                      </w:pPr>
                      <w:r>
                        <w:rPr>
                          <w:spacing w:val="-2"/>
                        </w:rPr>
                        <w:t>Manhattan’s largest office landlord</w:t>
                      </w:r>
                      <w:r>
                        <w:rPr/>
                        <w:t xml:space="preserve"> </w:t>
                      </w:r>
                    </w:p>
                    <w:p>
                      <w:pPr>
                        <w:pStyle w:val="TextBody"/>
                        <w:bidi w:val="0"/>
                        <w:spacing w:before="0" w:after="0"/>
                        <w:ind w:left="0" w:right="0" w:hanging="0"/>
                        <w:jc w:val="left"/>
                        <w:rPr/>
                      </w:pPr>
                      <w:r>
                        <w:rPr/>
                        <w:t>​</w:t>
                      </w:r>
                    </w:p>
                    <w:p>
                      <w:pPr>
                        <w:pStyle w:val="TextBody"/>
                        <w:bidi w:val="0"/>
                        <w:spacing w:lineRule="atLeast" w:line="220" w:before="66" w:after="0"/>
                        <w:ind w:left="200" w:right="0" w:hanging="0"/>
                        <w:jc w:val="left"/>
                        <w:rPr/>
                      </w:pPr>
                      <w:r>
                        <w:rPr>
                          <w:spacing w:val="-2"/>
                        </w:rPr>
                        <w:t>Interests in 56 buildings representing 31.4 million square feet as of December 31, 2025</w:t>
                      </w:r>
                      <w:r>
                        <w:rPr/>
                        <w:t xml:space="preserve"> </w:t>
                      </w:r>
                    </w:p>
                    <w:p>
                      <w:pPr>
                        <w:pStyle w:val="TextBody"/>
                        <w:bidi w:val="0"/>
                        <w:spacing w:before="0" w:after="0"/>
                        <w:ind w:left="0" w:right="0" w:hanging="0"/>
                        <w:jc w:val="left"/>
                        <w:rPr/>
                      </w:pPr>
                      <w:r>
                        <w:rPr/>
                        <w:t>​</w:t>
                      </w:r>
                    </w:p>
                    <w:p>
                      <w:pPr>
                        <w:pStyle w:val="TextBody"/>
                        <w:bidi w:val="0"/>
                        <w:spacing w:lineRule="atLeast" w:line="220" w:before="66" w:after="0"/>
                        <w:ind w:left="200" w:right="0" w:hanging="0"/>
                        <w:jc w:val="left"/>
                        <w:rPr/>
                      </w:pPr>
                      <w:r>
                        <w:rPr>
                          <w:spacing w:val="-2"/>
                        </w:rPr>
                        <w:t>Same-store occupancy of 93.0% as of December 31, 2025, outperforming the Manhattan market average of 86.1%</w:t>
                      </w:r>
                      <w:r>
                        <w:rPr>
                          <w:spacing w:val="-1"/>
                          <w:sz w:val="14"/>
                        </w:rPr>
                        <w:t>1</w:t>
                      </w:r>
                      <w:r>
                        <w:rPr>
                          <w:spacing w:val="4"/>
                        </w:rPr>
                        <w:t xml:space="preserve"> </w:t>
                      </w:r>
                    </w:p>
                    <w:p>
                      <w:pPr>
                        <w:pStyle w:val="TextBody"/>
                        <w:bidi w:val="0"/>
                        <w:spacing w:before="0" w:after="0"/>
                        <w:ind w:left="0" w:right="0" w:hanging="0"/>
                        <w:jc w:val="left"/>
                        <w:rPr/>
                      </w:pPr>
                      <w:r>
                        <w:rPr/>
                        <w:t>​</w:t>
                      </w:r>
                    </w:p>
                    <w:p>
                      <w:pPr>
                        <w:pStyle w:val="TextBody"/>
                        <w:bidi w:val="0"/>
                        <w:spacing w:before="0" w:after="283"/>
                        <w:ind w:left="0" w:right="0" w:hanging="0"/>
                        <w:jc w:val="left"/>
                        <w:rPr>
                          <w:bdr w:val="single" w:sz="8" w:space="1" w:color="83AD40"/>
                        </w:rPr>
                      </w:pPr>
                      <w:r>
                        <w:rPr>
                          <w:bdr w:val="single" w:sz="8" w:space="1" w:color="83AD40"/>
                        </w:rPr>
                        <w:t>​</w:t>
                      </w:r>
                    </w:p>
                    <w:p>
                      <w:pPr>
                        <w:pStyle w:val="TextBody"/>
                        <w:bidi w:val="0"/>
                        <w:spacing w:lineRule="atLeast" w:line="260" w:before="246" w:after="283"/>
                        <w:jc w:val="left"/>
                        <w:rPr>
                          <w:b/>
                          <w:color w:val="83AD40"/>
                          <w:sz w:val="22"/>
                        </w:rPr>
                      </w:pPr>
                      <w:r>
                        <w:rPr>
                          <w:b/>
                          <w:color w:val="83AD40"/>
                          <w:spacing w:val="-2"/>
                          <w:sz w:val="22"/>
                        </w:rPr>
                        <w:t>Active, Responsible and Engaged Business Strategy</w:t>
                      </w:r>
                      <w:r>
                        <w:rPr>
                          <w:b/>
                          <w:color w:val="83AD40"/>
                          <w:sz w:val="22"/>
                        </w:rPr>
                        <w:t xml:space="preserve"> </w:t>
                      </w:r>
                    </w:p>
                    <w:p>
                      <w:pPr>
                        <w:pStyle w:val="TextBody"/>
                        <w:bidi w:val="0"/>
                        <w:spacing w:lineRule="atLeast" w:line="220" w:before="66" w:after="0"/>
                        <w:ind w:left="200" w:right="0" w:hanging="0"/>
                        <w:jc w:val="left"/>
                        <w:rPr/>
                      </w:pPr>
                      <w:r>
                        <w:rPr>
                          <w:spacing w:val="-2"/>
                        </w:rPr>
                        <w:t>Manhattan-focused with significant experience and market-leading insights</w:t>
                      </w:r>
                      <w:r>
                        <w:rPr/>
                        <w:t xml:space="preserve"> </w:t>
                      </w:r>
                    </w:p>
                    <w:p>
                      <w:pPr>
                        <w:pStyle w:val="TextBody"/>
                        <w:bidi w:val="0"/>
                        <w:spacing w:before="0" w:after="0"/>
                        <w:ind w:left="0" w:right="0" w:hanging="0"/>
                        <w:jc w:val="left"/>
                        <w:rPr/>
                      </w:pPr>
                      <w:r>
                        <w:rPr/>
                        <w:t>​</w:t>
                      </w:r>
                    </w:p>
                    <w:p>
                      <w:pPr>
                        <w:pStyle w:val="TextBody"/>
                        <w:bidi w:val="0"/>
                        <w:spacing w:lineRule="atLeast" w:line="220" w:before="66" w:after="0"/>
                        <w:ind w:left="200" w:right="0" w:hanging="0"/>
                        <w:jc w:val="left"/>
                        <w:rPr/>
                      </w:pPr>
                      <w:r>
                        <w:rPr>
                          <w:spacing w:val="-2"/>
                        </w:rPr>
                        <w:t>Transaction-oriented company, executing more transactions in one year than many of our competitors over a multi-year period</w:t>
                      </w:r>
                      <w:r>
                        <w:rPr/>
                        <w:t xml:space="preserve"> </w:t>
                      </w:r>
                    </w:p>
                    <w:p>
                      <w:pPr>
                        <w:pStyle w:val="TextBody"/>
                        <w:bidi w:val="0"/>
                        <w:spacing w:before="0" w:after="0"/>
                        <w:ind w:left="0" w:right="0" w:hanging="0"/>
                        <w:jc w:val="left"/>
                        <w:rPr/>
                      </w:pPr>
                      <w:r>
                        <w:rPr/>
                        <w:t>​</w:t>
                      </w:r>
                    </w:p>
                    <w:p>
                      <w:pPr>
                        <w:pStyle w:val="TextBody"/>
                        <w:bidi w:val="0"/>
                        <w:spacing w:lineRule="atLeast" w:line="220" w:before="66" w:after="0"/>
                        <w:ind w:left="200" w:right="0" w:hanging="0"/>
                        <w:jc w:val="left"/>
                        <w:rPr/>
                      </w:pPr>
                      <w:r>
                        <w:rPr>
                          <w:spacing w:val="-2"/>
                        </w:rPr>
                        <w:t>Ongoing diversification with adjacent high-margin businesses lessen long-term impact of economic cycles</w:t>
                      </w:r>
                      <w:r>
                        <w:rPr/>
                        <w:t xml:space="preserve"> </w:t>
                      </w:r>
                    </w:p>
                    <w:p>
                      <w:pPr>
                        <w:pStyle w:val="TextBody"/>
                        <w:bidi w:val="0"/>
                        <w:spacing w:before="0" w:after="0"/>
                        <w:ind w:left="0" w:right="0" w:hanging="0"/>
                        <w:jc w:val="left"/>
                        <w:rPr/>
                      </w:pPr>
                      <w:r>
                        <w:rPr/>
                        <w:t>​</w:t>
                      </w:r>
                    </w:p>
                    <w:p>
                      <w:pPr>
                        <w:pStyle w:val="TextBody"/>
                        <w:bidi w:val="0"/>
                        <w:spacing w:before="0" w:after="283"/>
                        <w:ind w:left="0" w:right="0" w:hanging="0"/>
                        <w:jc w:val="left"/>
                        <w:rPr>
                          <w:bdr w:val="single" w:sz="8" w:space="1" w:color="83AD40"/>
                        </w:rPr>
                      </w:pPr>
                      <w:r>
                        <w:rPr>
                          <w:bdr w:val="single" w:sz="8" w:space="1" w:color="83AD40"/>
                        </w:rPr>
                        <w:t>​</w:t>
                      </w:r>
                    </w:p>
                    <w:p>
                      <w:pPr>
                        <w:pStyle w:val="TextBody"/>
                        <w:bidi w:val="0"/>
                        <w:spacing w:lineRule="atLeast" w:line="260" w:before="244" w:after="283"/>
                        <w:jc w:val="left"/>
                        <w:rPr>
                          <w:b/>
                          <w:color w:val="83AD40"/>
                          <w:sz w:val="22"/>
                        </w:rPr>
                      </w:pPr>
                      <w:r>
                        <w:rPr>
                          <w:b/>
                          <w:color w:val="83AD40"/>
                          <w:spacing w:val="-2"/>
                          <w:sz w:val="22"/>
                        </w:rPr>
                        <w:t>Sustainable Development Creating Value for Our Stakeholders</w:t>
                      </w:r>
                      <w:r>
                        <w:rPr>
                          <w:b/>
                          <w:color w:val="83AD40"/>
                          <w:sz w:val="22"/>
                        </w:rPr>
                        <w:t xml:space="preserve"> </w:t>
                      </w:r>
                    </w:p>
                    <w:p>
                      <w:pPr>
                        <w:pStyle w:val="TextBody"/>
                        <w:bidi w:val="0"/>
                        <w:spacing w:lineRule="atLeast" w:line="220" w:before="64" w:after="0"/>
                        <w:ind w:left="200" w:right="0" w:hanging="0"/>
                        <w:jc w:val="left"/>
                        <w:rPr/>
                      </w:pPr>
                      <w:r>
                        <w:rPr>
                          <w:spacing w:val="-2"/>
                        </w:rPr>
                        <w:t>Committed to maintaining our industry leadership</w:t>
                      </w:r>
                      <w:r>
                        <w:rPr/>
                        <w:t xml:space="preserve"> </w:t>
                      </w:r>
                    </w:p>
                    <w:p>
                      <w:pPr>
                        <w:pStyle w:val="TextBody"/>
                        <w:bidi w:val="0"/>
                        <w:spacing w:before="0" w:after="0"/>
                        <w:ind w:left="0" w:right="0" w:hanging="0"/>
                        <w:jc w:val="left"/>
                        <w:rPr/>
                      </w:pPr>
                      <w:r>
                        <w:rPr/>
                        <w:t>​</w:t>
                      </w:r>
                    </w:p>
                    <w:p>
                      <w:pPr>
                        <w:pStyle w:val="TextBody"/>
                        <w:bidi w:val="0"/>
                        <w:spacing w:lineRule="atLeast" w:line="220" w:before="64" w:after="0"/>
                        <w:ind w:left="200" w:right="0" w:hanging="0"/>
                        <w:jc w:val="left"/>
                        <w:rPr/>
                      </w:pPr>
                      <w:r>
                        <w:rPr>
                          <w:spacing w:val="-2"/>
                        </w:rPr>
                        <w:t>Governed by fiscally responsible policies that guide sustainable operations, contribute to risk management and positively impact stockholders</w:t>
                      </w:r>
                      <w:r>
                        <w:rPr/>
                        <w:t xml:space="preserve"> </w:t>
                      </w:r>
                    </w:p>
                    <w:p>
                      <w:pPr>
                        <w:pStyle w:val="TextBody"/>
                        <w:bidi w:val="0"/>
                        <w:spacing w:before="0" w:after="0"/>
                        <w:ind w:left="0" w:right="0" w:hanging="0"/>
                        <w:jc w:val="left"/>
                        <w:rPr/>
                      </w:pPr>
                      <w:r>
                        <w:rPr/>
                        <w:t>​</w:t>
                      </w:r>
                    </w:p>
                    <w:tbl>
                      <w:tblPr>
                        <w:tblW w:w="6467" w:type="dxa"/>
                        <w:jc w:val="left"/>
                        <w:tblInd w:w="0" w:type="dxa"/>
                        <w:tblLayout w:type="fixed"/>
                        <w:tblCellMar>
                          <w:top w:w="0" w:type="dxa"/>
                          <w:left w:w="0" w:type="dxa"/>
                          <w:bottom w:w="0" w:type="dxa"/>
                          <w:right w:w="0" w:type="dxa"/>
                        </w:tblCellMar>
                      </w:tblPr>
                      <w:tblGrid>
                        <w:gridCol w:w="124"/>
                        <w:gridCol w:w="109"/>
                        <w:gridCol w:w="5971"/>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6" w:space="0" w:color="83AD40"/>
                            </w:tcBorders>
                            <w:tcMar>
                              <w:bottom w:w="28" w:type="dxa"/>
                            </w:tcMar>
                            <w:vAlign w:val="center"/>
                          </w:tcPr>
                          <w:p>
                            <w:pPr>
                              <w:pStyle w:val="TableContents"/>
                              <w:bidi w:val="0"/>
                              <w:spacing w:before="0" w:after="283"/>
                              <w:jc w:val="left"/>
                              <w:rPr/>
                            </w:pPr>
                            <w:r>
                              <w:rPr/>
                              <w:t>​</w:t>
                            </w:r>
                          </w:p>
                        </w:tc>
                        <w:tc>
                          <w:tcPr>
                            <w:tcW w:w="5971" w:type="dxa"/>
                            <w:tcBorders>
                              <w:bottom w:val="single" w:sz="6" w:space="0" w:color="83AD40"/>
                            </w:tcBorders>
                            <w:tcMar>
                              <w:bottom w:w="144" w:type="dxa"/>
                            </w:tcMar>
                            <w:vAlign w:val="center"/>
                          </w:tcPr>
                          <w:p>
                            <w:pPr>
                              <w:pStyle w:val="TableContents"/>
                              <w:bidi w:val="0"/>
                              <w:spacing w:lineRule="atLeast" w:line="280" w:before="0" w:after="0"/>
                              <w:jc w:val="left"/>
                              <w:rPr/>
                            </w:pPr>
                            <w:r>
                              <w:rPr>
                                <w:b/>
                                <w:color w:val="83AD40"/>
                                <w:spacing w:val="-3"/>
                                <w:sz w:val="30"/>
                              </w:rPr>
                              <w:t>100%</w:t>
                            </w:r>
                            <w:r>
                              <w:rPr/>
                              <w:t>​</w:t>
                            </w:r>
                            <w:r>
                              <w:rPr>
                                <w:spacing w:val="-4"/>
                              </w:rPr>
                              <w:t xml:space="preserve"> </w:t>
                            </w:r>
                            <w:r>
                              <w:rPr>
                                <w:spacing w:val="-3"/>
                              </w:rPr>
                              <w:t xml:space="preserve">of our owned and operated portfolio hold one or more </w:t>
                            </w:r>
                          </w:p>
                          <w:p>
                            <w:pPr>
                              <w:pStyle w:val="TableContents"/>
                              <w:bidi w:val="0"/>
                              <w:spacing w:before="90" w:after="283"/>
                              <w:jc w:val="left"/>
                              <w:rPr/>
                            </w:pPr>
                            <w:r>
                              <w:rPr>
                                <w:spacing w:val="-3"/>
                              </w:rPr>
                              <w:t>sustainability certifications</w:t>
                            </w:r>
                            <w:r>
                              <w:rPr/>
                              <w:t xml:space="preserve"> </w:t>
                            </w:r>
                          </w:p>
                        </w:tc>
                        <w:tc>
                          <w:tcPr>
                            <w:tcW w:w="109" w:type="dxa"/>
                            <w:tcBorders>
                              <w:bottom w:val="single" w:sz="6" w:space="0" w:color="83AD4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6986" w:type="dxa"/>
                        <w:jc w:val="left"/>
                        <w:tblInd w:w="0" w:type="dxa"/>
                        <w:tblLayout w:type="fixed"/>
                        <w:tblCellMar>
                          <w:top w:w="0" w:type="dxa"/>
                          <w:left w:w="0" w:type="dxa"/>
                          <w:bottom w:w="0" w:type="dxa"/>
                          <w:right w:w="0" w:type="dxa"/>
                        </w:tblCellMar>
                      </w:tblPr>
                      <w:tblGrid>
                        <w:gridCol w:w="124"/>
                        <w:gridCol w:w="109"/>
                        <w:gridCol w:w="6490"/>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6" w:space="0" w:color="83AD40"/>
                            </w:tcBorders>
                            <w:tcMar>
                              <w:bottom w:w="28" w:type="dxa"/>
                            </w:tcMar>
                            <w:vAlign w:val="center"/>
                          </w:tcPr>
                          <w:p>
                            <w:pPr>
                              <w:pStyle w:val="TableContents"/>
                              <w:bidi w:val="0"/>
                              <w:spacing w:before="0" w:after="283"/>
                              <w:jc w:val="left"/>
                              <w:rPr/>
                            </w:pPr>
                            <w:r>
                              <w:rPr/>
                              <w:t>​</w:t>
                            </w:r>
                          </w:p>
                        </w:tc>
                        <w:tc>
                          <w:tcPr>
                            <w:tcW w:w="6490" w:type="dxa"/>
                            <w:tcBorders>
                              <w:bottom w:val="single" w:sz="6" w:space="0" w:color="83AD40"/>
                            </w:tcBorders>
                            <w:tcMar>
                              <w:bottom w:w="144" w:type="dxa"/>
                            </w:tcMar>
                            <w:vAlign w:val="center"/>
                          </w:tcPr>
                          <w:p>
                            <w:pPr>
                              <w:pStyle w:val="TableContents"/>
                              <w:bidi w:val="0"/>
                              <w:spacing w:before="0" w:after="0"/>
                              <w:jc w:val="left"/>
                              <w:rPr>
                                <w:b/>
                                <w:color w:val="83AD40"/>
                                <w:sz w:val="30"/>
                              </w:rPr>
                            </w:pPr>
                            <w:r>
                              <w:rPr>
                                <w:b/>
                                <w:color w:val="83AD40"/>
                                <w:spacing w:val="-3"/>
                                <w:sz w:val="30"/>
                              </w:rPr>
                              <w:t>GRESB Sector Leader</w:t>
                            </w:r>
                            <w:r>
                              <w:rPr>
                                <w:b/>
                                <w:color w:val="000000"/>
                                <w:sz w:val="30"/>
                              </w:rPr>
                              <w:t>​</w:t>
                            </w:r>
                            <w:r>
                              <w:rPr>
                                <w:b/>
                                <w:color w:val="83AD40"/>
                                <w:sz w:val="30"/>
                              </w:rPr>
                              <w:t xml:space="preserve"> </w:t>
                            </w:r>
                          </w:p>
                          <w:p>
                            <w:pPr>
                              <w:pStyle w:val="TableContents"/>
                              <w:bidi w:val="0"/>
                              <w:spacing w:lineRule="atLeast" w:line="270" w:before="0" w:after="0"/>
                              <w:jc w:val="left"/>
                              <w:rPr>
                                <w:spacing w:val="-3"/>
                              </w:rPr>
                            </w:pPr>
                            <w:r>
                              <w:rPr>
                                <w:spacing w:val="-3"/>
                              </w:rPr>
                              <w:t xml:space="preserve">Recognized as one of the top two performers in the Mixed-Use Real </w:t>
                            </w:r>
                          </w:p>
                          <w:p>
                            <w:pPr>
                              <w:pStyle w:val="TableContents"/>
                              <w:bidi w:val="0"/>
                              <w:spacing w:before="90" w:after="283"/>
                              <w:jc w:val="left"/>
                              <w:rPr/>
                            </w:pPr>
                            <w:r>
                              <w:rPr>
                                <w:spacing w:val="-3"/>
                              </w:rPr>
                              <w:t>Estate sector</w:t>
                            </w:r>
                            <w:r>
                              <w:rPr/>
                              <w:t xml:space="preserve"> </w:t>
                            </w:r>
                          </w:p>
                        </w:tc>
                        <w:tc>
                          <w:tcPr>
                            <w:tcW w:w="109" w:type="dxa"/>
                            <w:tcBorders>
                              <w:bottom w:val="single" w:sz="6" w:space="0" w:color="83AD4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10205" w:type="dxa"/>
                        <w:jc w:val="left"/>
                        <w:tblInd w:w="0" w:type="dxa"/>
                        <w:tblLayout w:type="fixed"/>
                        <w:tblCellMar>
                          <w:top w:w="0" w:type="dxa"/>
                          <w:left w:w="0" w:type="dxa"/>
                          <w:bottom w:w="0" w:type="dxa"/>
                          <w:right w:w="0" w:type="dxa"/>
                        </w:tblCellMar>
                      </w:tblPr>
                      <w:tblGrid>
                        <w:gridCol w:w="124"/>
                        <w:gridCol w:w="109"/>
                        <w:gridCol w:w="97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6" w:space="0" w:color="83AD40"/>
                            </w:tcBorders>
                            <w:tcMar>
                              <w:bottom w:w="28" w:type="dxa"/>
                            </w:tcMar>
                            <w:vAlign w:val="center"/>
                          </w:tcPr>
                          <w:p>
                            <w:pPr>
                              <w:pStyle w:val="TableContents"/>
                              <w:bidi w:val="0"/>
                              <w:spacing w:before="0" w:after="283"/>
                              <w:jc w:val="left"/>
                              <w:rPr/>
                            </w:pPr>
                            <w:r>
                              <w:rPr/>
                              <w:t>​</w:t>
                            </w:r>
                          </w:p>
                        </w:tc>
                        <w:tc>
                          <w:tcPr>
                            <w:tcW w:w="9709" w:type="dxa"/>
                            <w:tcBorders>
                              <w:bottom w:val="single" w:sz="6" w:space="0" w:color="83AD40"/>
                            </w:tcBorders>
                            <w:tcMar>
                              <w:bottom w:w="240" w:type="dxa"/>
                            </w:tcMar>
                            <w:vAlign w:val="center"/>
                          </w:tcPr>
                          <w:p>
                            <w:pPr>
                              <w:pStyle w:val="TableContents"/>
                              <w:bidi w:val="0"/>
                              <w:spacing w:before="0" w:after="283"/>
                              <w:jc w:val="left"/>
                              <w:rPr/>
                            </w:pPr>
                            <w:r>
                              <w:rPr>
                                <w:spacing w:val="-3"/>
                              </w:rPr>
                              <w:t>Newsweek’s America’s Greenest Companies</w:t>
                            </w:r>
                            <w:r>
                              <w:rPr>
                                <w:color w:val="000000"/>
                                <w:spacing w:val="-3"/>
                              </w:rPr>
                              <w:t xml:space="preserve"> </w:t>
                            </w:r>
                            <w:r>
                              <w:rPr>
                                <w:b w:val="false"/>
                                <w:color w:val="000000"/>
                                <w:spacing w:val="-3"/>
                              </w:rPr>
                              <w:t xml:space="preserve">2026 and </w:t>
                            </w:r>
                            <w:r>
                              <w:rPr>
                                <w:spacing w:val="-3"/>
                              </w:rPr>
                              <w:t>USA Today’s America’s Climate Leaders</w:t>
                            </w:r>
                            <w:r>
                              <w:rPr>
                                <w:color w:val="000000"/>
                                <w:spacing w:val="-3"/>
                              </w:rPr>
                              <w:t xml:space="preserve"> </w:t>
                            </w:r>
                            <w:r>
                              <w:rPr>
                                <w:b w:val="false"/>
                                <w:color w:val="000000"/>
                                <w:spacing w:val="-3"/>
                                <w:sz w:val="27"/>
                              </w:rPr>
                              <w:t>2025 included the company in their respective sustainability rankings</w:t>
                            </w:r>
                            <w:r>
                              <w:rPr/>
                              <w:t xml:space="preserve"> </w:t>
                            </w:r>
                          </w:p>
                        </w:tc>
                        <w:tc>
                          <w:tcPr>
                            <w:tcW w:w="109" w:type="dxa"/>
                            <w:tcBorders>
                              <w:bottom w:val="single" w:sz="6" w:space="0" w:color="83AD4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10205" w:type="dxa"/>
                        <w:jc w:val="left"/>
                        <w:tblInd w:w="0" w:type="dxa"/>
                        <w:tblLayout w:type="fixed"/>
                        <w:tblCellMar>
                          <w:top w:w="0" w:type="dxa"/>
                          <w:left w:w="0" w:type="dxa"/>
                          <w:bottom w:w="0" w:type="dxa"/>
                          <w:right w:w="0" w:type="dxa"/>
                        </w:tblCellMar>
                      </w:tblPr>
                      <w:tblGrid>
                        <w:gridCol w:w="124"/>
                        <w:gridCol w:w="9927"/>
                        <w:gridCol w:w="154"/>
                      </w:tblGrid>
                      <w:tr>
                        <w:trPr/>
                        <w:tc>
                          <w:tcPr>
                            <w:tcW w:w="124" w:type="dxa"/>
                            <w:tcBorders/>
                            <w:vAlign w:val="center"/>
                          </w:tcPr>
                          <w:p>
                            <w:pPr>
                              <w:pStyle w:val="TableContents"/>
                              <w:bidi w:val="0"/>
                              <w:spacing w:before="0" w:after="283"/>
                              <w:jc w:val="left"/>
                              <w:rPr/>
                            </w:pPr>
                            <w:r>
                              <w:rPr/>
                              <w:t>​</w:t>
                            </w:r>
                          </w:p>
                        </w:tc>
                        <w:tc>
                          <w:tcPr>
                            <w:tcW w:w="9927" w:type="dxa"/>
                            <w:tcBorders/>
                            <w:vAlign w:val="center"/>
                          </w:tcPr>
                          <w:p>
                            <w:pPr>
                              <w:pStyle w:val="TableContents"/>
                              <w:bidi w:val="0"/>
                              <w:spacing w:before="0" w:after="283"/>
                              <w:jc w:val="left"/>
                              <w:rPr/>
                            </w:pPr>
                            <w:r>
                              <w:rPr>
                                <w:spacing w:val="-2"/>
                              </w:rPr>
                              <w:t>As of December 31, 2025. More details can be found at SL Green’s 2025 ESG Report found under the “Sustainability—Reports and Resources” section of our corporate website at www.slgreen.com. The information found on our website is not incorporated into, and does not form a part of, this proxy statement or any other report or document we file with, or furnish to, the SEC.</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41910" distB="0" distL="0" distR="0" simplePos="0" locked="0" layoutInCell="1" allowOverlap="1" relativeHeight="350">
                <wp:simplePos x="0" y="0"/>
                <wp:positionH relativeFrom="column">
                  <wp:align>left</wp:align>
                </wp:positionH>
                <wp:positionV relativeFrom="line">
                  <wp:align>top</wp:align>
                </wp:positionV>
                <wp:extent cx="127000" cy="350520"/>
                <wp:effectExtent l="0" t="0" r="0" b="0"/>
                <wp:wrapSquare wrapText="right"/>
                <wp:docPr id="62" name="Frame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3pt;mso-wrap-distance-bottom:0pt;margin-top:3.3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41910" distB="0" distL="0" distR="0" simplePos="0" locked="0" layoutInCell="1" allowOverlap="1" relativeHeight="351">
                <wp:simplePos x="0" y="0"/>
                <wp:positionH relativeFrom="column">
                  <wp:align>left</wp:align>
                </wp:positionH>
                <wp:positionV relativeFrom="line">
                  <wp:align>top</wp:align>
                </wp:positionV>
                <wp:extent cx="127000" cy="350520"/>
                <wp:effectExtent l="0" t="0" r="0" b="0"/>
                <wp:wrapSquare wrapText="right"/>
                <wp:docPr id="63" name="Frame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3pt;mso-wrap-distance-bottom:0pt;margin-top:3.3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41910" distB="0" distL="0" distR="0" simplePos="0" locked="0" layoutInCell="1" allowOverlap="1" relativeHeight="352">
                <wp:simplePos x="0" y="0"/>
                <wp:positionH relativeFrom="column">
                  <wp:align>left</wp:align>
                </wp:positionH>
                <wp:positionV relativeFrom="line">
                  <wp:align>top</wp:align>
                </wp:positionV>
                <wp:extent cx="127000" cy="350520"/>
                <wp:effectExtent l="0" t="0" r="0" b="0"/>
                <wp:wrapSquare wrapText="right"/>
                <wp:docPr id="64" name="Frame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3pt;mso-wrap-distance-bottom:0pt;margin-top:3.3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41910" distB="0" distL="0" distR="0" simplePos="0" locked="0" layoutInCell="1" allowOverlap="1" relativeHeight="353">
                <wp:simplePos x="0" y="0"/>
                <wp:positionH relativeFrom="column">
                  <wp:align>left</wp:align>
                </wp:positionH>
                <wp:positionV relativeFrom="line">
                  <wp:align>top</wp:align>
                </wp:positionV>
                <wp:extent cx="127000" cy="350520"/>
                <wp:effectExtent l="0" t="0" r="0" b="0"/>
                <wp:wrapSquare wrapText="right"/>
                <wp:docPr id="65" name="Frame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3pt;mso-wrap-distance-bottom:0pt;margin-top:3.3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41910" distB="0" distL="0" distR="0" simplePos="0" locked="0" layoutInCell="1" allowOverlap="1" relativeHeight="354">
                <wp:simplePos x="0" y="0"/>
                <wp:positionH relativeFrom="column">
                  <wp:align>left</wp:align>
                </wp:positionH>
                <wp:positionV relativeFrom="line">
                  <wp:align>top</wp:align>
                </wp:positionV>
                <wp:extent cx="127000" cy="350520"/>
                <wp:effectExtent l="0" t="0" r="0" b="0"/>
                <wp:wrapSquare wrapText="right"/>
                <wp:docPr id="66" name="Frame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3pt;mso-wrap-distance-bottom:0pt;margin-top:3.3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41910" distB="0" distL="0" distR="0" simplePos="0" locked="0" layoutInCell="1" allowOverlap="1" relativeHeight="355">
                <wp:simplePos x="0" y="0"/>
                <wp:positionH relativeFrom="column">
                  <wp:align>left</wp:align>
                </wp:positionH>
                <wp:positionV relativeFrom="line">
                  <wp:align>top</wp:align>
                </wp:positionV>
                <wp:extent cx="127000" cy="350520"/>
                <wp:effectExtent l="0" t="0" r="0" b="0"/>
                <wp:wrapSquare wrapText="right"/>
                <wp:docPr id="67" name="Frame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3pt;mso-wrap-distance-bottom:0pt;margin-top:3.3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40640" distB="0" distL="0" distR="0" simplePos="0" locked="0" layoutInCell="1" allowOverlap="1" relativeHeight="356">
                <wp:simplePos x="0" y="0"/>
                <wp:positionH relativeFrom="column">
                  <wp:align>left</wp:align>
                </wp:positionH>
                <wp:positionV relativeFrom="line">
                  <wp:align>top</wp:align>
                </wp:positionV>
                <wp:extent cx="127000" cy="350520"/>
                <wp:effectExtent l="0" t="0" r="0" b="0"/>
                <wp:wrapSquare wrapText="right"/>
                <wp:docPr id="68" name="Frame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2pt;mso-wrap-distance-bottom:0pt;margin-top:3.2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40640" distB="0" distL="0" distR="0" simplePos="0" locked="0" layoutInCell="1" allowOverlap="1" relativeHeight="357">
                <wp:simplePos x="0" y="0"/>
                <wp:positionH relativeFrom="column">
                  <wp:align>left</wp:align>
                </wp:positionH>
                <wp:positionV relativeFrom="line">
                  <wp:align>top</wp:align>
                </wp:positionV>
                <wp:extent cx="127000" cy="350520"/>
                <wp:effectExtent l="0" t="0" r="0" b="0"/>
                <wp:wrapSquare wrapText="right"/>
                <wp:docPr id="69" name="Frame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2pt;mso-wrap-distance-bottom:0pt;margin-top:3.2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283"/>
        <w:ind w:left="7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60" w:before="12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2"/>
        </w:rPr>
        <w:t>1</w:t>
      </w:r>
      <w:r>
        <w:rPr>
          <w:rFonts w:ascii="Arial;Helvetica;sans-serif" w:hAnsi="Arial;Helvetica;sans-serif"/>
          <w:b w:val="false"/>
          <w:i w:val="false"/>
          <w:caps w:val="false"/>
          <w:smallCaps w:val="false"/>
          <w:color w:val="000000"/>
          <w:spacing w:val="-2"/>
          <w:sz w:val="16"/>
        </w:rPr>
        <w:t xml:space="preserve"> Colliers. </w:t>
      </w:r>
      <w:r>
        <w:rPr>
          <w:rFonts w:ascii="Arial;Helvetica;sans-serif" w:hAnsi="Arial;Helvetica;sans-serif"/>
          <w:b w:val="false"/>
          <w:i/>
          <w:caps w:val="false"/>
          <w:smallCaps w:val="false"/>
          <w:color w:val="000000"/>
          <w:sz w:val="16"/>
        </w:rPr>
        <w:t>Research Report: Manhattan, New York City Office Report, 2025 Q4. Retrieved from Colliers.com.</w:t>
      </w:r>
      <w:r>
        <w:rPr>
          <w:rFonts w:ascii="Arial;Helvetica;sans-serif" w:hAnsi="Arial;Helvetica;sans-serif"/>
          <w:b w:val="false"/>
          <w:i w:val="false"/>
          <w:caps w:val="false"/>
          <w:smallCaps w:val="false"/>
          <w:color w:val="000000"/>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105" w:type="dxa"/>
        <w:jc w:val="left"/>
        <w:tblInd w:w="900" w:type="dxa"/>
        <w:tblLayout w:type="fixed"/>
        <w:tblCellMar>
          <w:top w:w="0" w:type="dxa"/>
          <w:left w:w="0" w:type="dxa"/>
          <w:bottom w:w="0" w:type="dxa"/>
          <w:right w:w="0" w:type="dxa"/>
        </w:tblCellMar>
      </w:tblPr>
      <w:tblGrid>
        <w:gridCol w:w="124"/>
        <w:gridCol w:w="226"/>
        <w:gridCol w:w="109"/>
        <w:gridCol w:w="109"/>
        <w:gridCol w:w="4383"/>
        <w:gridCol w:w="154"/>
      </w:tblGrid>
      <w:tr>
        <w:trPr/>
        <w:tc>
          <w:tcPr>
            <w:tcW w:w="124"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left"/>
              <w:rPr/>
            </w:pPr>
            <w:r>
              <w:rPr/>
              <w:t>6</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383" w:type="dxa"/>
            <w:tcBorders/>
            <w:vAlign w:val="center"/>
          </w:tcPr>
          <w:p>
            <w:pPr>
              <w:pStyle w:val="TableContents"/>
              <w:bidi w:val="0"/>
              <w:spacing w:lineRule="atLeast" w:line="200" w:before="0" w:after="0"/>
              <w:jc w:val="left"/>
              <w:rPr/>
            </w:pPr>
            <w:r>
              <w:rPr>
                <w:spacing w:val="-2"/>
              </w:rPr>
              <w:t>    </w:t>
            </w:r>
            <w:r>
              <w:rPr>
                <w:spacing w:val="-2"/>
                <w:sz w:val="16"/>
              </w:rPr>
              <w:t>SL GREEN REALTY CORP. 2026 PROXY STATEMENT</w:t>
            </w:r>
            <w:r>
              <w:rPr>
                <w:sz w:val="16"/>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360" w:before="560" w:after="283"/>
        <w:ind w:left="900" w:right="0" w:hanging="0"/>
        <w:jc w:val="left"/>
        <w:rPr>
          <w:rFonts w:ascii="Arial;Helvetica;sans-serif" w:hAnsi="Arial;Helvetica;sans-serif"/>
          <w:b/>
          <w:i w:val="false"/>
          <w:caps w:val="false"/>
          <w:smallCaps w:val="false"/>
          <w:color w:val="83AD40"/>
          <w:sz w:val="32"/>
        </w:rPr>
      </w:pPr>
      <w:r>
        <w:rPr>
          <w:rFonts w:ascii="Arial;Helvetica;sans-serif" w:hAnsi="Arial;Helvetica;sans-serif"/>
          <w:b/>
          <w:i w:val="false"/>
          <w:caps/>
          <w:color w:val="83AD40"/>
          <w:spacing w:val="-3"/>
          <w:sz w:val="32"/>
        </w:rPr>
        <w:t xml:space="preserve">STOCKHOLDER-FRIENDLY CORPORATE </w:t>
        <w:br/>
        <w:t>GOVERNANCE &amp; INDEPENDENT OVERSIGHT</w:t>
      </w:r>
      <w:r>
        <w:rPr>
          <w:rFonts w:ascii="Arial;Helvetica;sans-serif" w:hAnsi="Arial;Helvetica;sans-serif"/>
          <w:b/>
          <w:i w:val="false"/>
          <w:caps w:val="false"/>
          <w:smallCaps w:val="false"/>
          <w:color w:val="000000"/>
          <w:spacing w:val="6"/>
          <w:sz w:val="32"/>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SL Green has a history of strong corporate governance and stockholder-friendly practices.</w:t>
      </w:r>
      <w:r>
        <w:rPr>
          <w:rFonts w:ascii="Arial;Helvetica;sans-serif" w:hAnsi="Arial;Helvetica;sans-serif"/>
          <w:b w:val="false"/>
          <w:i w:val="false"/>
          <w:caps w:val="false"/>
          <w:smallCaps w:val="false"/>
          <w:color w:val="000000"/>
          <w:spacing w:val="4"/>
          <w:sz w:val="18"/>
        </w:rPr>
        <w:t xml:space="preserve"> </w:t>
      </w:r>
    </w:p>
    <w:p>
      <w:pPr>
        <w:pStyle w:val="TextBody"/>
        <w:bidi w:val="0"/>
        <w:spacing w:before="0" w:after="283"/>
        <w:ind w:left="900" w:right="0" w:hanging="0"/>
        <w:jc w:val="left"/>
        <w:rPr>
          <w:caps w:val="false"/>
          <w:smallCaps w:val="false"/>
          <w:color w:val="000000"/>
          <w:bdr w:val="single" w:sz="8" w:space="1" w:color="83AD40"/>
        </w:rPr>
      </w:pPr>
      <w:r>
        <w:rPr>
          <w:caps w:val="false"/>
          <w:smallCaps w:val="false"/>
          <w:color w:val="000000"/>
          <w:bdr w:val="single" w:sz="8" w:space="1" w:color="83AD40"/>
        </w:rPr>
        <w:t>​</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50800" distR="0" simplePos="0" locked="0" layoutInCell="1" allowOverlap="1" relativeHeight="275">
                <wp:simplePos x="0" y="0"/>
                <wp:positionH relativeFrom="column">
                  <wp:align>left</wp:align>
                </wp:positionH>
                <wp:positionV relativeFrom="line">
                  <wp:posOffset>635</wp:posOffset>
                </wp:positionV>
                <wp:extent cx="3759200" cy="4959350"/>
                <wp:effectExtent l="0" t="0" r="0" b="0"/>
                <wp:wrapSquare wrapText="right"/>
                <wp:docPr id="70" name="Frame58"/>
                <a:graphic xmlns:a="http://schemas.openxmlformats.org/drawingml/2006/main">
                  <a:graphicData uri="http://schemas.microsoft.com/office/word/2010/wordprocessingShape">
                    <wps:wsp>
                      <wps:cNvSpPr txBox="1"/>
                      <wps:spPr>
                        <a:xfrm>
                          <a:off x="0" y="0"/>
                          <a:ext cx="3759200" cy="495935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24"/>
                              <w:gridCol w:w="109"/>
                              <w:gridCol w:w="1433"/>
                              <w:gridCol w:w="109"/>
                              <w:gridCol w:w="109"/>
                              <w:gridCol w:w="8166"/>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817" w:type="dxa"/>
                                  <w:gridSpan w:val="4"/>
                                  <w:tcBorders>
                                    <w:bottom w:val="single" w:sz="2" w:space="0" w:color="83AD40"/>
                                  </w:tcBorders>
                                  <w:tcMar>
                                    <w:bottom w:w="352" w:type="dxa"/>
                                  </w:tcMar>
                                  <w:vAlign w:val="center"/>
                                </w:tcPr>
                                <w:p>
                                  <w:pPr>
                                    <w:pStyle w:val="TableContents"/>
                                    <w:bidi w:val="0"/>
                                    <w:spacing w:before="0" w:after="0"/>
                                    <w:jc w:val="left"/>
                                    <w:rPr>
                                      <w:b/>
                                      <w:sz w:val="26"/>
                                    </w:rPr>
                                  </w:pPr>
                                  <w:r>
                                    <w:rPr>
                                      <w:b/>
                                      <w:spacing w:val="-3"/>
                                      <w:sz w:val="26"/>
                                    </w:rPr>
                                    <w:t>Annual Director Elections</w:t>
                                  </w:r>
                                  <w:r>
                                    <w:rPr>
                                      <w:b/>
                                      <w:sz w:val="26"/>
                                    </w:rPr>
                                    <w:t xml:space="preserve"> </w:t>
                                  </w:r>
                                </w:p>
                                <w:p>
                                  <w:pPr>
                                    <w:pStyle w:val="TableContents"/>
                                    <w:bidi w:val="0"/>
                                    <w:spacing w:before="120" w:after="283"/>
                                    <w:jc w:val="left"/>
                                    <w:rPr/>
                                  </w:pPr>
                                  <w:r>
                                    <w:rPr>
                                      <w:spacing w:val="-2"/>
                                    </w:rPr>
                                    <w:t>Our directors are elected for one-year terms.</w:t>
                                  </w:r>
                                  <w:r>
                                    <w:rPr/>
                                    <w:t xml:space="preserve">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817" w:type="dxa"/>
                                  <w:gridSpan w:val="4"/>
                                  <w:tcBorders>
                                    <w:bottom w:val="single" w:sz="2" w:space="0" w:color="83AD40"/>
                                  </w:tcBorders>
                                  <w:tcMar>
                                    <w:bottom w:w="315" w:type="dxa"/>
                                  </w:tcMar>
                                  <w:vAlign w:val="center"/>
                                </w:tcPr>
                                <w:p>
                                  <w:pPr>
                                    <w:pStyle w:val="TableContents"/>
                                    <w:bidi w:val="0"/>
                                    <w:spacing w:before="0" w:after="0"/>
                                    <w:jc w:val="left"/>
                                    <w:rPr>
                                      <w:b/>
                                      <w:sz w:val="26"/>
                                    </w:rPr>
                                  </w:pPr>
                                  <w:r>
                                    <w:rPr>
                                      <w:b/>
                                      <w:spacing w:val="-3"/>
                                      <w:sz w:val="26"/>
                                    </w:rPr>
                                    <w:t>Majority Vote Standard with Director Resignation Policy</w:t>
                                  </w:r>
                                  <w:r>
                                    <w:rPr>
                                      <w:b/>
                                      <w:sz w:val="26"/>
                                    </w:rPr>
                                    <w:t xml:space="preserve"> </w:t>
                                  </w:r>
                                </w:p>
                                <w:p>
                                  <w:pPr>
                                    <w:pStyle w:val="TableContents"/>
                                    <w:bidi w:val="0"/>
                                    <w:spacing w:lineRule="atLeast" w:line="220" w:before="120" w:after="283"/>
                                    <w:jc w:val="left"/>
                                    <w:rPr/>
                                  </w:pPr>
                                  <w:r>
                                    <w:rPr>
                                      <w:spacing w:val="-2"/>
                                    </w:rPr>
                                    <w:t>A majority of votes cast is required for a nominee to be elected to serve on the Board in our uncontested election.</w:t>
                                  </w:r>
                                  <w:r>
                                    <w:rPr/>
                                    <w:t xml:space="preserve"> </w:t>
                                  </w:r>
                                </w:p>
                                <w:p>
                                  <w:pPr>
                                    <w:pStyle w:val="TableContents"/>
                                    <w:bidi w:val="0"/>
                                    <w:spacing w:lineRule="atLeast" w:line="220" w:before="120" w:after="283"/>
                                    <w:jc w:val="left"/>
                                    <w:rPr/>
                                  </w:pPr>
                                  <w:r>
                                    <w:rPr>
                                      <w:spacing w:val="-2"/>
                                    </w:rPr>
                                    <w:t>Our director resignation policy applies for a director who fails to receive majority support.</w:t>
                                  </w:r>
                                  <w:r>
                                    <w:rPr/>
                                    <w:t xml:space="preserve">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33" w:type="dxa"/>
                                  <w:tcBorders/>
                                  <w:vAlign w:val="center"/>
                                </w:tcPr>
                                <w:p>
                                  <w:pPr>
                                    <w:pStyle w:val="TableContents"/>
                                    <w:bidi w:val="0"/>
                                    <w:spacing w:before="0" w:after="0"/>
                                    <w:jc w:val="left"/>
                                    <w:rPr/>
                                  </w:pPr>
                                  <w:r>
                                    <w:rPr/>
                                    <w:drawing>
                                      <wp:inline distT="0" distB="0" distL="0" distR="0">
                                        <wp:extent cx="847725" cy="800100"/>
                                        <wp:effectExtent l="0" t="0" r="0" b="0"/>
                                        <wp:docPr id="7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18" descr=""/>
                                                <pic:cNvPicPr>
                                                  <a:picLocks noChangeAspect="1" noChangeArrowheads="1"/>
                                                </pic:cNvPicPr>
                                              </pic:nvPicPr>
                                              <pic:blipFill>
                                                <a:blip r:embed="rId15"/>
                                                <a:stretch>
                                                  <a:fillRect/>
                                                </a:stretch>
                                              </pic:blipFill>
                                              <pic:spPr bwMode="auto">
                                                <a:xfrm>
                                                  <a:off x="0" y="0"/>
                                                  <a:ext cx="847725" cy="8001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166" w:type="dxa"/>
                                  <w:tcBorders/>
                                  <w:vAlign w:val="center"/>
                                </w:tcPr>
                                <w:p>
                                  <w:pPr>
                                    <w:pStyle w:val="TableContents"/>
                                    <w:bidi w:val="0"/>
                                    <w:spacing w:lineRule="atLeast" w:line="260" w:before="0" w:after="0"/>
                                    <w:jc w:val="left"/>
                                    <w:rPr>
                                      <w:b/>
                                      <w:color w:val="83AD40"/>
                                      <w:sz w:val="22"/>
                                    </w:rPr>
                                  </w:pPr>
                                  <w:r>
                                    <w:rPr>
                                      <w:b/>
                                      <w:color w:val="83AD40"/>
                                      <w:spacing w:val="-2"/>
                                      <w:sz w:val="22"/>
                                    </w:rPr>
                                    <w:t>Stockholder Amendments to Bylaws</w:t>
                                  </w:r>
                                  <w:r>
                                    <w:rPr>
                                      <w:b/>
                                      <w:color w:val="83AD40"/>
                                      <w:sz w:val="22"/>
                                    </w:rPr>
                                    <w:t xml:space="preserve"> </w:t>
                                  </w:r>
                                </w:p>
                                <w:p>
                                  <w:pPr>
                                    <w:pStyle w:val="TableContents"/>
                                    <w:bidi w:val="0"/>
                                    <w:spacing w:lineRule="atLeast" w:line="220" w:before="100" w:after="283"/>
                                    <w:jc w:val="left"/>
                                    <w:rPr>
                                      <w:spacing w:val="-2"/>
                                    </w:rPr>
                                  </w:pPr>
                                  <w:r>
                                    <w:rPr>
                                      <w:spacing w:val="-2"/>
                                    </w:rPr>
                                    <w:t xml:space="preserve">Bylaw amendments can be adopted by a majority vote without any ownership or holding period limitations.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33" w:type="dxa"/>
                                  <w:tcBorders/>
                                  <w:vAlign w:val="center"/>
                                </w:tcPr>
                                <w:p>
                                  <w:pPr>
                                    <w:pStyle w:val="TableContents"/>
                                    <w:bidi w:val="0"/>
                                    <w:spacing w:before="0" w:after="0"/>
                                    <w:jc w:val="left"/>
                                    <w:rPr/>
                                  </w:pPr>
                                  <w:r>
                                    <w:rPr/>
                                    <w:drawing>
                                      <wp:inline distT="0" distB="0" distL="0" distR="0">
                                        <wp:extent cx="790575" cy="914400"/>
                                        <wp:effectExtent l="0" t="0" r="0" b="0"/>
                                        <wp:docPr id="7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19" descr=""/>
                                                <pic:cNvPicPr>
                                                  <a:picLocks noChangeAspect="1" noChangeArrowheads="1"/>
                                                </pic:cNvPicPr>
                                              </pic:nvPicPr>
                                              <pic:blipFill>
                                                <a:blip r:embed="rId16"/>
                                                <a:stretch>
                                                  <a:fillRect/>
                                                </a:stretch>
                                              </pic:blipFill>
                                              <pic:spPr bwMode="auto">
                                                <a:xfrm>
                                                  <a:off x="0" y="0"/>
                                                  <a:ext cx="790575" cy="9144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166" w:type="dxa"/>
                                  <w:tcBorders/>
                                  <w:vAlign w:val="center"/>
                                </w:tcPr>
                                <w:p>
                                  <w:pPr>
                                    <w:pStyle w:val="TableContents"/>
                                    <w:bidi w:val="0"/>
                                    <w:spacing w:lineRule="atLeast" w:line="260" w:before="0" w:after="0"/>
                                    <w:jc w:val="left"/>
                                    <w:rPr>
                                      <w:b/>
                                      <w:color w:val="83AD40"/>
                                      <w:sz w:val="22"/>
                                    </w:rPr>
                                  </w:pPr>
                                  <w:r>
                                    <w:rPr>
                                      <w:b/>
                                      <w:color w:val="83AD40"/>
                                      <w:spacing w:val="-2"/>
                                      <w:sz w:val="22"/>
                                    </w:rPr>
                                    <w:t>Proxy Access</w:t>
                                  </w:r>
                                  <w:r>
                                    <w:rPr>
                                      <w:b/>
                                      <w:color w:val="83AD40"/>
                                      <w:sz w:val="22"/>
                                    </w:rPr>
                                    <w:t xml:space="preserve"> </w:t>
                                  </w:r>
                                </w:p>
                                <w:p>
                                  <w:pPr>
                                    <w:pStyle w:val="TableContents"/>
                                    <w:bidi w:val="0"/>
                                    <w:spacing w:lineRule="atLeast" w:line="220" w:before="160" w:after="283"/>
                                    <w:jc w:val="left"/>
                                    <w:rPr>
                                      <w:spacing w:val="-2"/>
                                    </w:rPr>
                                  </w:pPr>
                                  <w:r>
                                    <w:rPr>
                                      <w:spacing w:val="-2"/>
                                    </w:rPr>
                                    <w:t xml:space="preserve">Stockholders (or a group of up to 20 stockholders) owning 3% or more of outstanding common stock continuously for at least 3 years may nominate, and include in our proxy materials, director candidates constituting up to the greater of two individuals or 20% of the Board, if the nominating stockholder(s) and the nominee(s) satisfy the requirements specified in our bylaws.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817" w:type="dxa"/>
                                  <w:gridSpan w:val="4"/>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96pt;height:390.5pt;mso-wrap-distance-left:4pt;mso-wrap-distance-right:0pt;mso-wrap-distance-top:0pt;mso-wrap-distance-bottom:0pt;margin-top:0pt;mso-position-vertical:top;mso-position-vertical-relative:text;margin-left:221pt;mso-position-horizontal:left;mso-position-horizontal-relative:text">
                <v:textbox>
                  <w:txbxContent>
                    <w:tbl>
                      <w:tblPr>
                        <w:tblW w:w="10205" w:type="dxa"/>
                        <w:jc w:val="left"/>
                        <w:tblInd w:w="0" w:type="dxa"/>
                        <w:tblLayout w:type="fixed"/>
                        <w:tblCellMar>
                          <w:top w:w="0" w:type="dxa"/>
                          <w:left w:w="0" w:type="dxa"/>
                          <w:bottom w:w="0" w:type="dxa"/>
                          <w:right w:w="0" w:type="dxa"/>
                        </w:tblCellMar>
                      </w:tblPr>
                      <w:tblGrid>
                        <w:gridCol w:w="124"/>
                        <w:gridCol w:w="109"/>
                        <w:gridCol w:w="1433"/>
                        <w:gridCol w:w="109"/>
                        <w:gridCol w:w="109"/>
                        <w:gridCol w:w="8166"/>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817" w:type="dxa"/>
                            <w:gridSpan w:val="4"/>
                            <w:tcBorders>
                              <w:bottom w:val="single" w:sz="2" w:space="0" w:color="83AD40"/>
                            </w:tcBorders>
                            <w:tcMar>
                              <w:bottom w:w="352" w:type="dxa"/>
                            </w:tcMar>
                            <w:vAlign w:val="center"/>
                          </w:tcPr>
                          <w:p>
                            <w:pPr>
                              <w:pStyle w:val="TableContents"/>
                              <w:bidi w:val="0"/>
                              <w:spacing w:before="0" w:after="0"/>
                              <w:jc w:val="left"/>
                              <w:rPr>
                                <w:b/>
                                <w:sz w:val="26"/>
                              </w:rPr>
                            </w:pPr>
                            <w:r>
                              <w:rPr>
                                <w:b/>
                                <w:spacing w:val="-3"/>
                                <w:sz w:val="26"/>
                              </w:rPr>
                              <w:t>Annual Director Elections</w:t>
                            </w:r>
                            <w:r>
                              <w:rPr>
                                <w:b/>
                                <w:sz w:val="26"/>
                              </w:rPr>
                              <w:t xml:space="preserve"> </w:t>
                            </w:r>
                          </w:p>
                          <w:p>
                            <w:pPr>
                              <w:pStyle w:val="TableContents"/>
                              <w:bidi w:val="0"/>
                              <w:spacing w:before="120" w:after="283"/>
                              <w:jc w:val="left"/>
                              <w:rPr/>
                            </w:pPr>
                            <w:r>
                              <w:rPr>
                                <w:spacing w:val="-2"/>
                              </w:rPr>
                              <w:t>Our directors are elected for one-year terms.</w:t>
                            </w:r>
                            <w:r>
                              <w:rPr/>
                              <w:t xml:space="preserve">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817" w:type="dxa"/>
                            <w:gridSpan w:val="4"/>
                            <w:tcBorders>
                              <w:bottom w:val="single" w:sz="2" w:space="0" w:color="83AD40"/>
                            </w:tcBorders>
                            <w:tcMar>
                              <w:bottom w:w="315" w:type="dxa"/>
                            </w:tcMar>
                            <w:vAlign w:val="center"/>
                          </w:tcPr>
                          <w:p>
                            <w:pPr>
                              <w:pStyle w:val="TableContents"/>
                              <w:bidi w:val="0"/>
                              <w:spacing w:before="0" w:after="0"/>
                              <w:jc w:val="left"/>
                              <w:rPr>
                                <w:b/>
                                <w:sz w:val="26"/>
                              </w:rPr>
                            </w:pPr>
                            <w:r>
                              <w:rPr>
                                <w:b/>
                                <w:spacing w:val="-3"/>
                                <w:sz w:val="26"/>
                              </w:rPr>
                              <w:t>Majority Vote Standard with Director Resignation Policy</w:t>
                            </w:r>
                            <w:r>
                              <w:rPr>
                                <w:b/>
                                <w:sz w:val="26"/>
                              </w:rPr>
                              <w:t xml:space="preserve"> </w:t>
                            </w:r>
                          </w:p>
                          <w:p>
                            <w:pPr>
                              <w:pStyle w:val="TableContents"/>
                              <w:bidi w:val="0"/>
                              <w:spacing w:lineRule="atLeast" w:line="220" w:before="120" w:after="283"/>
                              <w:jc w:val="left"/>
                              <w:rPr/>
                            </w:pPr>
                            <w:r>
                              <w:rPr>
                                <w:spacing w:val="-2"/>
                              </w:rPr>
                              <w:t>A majority of votes cast is required for a nominee to be elected to serve on the Board in our uncontested election.</w:t>
                            </w:r>
                            <w:r>
                              <w:rPr/>
                              <w:t xml:space="preserve"> </w:t>
                            </w:r>
                          </w:p>
                          <w:p>
                            <w:pPr>
                              <w:pStyle w:val="TableContents"/>
                              <w:bidi w:val="0"/>
                              <w:spacing w:lineRule="atLeast" w:line="220" w:before="120" w:after="283"/>
                              <w:jc w:val="left"/>
                              <w:rPr/>
                            </w:pPr>
                            <w:r>
                              <w:rPr>
                                <w:spacing w:val="-2"/>
                              </w:rPr>
                              <w:t>Our director resignation policy applies for a director who fails to receive majority support.</w:t>
                            </w:r>
                            <w:r>
                              <w:rPr/>
                              <w:t xml:space="preserve">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33" w:type="dxa"/>
                            <w:tcBorders/>
                            <w:vAlign w:val="center"/>
                          </w:tcPr>
                          <w:p>
                            <w:pPr>
                              <w:pStyle w:val="TableContents"/>
                              <w:bidi w:val="0"/>
                              <w:spacing w:before="0" w:after="0"/>
                              <w:jc w:val="left"/>
                              <w:rPr/>
                            </w:pPr>
                            <w:r>
                              <w:rPr/>
                              <w:drawing>
                                <wp:inline distT="0" distB="0" distL="0" distR="0">
                                  <wp:extent cx="847725" cy="800100"/>
                                  <wp:effectExtent l="0" t="0" r="0" b="0"/>
                                  <wp:docPr id="73"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18" descr=""/>
                                          <pic:cNvPicPr>
                                            <a:picLocks noChangeAspect="1" noChangeArrowheads="1"/>
                                          </pic:cNvPicPr>
                                        </pic:nvPicPr>
                                        <pic:blipFill>
                                          <a:blip r:embed="rId17"/>
                                          <a:stretch>
                                            <a:fillRect/>
                                          </a:stretch>
                                        </pic:blipFill>
                                        <pic:spPr bwMode="auto">
                                          <a:xfrm>
                                            <a:off x="0" y="0"/>
                                            <a:ext cx="847725" cy="8001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166" w:type="dxa"/>
                            <w:tcBorders/>
                            <w:vAlign w:val="center"/>
                          </w:tcPr>
                          <w:p>
                            <w:pPr>
                              <w:pStyle w:val="TableContents"/>
                              <w:bidi w:val="0"/>
                              <w:spacing w:lineRule="atLeast" w:line="260" w:before="0" w:after="0"/>
                              <w:jc w:val="left"/>
                              <w:rPr>
                                <w:b/>
                                <w:color w:val="83AD40"/>
                                <w:sz w:val="22"/>
                              </w:rPr>
                            </w:pPr>
                            <w:r>
                              <w:rPr>
                                <w:b/>
                                <w:color w:val="83AD40"/>
                                <w:spacing w:val="-2"/>
                                <w:sz w:val="22"/>
                              </w:rPr>
                              <w:t>Stockholder Amendments to Bylaws</w:t>
                            </w:r>
                            <w:r>
                              <w:rPr>
                                <w:b/>
                                <w:color w:val="83AD40"/>
                                <w:sz w:val="22"/>
                              </w:rPr>
                              <w:t xml:space="preserve"> </w:t>
                            </w:r>
                          </w:p>
                          <w:p>
                            <w:pPr>
                              <w:pStyle w:val="TableContents"/>
                              <w:bidi w:val="0"/>
                              <w:spacing w:lineRule="atLeast" w:line="220" w:before="100" w:after="283"/>
                              <w:jc w:val="left"/>
                              <w:rPr>
                                <w:spacing w:val="-2"/>
                              </w:rPr>
                            </w:pPr>
                            <w:r>
                              <w:rPr>
                                <w:spacing w:val="-2"/>
                              </w:rPr>
                              <w:t xml:space="preserve">Bylaw amendments can be adopted by a majority vote without any ownership or holding period limitations.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33" w:type="dxa"/>
                            <w:tcBorders/>
                            <w:vAlign w:val="center"/>
                          </w:tcPr>
                          <w:p>
                            <w:pPr>
                              <w:pStyle w:val="TableContents"/>
                              <w:bidi w:val="0"/>
                              <w:spacing w:before="0" w:after="0"/>
                              <w:jc w:val="left"/>
                              <w:rPr/>
                            </w:pPr>
                            <w:r>
                              <w:rPr/>
                              <w:drawing>
                                <wp:inline distT="0" distB="0" distL="0" distR="0">
                                  <wp:extent cx="790575" cy="914400"/>
                                  <wp:effectExtent l="0" t="0" r="0" b="0"/>
                                  <wp:docPr id="74"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19" descr=""/>
                                          <pic:cNvPicPr>
                                            <a:picLocks noChangeAspect="1" noChangeArrowheads="1"/>
                                          </pic:cNvPicPr>
                                        </pic:nvPicPr>
                                        <pic:blipFill>
                                          <a:blip r:embed="rId18"/>
                                          <a:stretch>
                                            <a:fillRect/>
                                          </a:stretch>
                                        </pic:blipFill>
                                        <pic:spPr bwMode="auto">
                                          <a:xfrm>
                                            <a:off x="0" y="0"/>
                                            <a:ext cx="790575" cy="9144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166" w:type="dxa"/>
                            <w:tcBorders/>
                            <w:vAlign w:val="center"/>
                          </w:tcPr>
                          <w:p>
                            <w:pPr>
                              <w:pStyle w:val="TableContents"/>
                              <w:bidi w:val="0"/>
                              <w:spacing w:lineRule="atLeast" w:line="260" w:before="0" w:after="0"/>
                              <w:jc w:val="left"/>
                              <w:rPr>
                                <w:b/>
                                <w:color w:val="83AD40"/>
                                <w:sz w:val="22"/>
                              </w:rPr>
                            </w:pPr>
                            <w:r>
                              <w:rPr>
                                <w:b/>
                                <w:color w:val="83AD40"/>
                                <w:spacing w:val="-2"/>
                                <w:sz w:val="22"/>
                              </w:rPr>
                              <w:t>Proxy Access</w:t>
                            </w:r>
                            <w:r>
                              <w:rPr>
                                <w:b/>
                                <w:color w:val="83AD40"/>
                                <w:sz w:val="22"/>
                              </w:rPr>
                              <w:t xml:space="preserve"> </w:t>
                            </w:r>
                          </w:p>
                          <w:p>
                            <w:pPr>
                              <w:pStyle w:val="TableContents"/>
                              <w:bidi w:val="0"/>
                              <w:spacing w:lineRule="atLeast" w:line="220" w:before="160" w:after="283"/>
                              <w:jc w:val="left"/>
                              <w:rPr>
                                <w:spacing w:val="-2"/>
                              </w:rPr>
                            </w:pPr>
                            <w:r>
                              <w:rPr>
                                <w:spacing w:val="-2"/>
                              </w:rPr>
                              <w:t xml:space="preserve">Stockholders (or a group of up to 20 stockholders) owning 3% or more of outstanding common stock continuously for at least 3 years may nominate, and include in our proxy materials, director candidates constituting up to the greater of two individuals or 20% of the Board, if the nominating stockholder(s) and the nominee(s) satisfy the requirements specified in our bylaws.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817" w:type="dxa"/>
                            <w:gridSpan w:val="4"/>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571500" distR="0" simplePos="0" locked="0" layoutInCell="1" allowOverlap="1" relativeHeight="279">
                <wp:simplePos x="0" y="0"/>
                <wp:positionH relativeFrom="column">
                  <wp:align>left</wp:align>
                </wp:positionH>
                <wp:positionV relativeFrom="line">
                  <wp:posOffset>635</wp:posOffset>
                </wp:positionV>
                <wp:extent cx="2590800" cy="4137660"/>
                <wp:effectExtent l="0" t="0" r="0" b="0"/>
                <wp:wrapSquare wrapText="right"/>
                <wp:docPr id="75" name="Frame57"/>
                <a:graphic xmlns:a="http://schemas.openxmlformats.org/drawingml/2006/main">
                  <a:graphicData uri="http://schemas.microsoft.com/office/word/2010/wordprocessingShape">
                    <wps:wsp>
                      <wps:cNvSpPr txBox="1"/>
                      <wps:spPr>
                        <a:xfrm>
                          <a:off x="0" y="0"/>
                          <a:ext cx="2590800" cy="4137660"/>
                        </a:xfrm>
                        <a:prstGeom prst="rect"/>
                        <a:solidFill>
                          <a:srgbClr val="FFFFFF"/>
                        </a:solidFill>
                      </wps:spPr>
                      <wps:txbx>
                        <w:txbxContent>
                          <w:tbl>
                            <w:tblPr>
                              <w:tblW w:w="10205" w:type="dxa"/>
                              <w:jc w:val="left"/>
                              <w:tblInd w:w="0" w:type="dxa"/>
                              <w:tblLayout w:type="fixed"/>
                              <w:tblCellMar>
                                <w:top w:w="0" w:type="dxa"/>
                                <w:left w:w="0" w:type="dxa"/>
                                <w:bottom w:w="28" w:type="dxa"/>
                                <w:right w:w="0" w:type="dxa"/>
                              </w:tblCellMar>
                            </w:tblPr>
                            <w:tblGrid>
                              <w:gridCol w:w="124"/>
                              <w:gridCol w:w="829"/>
                              <w:gridCol w:w="109"/>
                              <w:gridCol w:w="109"/>
                              <w:gridCol w:w="8879"/>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829" w:type="dxa"/>
                                  <w:tcBorders>
                                    <w:bottom w:val="single" w:sz="2" w:space="0" w:color="FFFFFF"/>
                                  </w:tcBorders>
                                  <w:vAlign w:val="center"/>
                                </w:tcPr>
                                <w:p>
                                  <w:pPr>
                                    <w:pStyle w:val="TableContents"/>
                                    <w:bidi w:val="0"/>
                                    <w:spacing w:before="0" w:after="0"/>
                                    <w:jc w:val="left"/>
                                    <w:rPr/>
                                  </w:pPr>
                                  <w:r>
                                    <w:rPr/>
                                    <w:drawing>
                                      <wp:inline distT="0" distB="0" distL="0" distR="0">
                                        <wp:extent cx="428625" cy="428625"/>
                                        <wp:effectExtent l="0" t="0" r="0" b="0"/>
                                        <wp:docPr id="7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13" descr=""/>
                                                <pic:cNvPicPr>
                                                  <a:picLocks noChangeAspect="1" noChangeArrowheads="1"/>
                                                </pic:cNvPicPr>
                                              </pic:nvPicPr>
                                              <pic:blipFill>
                                                <a:blip r:embed="rId19"/>
                                                <a:stretch>
                                                  <a:fillRect/>
                                                </a:stretch>
                                              </pic:blipFill>
                                              <pic:spPr bwMode="auto">
                                                <a:xfrm>
                                                  <a:off x="0" y="0"/>
                                                  <a:ext cx="428625" cy="428625"/>
                                                </a:xfrm>
                                                <a:prstGeom prst="rect">
                                                  <a:avLst/>
                                                </a:prstGeom>
                                              </pic:spPr>
                                            </pic:pic>
                                          </a:graphicData>
                                        </a:graphic>
                                      </wp:inline>
                                    </w:drawing>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879" w:type="dxa"/>
                                  <w:tcBorders>
                                    <w:bottom w:val="single" w:sz="2" w:space="0" w:color="83AD40"/>
                                  </w:tcBorders>
                                  <w:tcMar>
                                    <w:bottom w:w="280" w:type="dxa"/>
                                  </w:tcMar>
                                  <w:vAlign w:val="center"/>
                                </w:tcPr>
                                <w:p>
                                  <w:pPr>
                                    <w:pStyle w:val="TableContents"/>
                                    <w:bidi w:val="0"/>
                                    <w:spacing w:lineRule="atLeast" w:line="300" w:before="0" w:after="0"/>
                                    <w:jc w:val="left"/>
                                    <w:rPr>
                                      <w:b/>
                                      <w:color w:val="1F2668"/>
                                      <w:sz w:val="26"/>
                                    </w:rPr>
                                  </w:pPr>
                                  <w:r>
                                    <w:rPr>
                                      <w:b/>
                                      <w:color w:val="1F2668"/>
                                      <w:spacing w:val="-3"/>
                                      <w:sz w:val="26"/>
                                    </w:rPr>
                                    <w:t>Board Composition</w:t>
                                  </w:r>
                                  <w:r>
                                    <w:rPr>
                                      <w:b/>
                                      <w:color w:val="1F2668"/>
                                      <w:sz w:val="26"/>
                                    </w:rPr>
                                    <w:t xml:space="preserve"> </w:t>
                                  </w:r>
                                </w:p>
                                <w:p>
                                  <w:pPr>
                                    <w:pStyle w:val="TableContents"/>
                                    <w:bidi w:val="0"/>
                                    <w:spacing w:lineRule="atLeast" w:line="220" w:before="100" w:after="283"/>
                                    <w:jc w:val="left"/>
                                    <w:rPr>
                                      <w:spacing w:val="-2"/>
                                    </w:rPr>
                                  </w:pPr>
                                  <w:r>
                                    <w:rPr>
                                      <w:spacing w:val="-2"/>
                                    </w:rPr>
                                    <w:t xml:space="preserve">Varied knowledge, skills, experience, perspectives and backgrounds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29" w:type="dxa"/>
                                  <w:tcBorders/>
                                  <w:tcMar>
                                    <w:bottom w:w="0" w:type="dxa"/>
                                  </w:tcMar>
                                  <w:vAlign w:val="center"/>
                                </w:tcPr>
                                <w:p>
                                  <w:pPr>
                                    <w:pStyle w:val="TableContents"/>
                                    <w:bidi w:val="0"/>
                                    <w:spacing w:before="0" w:after="0"/>
                                    <w:jc w:val="left"/>
                                    <w:rPr/>
                                  </w:pPr>
                                  <w:r>
                                    <w:rPr/>
                                    <w:drawing>
                                      <wp:inline distT="0" distB="0" distL="0" distR="0">
                                        <wp:extent cx="419100" cy="419100"/>
                                        <wp:effectExtent l="0" t="0" r="0" b="0"/>
                                        <wp:docPr id="7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14" descr=""/>
                                                <pic:cNvPicPr>
                                                  <a:picLocks noChangeAspect="1" noChangeArrowheads="1"/>
                                                </pic:cNvPicPr>
                                              </pic:nvPicPr>
                                              <pic:blipFill>
                                                <a:blip r:embed="rId20"/>
                                                <a:stretch>
                                                  <a:fillRect/>
                                                </a:stretch>
                                              </pic:blipFill>
                                              <pic:spPr bwMode="auto">
                                                <a:xfrm>
                                                  <a:off x="0" y="0"/>
                                                  <a:ext cx="419100" cy="419100"/>
                                                </a:xfrm>
                                                <a:prstGeom prst="rect">
                                                  <a:avLst/>
                                                </a:prstGeom>
                                              </pic:spPr>
                                            </pic:pic>
                                          </a:graphicData>
                                        </a:graphic>
                                      </wp:inline>
                                    </w:drawing>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879" w:type="dxa"/>
                                  <w:tcBorders/>
                                  <w:tcMar>
                                    <w:bottom w:w="0" w:type="dxa"/>
                                  </w:tcMar>
                                  <w:vAlign w:val="center"/>
                                </w:tcPr>
                                <w:p>
                                  <w:pPr>
                                    <w:pStyle w:val="TableContents"/>
                                    <w:bidi w:val="0"/>
                                    <w:spacing w:lineRule="atLeast" w:line="300" w:before="0" w:after="0"/>
                                    <w:jc w:val="left"/>
                                    <w:rPr>
                                      <w:b/>
                                      <w:color w:val="1F2668"/>
                                      <w:sz w:val="26"/>
                                    </w:rPr>
                                  </w:pPr>
                                  <w:r>
                                    <w:rPr>
                                      <w:b/>
                                      <w:color w:val="1F2668"/>
                                      <w:spacing w:val="-3"/>
                                      <w:sz w:val="26"/>
                                    </w:rPr>
                                    <w:t>Experience</w:t>
                                  </w:r>
                                  <w:r>
                                    <w:rPr>
                                      <w:b/>
                                      <w:color w:val="1F2668"/>
                                      <w:sz w:val="26"/>
                                    </w:rPr>
                                    <w:t xml:space="preserve"> </w:t>
                                  </w:r>
                                </w:p>
                                <w:p>
                                  <w:pPr>
                                    <w:pStyle w:val="TableContents"/>
                                    <w:bidi w:val="0"/>
                                    <w:spacing w:lineRule="atLeast" w:line="220" w:before="100" w:after="283"/>
                                    <w:jc w:val="left"/>
                                    <w:rPr>
                                      <w:spacing w:val="-2"/>
                                    </w:rPr>
                                  </w:pPr>
                                  <w:r>
                                    <w:rPr>
                                      <w:spacing w:val="-2"/>
                                    </w:rPr>
                                    <w:t xml:space="preserve">Broad experience serving on public boards in industries relevant to the Company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829" w:type="dxa"/>
                                  <w:tcBorders>
                                    <w:bottom w:val="single" w:sz="2" w:space="0" w:color="FFFFFF"/>
                                  </w:tcBorders>
                                  <w:vAlign w:val="center"/>
                                </w:tcPr>
                                <w:p>
                                  <w:pPr>
                                    <w:pStyle w:val="TableContents"/>
                                    <w:bidi w:val="0"/>
                                    <w:spacing w:before="0" w:after="0"/>
                                    <w:jc w:val="left"/>
                                    <w:rPr/>
                                  </w:pPr>
                                  <w:r>
                                    <w:rPr/>
                                    <w:drawing>
                                      <wp:inline distT="0" distB="0" distL="0" distR="0">
                                        <wp:extent cx="419100" cy="419100"/>
                                        <wp:effectExtent l="0" t="0" r="0" b="0"/>
                                        <wp:docPr id="7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15" descr=""/>
                                                <pic:cNvPicPr>
                                                  <a:picLocks noChangeAspect="1" noChangeArrowheads="1"/>
                                                </pic:cNvPicPr>
                                              </pic:nvPicPr>
                                              <pic:blipFill>
                                                <a:blip r:embed="rId21"/>
                                                <a:stretch>
                                                  <a:fillRect/>
                                                </a:stretch>
                                              </pic:blipFill>
                                              <pic:spPr bwMode="auto">
                                                <a:xfrm>
                                                  <a:off x="0" y="0"/>
                                                  <a:ext cx="419100" cy="419100"/>
                                                </a:xfrm>
                                                <a:prstGeom prst="rect">
                                                  <a:avLst/>
                                                </a:prstGeom>
                                              </pic:spPr>
                                            </pic:pic>
                                          </a:graphicData>
                                        </a:graphic>
                                      </wp:inline>
                                    </w:drawing>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879" w:type="dxa"/>
                                  <w:tcBorders>
                                    <w:bottom w:val="single" w:sz="2" w:space="0" w:color="83AD40"/>
                                  </w:tcBorders>
                                  <w:tcMar>
                                    <w:bottom w:w="227" w:type="dxa"/>
                                  </w:tcMar>
                                  <w:vAlign w:val="center"/>
                                </w:tcPr>
                                <w:p>
                                  <w:pPr>
                                    <w:pStyle w:val="TableContents"/>
                                    <w:bidi w:val="0"/>
                                    <w:spacing w:lineRule="atLeast" w:line="400" w:before="0" w:after="0"/>
                                    <w:jc w:val="left"/>
                                    <w:rPr>
                                      <w:b w:val="false"/>
                                      <w:color w:val="1F2668"/>
                                      <w:sz w:val="36"/>
                                    </w:rPr>
                                  </w:pPr>
                                  <w:r>
                                    <w:rPr>
                                      <w:b w:val="false"/>
                                      <w:color w:val="1F2668"/>
                                      <w:sz w:val="36"/>
                                    </w:rPr>
                                    <w:t>50%</w:t>
                                  </w:r>
                                </w:p>
                                <w:p>
                                  <w:pPr>
                                    <w:pStyle w:val="TableContents"/>
                                    <w:bidi w:val="0"/>
                                    <w:spacing w:lineRule="atLeast" w:line="220" w:before="40" w:after="283"/>
                                    <w:jc w:val="left"/>
                                    <w:rPr/>
                                  </w:pPr>
                                  <w:r>
                                    <w:rPr>
                                      <w:spacing w:val="-2"/>
                                    </w:rPr>
                                    <w:t>of our Board nominees currently serve or have served on the Boards of other publicly traded companies</w:t>
                                  </w:r>
                                  <w:r>
                                    <w:rPr/>
                                    <w:t xml:space="preserv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29" w:type="dxa"/>
                                  <w:tcBorders/>
                                  <w:tcMar>
                                    <w:bottom w:w="0" w:type="dxa"/>
                                  </w:tcMar>
                                  <w:vAlign w:val="center"/>
                                </w:tcPr>
                                <w:p>
                                  <w:pPr>
                                    <w:pStyle w:val="TableContents"/>
                                    <w:bidi w:val="0"/>
                                    <w:spacing w:before="0" w:after="0"/>
                                    <w:jc w:val="left"/>
                                    <w:rPr/>
                                  </w:pPr>
                                  <w:r>
                                    <w:rPr/>
                                    <w:drawing>
                                      <wp:inline distT="0" distB="0" distL="0" distR="0">
                                        <wp:extent cx="352425" cy="581025"/>
                                        <wp:effectExtent l="0" t="0" r="0" b="0"/>
                                        <wp:docPr id="7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16" descr=""/>
                                                <pic:cNvPicPr>
                                                  <a:picLocks noChangeAspect="1" noChangeArrowheads="1"/>
                                                </pic:cNvPicPr>
                                              </pic:nvPicPr>
                                              <pic:blipFill>
                                                <a:blip r:embed="rId22"/>
                                                <a:stretch>
                                                  <a:fillRect/>
                                                </a:stretch>
                                              </pic:blipFill>
                                              <pic:spPr bwMode="auto">
                                                <a:xfrm>
                                                  <a:off x="0" y="0"/>
                                                  <a:ext cx="352425" cy="581025"/>
                                                </a:xfrm>
                                                <a:prstGeom prst="rect">
                                                  <a:avLst/>
                                                </a:prstGeom>
                                              </pic:spPr>
                                            </pic:pic>
                                          </a:graphicData>
                                        </a:graphic>
                                      </wp:inline>
                                    </w:drawing>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879" w:type="dxa"/>
                                  <w:tcBorders/>
                                  <w:tcMar>
                                    <w:bottom w:w="0" w:type="dxa"/>
                                  </w:tcMar>
                                  <w:vAlign w:val="center"/>
                                </w:tcPr>
                                <w:p>
                                  <w:pPr>
                                    <w:pStyle w:val="TableContents"/>
                                    <w:bidi w:val="0"/>
                                    <w:spacing w:lineRule="atLeast" w:line="300" w:before="0" w:after="0"/>
                                    <w:jc w:val="left"/>
                                    <w:rPr>
                                      <w:b/>
                                      <w:color w:val="1F2668"/>
                                      <w:sz w:val="26"/>
                                    </w:rPr>
                                  </w:pPr>
                                  <w:r>
                                    <w:rPr>
                                      <w:b/>
                                      <w:color w:val="1F2668"/>
                                      <w:spacing w:val="-3"/>
                                      <w:sz w:val="26"/>
                                    </w:rPr>
                                    <w:t>Leadership</w:t>
                                  </w:r>
                                  <w:r>
                                    <w:rPr>
                                      <w:b/>
                                      <w:color w:val="1F2668"/>
                                      <w:sz w:val="26"/>
                                    </w:rPr>
                                    <w:t xml:space="preserve"> </w:t>
                                  </w:r>
                                </w:p>
                                <w:p>
                                  <w:pPr>
                                    <w:pStyle w:val="TableContents"/>
                                    <w:bidi w:val="0"/>
                                    <w:spacing w:lineRule="atLeast" w:line="220" w:before="100" w:after="283"/>
                                    <w:jc w:val="left"/>
                                    <w:rPr>
                                      <w:spacing w:val="-2"/>
                                    </w:rPr>
                                  </w:pPr>
                                  <w:r>
                                    <w:rPr>
                                      <w:spacing w:val="-2"/>
                                    </w:rPr>
                                    <w:t xml:space="preserve">Strong corporate leadership backgrounds such as being CEO, CFO or holding other executive positions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29" w:type="dxa"/>
                                  <w:tcBorders/>
                                  <w:tcMar>
                                    <w:bottom w:w="0" w:type="dxa"/>
                                  </w:tcMar>
                                  <w:vAlign w:val="center"/>
                                </w:tcPr>
                                <w:p>
                                  <w:pPr>
                                    <w:pStyle w:val="TableContents"/>
                                    <w:bidi w:val="0"/>
                                    <w:spacing w:before="0" w:after="0"/>
                                    <w:jc w:val="left"/>
                                    <w:rPr/>
                                  </w:pPr>
                                  <w:r>
                                    <w:rPr/>
                                    <w:drawing>
                                      <wp:inline distT="0" distB="0" distL="0" distR="0">
                                        <wp:extent cx="438150" cy="438150"/>
                                        <wp:effectExtent l="0" t="0" r="0" b="0"/>
                                        <wp:docPr id="8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17" descr=""/>
                                                <pic:cNvPicPr>
                                                  <a:picLocks noChangeAspect="1" noChangeArrowheads="1"/>
                                                </pic:cNvPicPr>
                                              </pic:nvPicPr>
                                              <pic:blipFill>
                                                <a:blip r:embed="rId23"/>
                                                <a:stretch>
                                                  <a:fillRect/>
                                                </a:stretch>
                                              </pic:blipFill>
                                              <pic:spPr bwMode="auto">
                                                <a:xfrm>
                                                  <a:off x="0" y="0"/>
                                                  <a:ext cx="438150" cy="438150"/>
                                                </a:xfrm>
                                                <a:prstGeom prst="rect">
                                                  <a:avLst/>
                                                </a:prstGeom>
                                              </pic:spPr>
                                            </pic:pic>
                                          </a:graphicData>
                                        </a:graphic>
                                      </wp:inline>
                                    </w:drawing>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879" w:type="dxa"/>
                                  <w:tcBorders/>
                                  <w:tcMar>
                                    <w:bottom w:w="0" w:type="dxa"/>
                                  </w:tcMar>
                                  <w:vAlign w:val="center"/>
                                </w:tcPr>
                                <w:p>
                                  <w:pPr>
                                    <w:pStyle w:val="TableContents"/>
                                    <w:bidi w:val="0"/>
                                    <w:spacing w:lineRule="atLeast" w:line="400" w:before="0" w:after="0"/>
                                    <w:jc w:val="left"/>
                                    <w:rPr>
                                      <w:b w:val="false"/>
                                      <w:color w:val="1F2668"/>
                                      <w:sz w:val="36"/>
                                    </w:rPr>
                                  </w:pPr>
                                  <w:r>
                                    <w:rPr>
                                      <w:b w:val="false"/>
                                      <w:color w:val="1F2668"/>
                                      <w:sz w:val="36"/>
                                    </w:rPr>
                                    <w:t>88%</w:t>
                                  </w:r>
                                </w:p>
                                <w:p>
                                  <w:pPr>
                                    <w:pStyle w:val="TableContents"/>
                                    <w:bidi w:val="0"/>
                                    <w:spacing w:lineRule="atLeast" w:line="220" w:before="40" w:after="283"/>
                                    <w:jc w:val="left"/>
                                    <w:rPr/>
                                  </w:pPr>
                                  <w:r>
                                    <w:rPr>
                                      <w:spacing w:val="-2"/>
                                    </w:rPr>
                                    <w:t>of our Board nominees currently serve or have served as CEO or in senior leadership positions</w:t>
                                  </w:r>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04pt;height:325.8pt;mso-wrap-distance-left:45pt;mso-wrap-distance-right:0pt;mso-wrap-distance-top:0pt;mso-wrap-distance-bottom:0pt;margin-top:0pt;mso-position-vertical:top;mso-position-vertical-relative:text;margin-left:262pt;mso-position-horizontal:left;mso-position-horizontal-relative:text">
                <v:textbox>
                  <w:txbxContent>
                    <w:tbl>
                      <w:tblPr>
                        <w:tblW w:w="10205" w:type="dxa"/>
                        <w:jc w:val="left"/>
                        <w:tblInd w:w="0" w:type="dxa"/>
                        <w:tblLayout w:type="fixed"/>
                        <w:tblCellMar>
                          <w:top w:w="0" w:type="dxa"/>
                          <w:left w:w="0" w:type="dxa"/>
                          <w:bottom w:w="28" w:type="dxa"/>
                          <w:right w:w="0" w:type="dxa"/>
                        </w:tblCellMar>
                      </w:tblPr>
                      <w:tblGrid>
                        <w:gridCol w:w="124"/>
                        <w:gridCol w:w="829"/>
                        <w:gridCol w:w="109"/>
                        <w:gridCol w:w="109"/>
                        <w:gridCol w:w="8879"/>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829" w:type="dxa"/>
                            <w:tcBorders>
                              <w:bottom w:val="single" w:sz="2" w:space="0" w:color="FFFFFF"/>
                            </w:tcBorders>
                            <w:vAlign w:val="center"/>
                          </w:tcPr>
                          <w:p>
                            <w:pPr>
                              <w:pStyle w:val="TableContents"/>
                              <w:bidi w:val="0"/>
                              <w:spacing w:before="0" w:after="0"/>
                              <w:jc w:val="left"/>
                              <w:rPr/>
                            </w:pPr>
                            <w:r>
                              <w:rPr/>
                              <w:drawing>
                                <wp:inline distT="0" distB="0" distL="0" distR="0">
                                  <wp:extent cx="428625" cy="428625"/>
                                  <wp:effectExtent l="0" t="0" r="0" b="0"/>
                                  <wp:docPr id="81"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13" descr=""/>
                                          <pic:cNvPicPr>
                                            <a:picLocks noChangeAspect="1" noChangeArrowheads="1"/>
                                          </pic:cNvPicPr>
                                        </pic:nvPicPr>
                                        <pic:blipFill>
                                          <a:blip r:embed="rId24"/>
                                          <a:stretch>
                                            <a:fillRect/>
                                          </a:stretch>
                                        </pic:blipFill>
                                        <pic:spPr bwMode="auto">
                                          <a:xfrm>
                                            <a:off x="0" y="0"/>
                                            <a:ext cx="428625" cy="428625"/>
                                          </a:xfrm>
                                          <a:prstGeom prst="rect">
                                            <a:avLst/>
                                          </a:prstGeom>
                                        </pic:spPr>
                                      </pic:pic>
                                    </a:graphicData>
                                  </a:graphic>
                                </wp:inline>
                              </w:drawing>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879" w:type="dxa"/>
                            <w:tcBorders>
                              <w:bottom w:val="single" w:sz="2" w:space="0" w:color="83AD40"/>
                            </w:tcBorders>
                            <w:tcMar>
                              <w:bottom w:w="280" w:type="dxa"/>
                            </w:tcMar>
                            <w:vAlign w:val="center"/>
                          </w:tcPr>
                          <w:p>
                            <w:pPr>
                              <w:pStyle w:val="TableContents"/>
                              <w:bidi w:val="0"/>
                              <w:spacing w:lineRule="atLeast" w:line="300" w:before="0" w:after="0"/>
                              <w:jc w:val="left"/>
                              <w:rPr>
                                <w:b/>
                                <w:color w:val="1F2668"/>
                                <w:sz w:val="26"/>
                              </w:rPr>
                            </w:pPr>
                            <w:r>
                              <w:rPr>
                                <w:b/>
                                <w:color w:val="1F2668"/>
                                <w:spacing w:val="-3"/>
                                <w:sz w:val="26"/>
                              </w:rPr>
                              <w:t>Board Composition</w:t>
                            </w:r>
                            <w:r>
                              <w:rPr>
                                <w:b/>
                                <w:color w:val="1F2668"/>
                                <w:sz w:val="26"/>
                              </w:rPr>
                              <w:t xml:space="preserve"> </w:t>
                            </w:r>
                          </w:p>
                          <w:p>
                            <w:pPr>
                              <w:pStyle w:val="TableContents"/>
                              <w:bidi w:val="0"/>
                              <w:spacing w:lineRule="atLeast" w:line="220" w:before="100" w:after="283"/>
                              <w:jc w:val="left"/>
                              <w:rPr>
                                <w:spacing w:val="-2"/>
                              </w:rPr>
                            </w:pPr>
                            <w:r>
                              <w:rPr>
                                <w:spacing w:val="-2"/>
                              </w:rPr>
                              <w:t xml:space="preserve">Varied knowledge, skills, experience, perspectives and backgrounds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29" w:type="dxa"/>
                            <w:tcBorders/>
                            <w:tcMar>
                              <w:bottom w:w="0" w:type="dxa"/>
                            </w:tcMar>
                            <w:vAlign w:val="center"/>
                          </w:tcPr>
                          <w:p>
                            <w:pPr>
                              <w:pStyle w:val="TableContents"/>
                              <w:bidi w:val="0"/>
                              <w:spacing w:before="0" w:after="0"/>
                              <w:jc w:val="left"/>
                              <w:rPr/>
                            </w:pPr>
                            <w:r>
                              <w:rPr/>
                              <w:drawing>
                                <wp:inline distT="0" distB="0" distL="0" distR="0">
                                  <wp:extent cx="419100" cy="419100"/>
                                  <wp:effectExtent l="0" t="0" r="0" b="0"/>
                                  <wp:docPr id="82"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14" descr=""/>
                                          <pic:cNvPicPr>
                                            <a:picLocks noChangeAspect="1" noChangeArrowheads="1"/>
                                          </pic:cNvPicPr>
                                        </pic:nvPicPr>
                                        <pic:blipFill>
                                          <a:blip r:embed="rId25"/>
                                          <a:stretch>
                                            <a:fillRect/>
                                          </a:stretch>
                                        </pic:blipFill>
                                        <pic:spPr bwMode="auto">
                                          <a:xfrm>
                                            <a:off x="0" y="0"/>
                                            <a:ext cx="419100" cy="419100"/>
                                          </a:xfrm>
                                          <a:prstGeom prst="rect">
                                            <a:avLst/>
                                          </a:prstGeom>
                                        </pic:spPr>
                                      </pic:pic>
                                    </a:graphicData>
                                  </a:graphic>
                                </wp:inline>
                              </w:drawing>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879" w:type="dxa"/>
                            <w:tcBorders/>
                            <w:tcMar>
                              <w:bottom w:w="0" w:type="dxa"/>
                            </w:tcMar>
                            <w:vAlign w:val="center"/>
                          </w:tcPr>
                          <w:p>
                            <w:pPr>
                              <w:pStyle w:val="TableContents"/>
                              <w:bidi w:val="0"/>
                              <w:spacing w:lineRule="atLeast" w:line="300" w:before="0" w:after="0"/>
                              <w:jc w:val="left"/>
                              <w:rPr>
                                <w:b/>
                                <w:color w:val="1F2668"/>
                                <w:sz w:val="26"/>
                              </w:rPr>
                            </w:pPr>
                            <w:r>
                              <w:rPr>
                                <w:b/>
                                <w:color w:val="1F2668"/>
                                <w:spacing w:val="-3"/>
                                <w:sz w:val="26"/>
                              </w:rPr>
                              <w:t>Experience</w:t>
                            </w:r>
                            <w:r>
                              <w:rPr>
                                <w:b/>
                                <w:color w:val="1F2668"/>
                                <w:sz w:val="26"/>
                              </w:rPr>
                              <w:t xml:space="preserve"> </w:t>
                            </w:r>
                          </w:p>
                          <w:p>
                            <w:pPr>
                              <w:pStyle w:val="TableContents"/>
                              <w:bidi w:val="0"/>
                              <w:spacing w:lineRule="atLeast" w:line="220" w:before="100" w:after="283"/>
                              <w:jc w:val="left"/>
                              <w:rPr>
                                <w:spacing w:val="-2"/>
                              </w:rPr>
                            </w:pPr>
                            <w:r>
                              <w:rPr>
                                <w:spacing w:val="-2"/>
                              </w:rPr>
                              <w:t xml:space="preserve">Broad experience serving on public boards in industries relevant to the Company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829" w:type="dxa"/>
                            <w:tcBorders>
                              <w:bottom w:val="single" w:sz="2" w:space="0" w:color="FFFFFF"/>
                            </w:tcBorders>
                            <w:vAlign w:val="center"/>
                          </w:tcPr>
                          <w:p>
                            <w:pPr>
                              <w:pStyle w:val="TableContents"/>
                              <w:bidi w:val="0"/>
                              <w:spacing w:before="0" w:after="0"/>
                              <w:jc w:val="left"/>
                              <w:rPr/>
                            </w:pPr>
                            <w:r>
                              <w:rPr/>
                              <w:drawing>
                                <wp:inline distT="0" distB="0" distL="0" distR="0">
                                  <wp:extent cx="419100" cy="419100"/>
                                  <wp:effectExtent l="0" t="0" r="0" b="0"/>
                                  <wp:docPr id="83"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15" descr=""/>
                                          <pic:cNvPicPr>
                                            <a:picLocks noChangeAspect="1" noChangeArrowheads="1"/>
                                          </pic:cNvPicPr>
                                        </pic:nvPicPr>
                                        <pic:blipFill>
                                          <a:blip r:embed="rId26"/>
                                          <a:stretch>
                                            <a:fillRect/>
                                          </a:stretch>
                                        </pic:blipFill>
                                        <pic:spPr bwMode="auto">
                                          <a:xfrm>
                                            <a:off x="0" y="0"/>
                                            <a:ext cx="419100" cy="419100"/>
                                          </a:xfrm>
                                          <a:prstGeom prst="rect">
                                            <a:avLst/>
                                          </a:prstGeom>
                                        </pic:spPr>
                                      </pic:pic>
                                    </a:graphicData>
                                  </a:graphic>
                                </wp:inline>
                              </w:drawing>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879" w:type="dxa"/>
                            <w:tcBorders>
                              <w:bottom w:val="single" w:sz="2" w:space="0" w:color="83AD40"/>
                            </w:tcBorders>
                            <w:tcMar>
                              <w:bottom w:w="227" w:type="dxa"/>
                            </w:tcMar>
                            <w:vAlign w:val="center"/>
                          </w:tcPr>
                          <w:p>
                            <w:pPr>
                              <w:pStyle w:val="TableContents"/>
                              <w:bidi w:val="0"/>
                              <w:spacing w:lineRule="atLeast" w:line="400" w:before="0" w:after="0"/>
                              <w:jc w:val="left"/>
                              <w:rPr>
                                <w:b w:val="false"/>
                                <w:color w:val="1F2668"/>
                                <w:sz w:val="36"/>
                              </w:rPr>
                            </w:pPr>
                            <w:r>
                              <w:rPr>
                                <w:b w:val="false"/>
                                <w:color w:val="1F2668"/>
                                <w:sz w:val="36"/>
                              </w:rPr>
                              <w:t>50%</w:t>
                            </w:r>
                          </w:p>
                          <w:p>
                            <w:pPr>
                              <w:pStyle w:val="TableContents"/>
                              <w:bidi w:val="0"/>
                              <w:spacing w:lineRule="atLeast" w:line="220" w:before="40" w:after="283"/>
                              <w:jc w:val="left"/>
                              <w:rPr/>
                            </w:pPr>
                            <w:r>
                              <w:rPr>
                                <w:spacing w:val="-2"/>
                              </w:rPr>
                              <w:t>of our Board nominees currently serve or have served on the Boards of other publicly traded companies</w:t>
                            </w:r>
                            <w:r>
                              <w:rPr/>
                              <w:t xml:space="preserv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29" w:type="dxa"/>
                            <w:tcBorders/>
                            <w:tcMar>
                              <w:bottom w:w="0" w:type="dxa"/>
                            </w:tcMar>
                            <w:vAlign w:val="center"/>
                          </w:tcPr>
                          <w:p>
                            <w:pPr>
                              <w:pStyle w:val="TableContents"/>
                              <w:bidi w:val="0"/>
                              <w:spacing w:before="0" w:after="0"/>
                              <w:jc w:val="left"/>
                              <w:rPr/>
                            </w:pPr>
                            <w:r>
                              <w:rPr/>
                              <w:drawing>
                                <wp:inline distT="0" distB="0" distL="0" distR="0">
                                  <wp:extent cx="352425" cy="581025"/>
                                  <wp:effectExtent l="0" t="0" r="0" b="0"/>
                                  <wp:docPr id="84"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16" descr=""/>
                                          <pic:cNvPicPr>
                                            <a:picLocks noChangeAspect="1" noChangeArrowheads="1"/>
                                          </pic:cNvPicPr>
                                        </pic:nvPicPr>
                                        <pic:blipFill>
                                          <a:blip r:embed="rId27"/>
                                          <a:stretch>
                                            <a:fillRect/>
                                          </a:stretch>
                                        </pic:blipFill>
                                        <pic:spPr bwMode="auto">
                                          <a:xfrm>
                                            <a:off x="0" y="0"/>
                                            <a:ext cx="352425" cy="581025"/>
                                          </a:xfrm>
                                          <a:prstGeom prst="rect">
                                            <a:avLst/>
                                          </a:prstGeom>
                                        </pic:spPr>
                                      </pic:pic>
                                    </a:graphicData>
                                  </a:graphic>
                                </wp:inline>
                              </w:drawing>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879" w:type="dxa"/>
                            <w:tcBorders/>
                            <w:tcMar>
                              <w:bottom w:w="0" w:type="dxa"/>
                            </w:tcMar>
                            <w:vAlign w:val="center"/>
                          </w:tcPr>
                          <w:p>
                            <w:pPr>
                              <w:pStyle w:val="TableContents"/>
                              <w:bidi w:val="0"/>
                              <w:spacing w:lineRule="atLeast" w:line="300" w:before="0" w:after="0"/>
                              <w:jc w:val="left"/>
                              <w:rPr>
                                <w:b/>
                                <w:color w:val="1F2668"/>
                                <w:sz w:val="26"/>
                              </w:rPr>
                            </w:pPr>
                            <w:r>
                              <w:rPr>
                                <w:b/>
                                <w:color w:val="1F2668"/>
                                <w:spacing w:val="-3"/>
                                <w:sz w:val="26"/>
                              </w:rPr>
                              <w:t>Leadership</w:t>
                            </w:r>
                            <w:r>
                              <w:rPr>
                                <w:b/>
                                <w:color w:val="1F2668"/>
                                <w:sz w:val="26"/>
                              </w:rPr>
                              <w:t xml:space="preserve"> </w:t>
                            </w:r>
                          </w:p>
                          <w:p>
                            <w:pPr>
                              <w:pStyle w:val="TableContents"/>
                              <w:bidi w:val="0"/>
                              <w:spacing w:lineRule="atLeast" w:line="220" w:before="100" w:after="283"/>
                              <w:jc w:val="left"/>
                              <w:rPr>
                                <w:spacing w:val="-2"/>
                              </w:rPr>
                            </w:pPr>
                            <w:r>
                              <w:rPr>
                                <w:spacing w:val="-2"/>
                              </w:rPr>
                              <w:t xml:space="preserve">Strong corporate leadership backgrounds such as being CEO, CFO or holding other executive positions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29" w:type="dxa"/>
                            <w:tcBorders/>
                            <w:tcMar>
                              <w:bottom w:w="0" w:type="dxa"/>
                            </w:tcMar>
                            <w:vAlign w:val="center"/>
                          </w:tcPr>
                          <w:p>
                            <w:pPr>
                              <w:pStyle w:val="TableContents"/>
                              <w:bidi w:val="0"/>
                              <w:spacing w:before="0" w:after="0"/>
                              <w:jc w:val="left"/>
                              <w:rPr/>
                            </w:pPr>
                            <w:r>
                              <w:rPr/>
                              <w:drawing>
                                <wp:inline distT="0" distB="0" distL="0" distR="0">
                                  <wp:extent cx="438150" cy="438150"/>
                                  <wp:effectExtent l="0" t="0" r="0" b="0"/>
                                  <wp:docPr id="85"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17" descr=""/>
                                          <pic:cNvPicPr>
                                            <a:picLocks noChangeAspect="1" noChangeArrowheads="1"/>
                                          </pic:cNvPicPr>
                                        </pic:nvPicPr>
                                        <pic:blipFill>
                                          <a:blip r:embed="rId28"/>
                                          <a:stretch>
                                            <a:fillRect/>
                                          </a:stretch>
                                        </pic:blipFill>
                                        <pic:spPr bwMode="auto">
                                          <a:xfrm>
                                            <a:off x="0" y="0"/>
                                            <a:ext cx="438150" cy="438150"/>
                                          </a:xfrm>
                                          <a:prstGeom prst="rect">
                                            <a:avLst/>
                                          </a:prstGeom>
                                        </pic:spPr>
                                      </pic:pic>
                                    </a:graphicData>
                                  </a:graphic>
                                </wp:inline>
                              </w:drawing>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879" w:type="dxa"/>
                            <w:tcBorders/>
                            <w:tcMar>
                              <w:bottom w:w="0" w:type="dxa"/>
                            </w:tcMar>
                            <w:vAlign w:val="center"/>
                          </w:tcPr>
                          <w:p>
                            <w:pPr>
                              <w:pStyle w:val="TableContents"/>
                              <w:bidi w:val="0"/>
                              <w:spacing w:lineRule="atLeast" w:line="400" w:before="0" w:after="0"/>
                              <w:jc w:val="left"/>
                              <w:rPr>
                                <w:b w:val="false"/>
                                <w:color w:val="1F2668"/>
                                <w:sz w:val="36"/>
                              </w:rPr>
                            </w:pPr>
                            <w:r>
                              <w:rPr>
                                <w:b w:val="false"/>
                                <w:color w:val="1F2668"/>
                                <w:sz w:val="36"/>
                              </w:rPr>
                              <w:t>88%</w:t>
                            </w:r>
                          </w:p>
                          <w:p>
                            <w:pPr>
                              <w:pStyle w:val="TableContents"/>
                              <w:bidi w:val="0"/>
                              <w:spacing w:lineRule="atLeast" w:line="220" w:before="40" w:after="283"/>
                              <w:jc w:val="left"/>
                              <w:rPr/>
                            </w:pPr>
                            <w:r>
                              <w:rPr>
                                <w:spacing w:val="-2"/>
                              </w:rPr>
                              <w:t>of our Board nominees currently serve or have served as CEO or in senior leadership positions</w:t>
                            </w:r>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p>
    <w:p>
      <w:pPr>
        <w:pStyle w:val="TextBody"/>
        <w:bidi w:val="0"/>
        <w:spacing w:before="0" w:after="283"/>
        <w:ind w:left="900" w:right="0" w:hanging="0"/>
        <w:jc w:val="left"/>
        <w:rPr>
          <w:caps w:val="false"/>
          <w:smallCaps w:val="false"/>
          <w:color w:val="000000"/>
          <w:bdr w:val="single" w:sz="8" w:space="1" w:color="83AD40"/>
        </w:rPr>
      </w:pPr>
      <w:r>
        <w:rPr>
          <w:caps w:val="false"/>
          <w:smallCaps w:val="false"/>
          <w:color w:val="000000"/>
          <w:bdr w:val="single" w:sz="8" w:space="1" w:color="83AD4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280" w:type="dxa"/>
        <w:jc w:val="left"/>
        <w:tblInd w:w="900" w:type="dxa"/>
        <w:tblLayout w:type="fixed"/>
        <w:tblCellMar>
          <w:top w:w="0" w:type="dxa"/>
          <w:left w:w="0" w:type="dxa"/>
          <w:bottom w:w="0" w:type="dxa"/>
          <w:right w:w="0" w:type="dxa"/>
        </w:tblCellMar>
      </w:tblPr>
      <w:tblGrid>
        <w:gridCol w:w="124"/>
        <w:gridCol w:w="4558"/>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4558" w:type="dxa"/>
            <w:tcBorders/>
            <w:vAlign w:val="center"/>
          </w:tcPr>
          <w:p>
            <w:pPr>
              <w:pStyle w:val="TableContents"/>
              <w:bidi w:val="0"/>
              <w:spacing w:lineRule="atLeast" w:line="200" w:before="0" w:after="0"/>
              <w:jc w:val="left"/>
              <w:rPr/>
            </w:pPr>
            <w:r>
              <w:rPr>
                <w:spacing w:val="-2"/>
              </w:rPr>
              <w:t>2026 PROXY STATEMENT HIGHLIGHTS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0"/>
              <w:jc w:val="right"/>
              <w:rPr>
                <w:color w:val="1F2668"/>
                <w:sz w:val="24"/>
              </w:rPr>
            </w:pPr>
            <w:r>
              <w:rPr>
                <w:color w:val="1F2668"/>
                <w:sz w:val="24"/>
              </w:rPr>
              <w:t>7</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360" w:before="560" w:after="154"/>
        <w:ind w:left="900" w:right="0" w:hanging="0"/>
        <w:jc w:val="left"/>
        <w:rPr>
          <w:rFonts w:ascii="Arial;Helvetica;sans-serif" w:hAnsi="Arial;Helvetica;sans-serif"/>
          <w:b/>
          <w:i w:val="false"/>
          <w:caps/>
          <w:color w:val="83AD40"/>
          <w:spacing w:val="-3"/>
          <w:sz w:val="32"/>
        </w:rPr>
      </w:pPr>
      <w:r>
        <w:rPr>
          <w:rFonts w:ascii="Arial;Helvetica;sans-serif" w:hAnsi="Arial;Helvetica;sans-serif"/>
          <w:b/>
          <w:i w:val="false"/>
          <w:caps/>
          <w:color w:val="83AD40"/>
          <w:spacing w:val="-3"/>
          <w:sz w:val="32"/>
        </w:rPr>
        <w:t xml:space="preserve">ESG HIGHLIGHTS </w:t>
      </w:r>
    </w:p>
    <w:p>
      <w:pPr>
        <w:pStyle w:val="TextBody"/>
        <w:bidi w:val="0"/>
        <w:spacing w:before="0" w:after="283"/>
        <w:ind w:left="900" w:right="0" w:hanging="0"/>
        <w:jc w:val="left"/>
        <w:rPr>
          <w:caps w:val="false"/>
          <w:smallCaps w:val="false"/>
          <w:color w:val="000000"/>
          <w:bdr w:val="single" w:sz="20" w:space="1" w:color="83AD40"/>
        </w:rPr>
      </w:pPr>
      <w:r>
        <w:rPr>
          <w:caps w:val="false"/>
          <w:smallCaps w:val="false"/>
          <w:color w:val="000000"/>
          <w:bdr w:val="single" w:sz="20" w:space="1" w:color="83AD40"/>
        </w:rPr>
        <w:t>​</w:t>
      </w:r>
    </w:p>
    <w:p>
      <w:pPr>
        <w:pStyle w:val="TextBody"/>
        <w:bidi w:val="0"/>
        <w:spacing w:lineRule="atLeast" w:line="300" w:before="400" w:after="283"/>
        <w:jc w:val="left"/>
        <w:rPr>
          <w:rFonts w:ascii="Arial;Helvetica;sans-serif" w:hAnsi="Arial;Helvetica;sans-serif"/>
          <w:b/>
          <w:i w:val="false"/>
          <w:caps w:val="false"/>
          <w:smallCaps w:val="false"/>
          <w:color w:val="1F2668"/>
          <w:sz w:val="26"/>
        </w:rPr>
      </w:pPr>
      <w:r>
        <w:rPr>
          <w:rFonts w:ascii="Arial;Helvetica;sans-serif" w:hAnsi="Arial;Helvetica;sans-serif"/>
          <w:b/>
          <w:i w:val="false"/>
          <w:caps w:val="false"/>
          <w:smallCaps w:val="false"/>
          <w:color w:val="1F2668"/>
          <w:spacing w:val="-3"/>
          <w:sz w:val="26"/>
        </w:rPr>
        <w:t>ESG Oversight</w:t>
      </w:r>
      <w:r>
        <w:rPr>
          <w:rFonts w:ascii="Arial;Helvetica;sans-serif" w:hAnsi="Arial;Helvetica;sans-serif"/>
          <w:b/>
          <w:i w:val="false"/>
          <w:caps w:val="false"/>
          <w:smallCaps w:val="false"/>
          <w:color w:val="000000"/>
          <w:spacing w:val="5"/>
          <w:sz w:val="26"/>
        </w:rPr>
        <w:t xml:space="preserve"> </w:t>
      </w:r>
    </w:p>
    <w:p>
      <w:pPr>
        <w:pStyle w:val="TextBody"/>
        <w:bidi w:val="0"/>
        <w:spacing w:before="160" w:after="283"/>
        <w:jc w:val="center"/>
        <w:rPr>
          <w:caps w:val="false"/>
          <w:smallCaps w:val="false"/>
          <w:color w:val="000000"/>
        </w:rPr>
      </w:pPr>
      <w:r>
        <w:rPr>
          <w:caps w:val="false"/>
          <w:smallCaps w:val="false"/>
          <w:color w:val="000000"/>
        </w:rPr>
        <w:drawing>
          <wp:inline distT="0" distB="0" distL="0" distR="0">
            <wp:extent cx="5972175" cy="1781175"/>
            <wp:effectExtent l="0" t="0" r="0" b="0"/>
            <wp:docPr id="86"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20" descr=""/>
                    <pic:cNvPicPr>
                      <a:picLocks noChangeAspect="1" noChangeArrowheads="1"/>
                    </pic:cNvPicPr>
                  </pic:nvPicPr>
                  <pic:blipFill>
                    <a:blip r:embed="rId29"/>
                    <a:stretch>
                      <a:fillRect/>
                    </a:stretch>
                  </pic:blipFill>
                  <pic:spPr bwMode="auto">
                    <a:xfrm>
                      <a:off x="0" y="0"/>
                      <a:ext cx="5972175" cy="1781175"/>
                    </a:xfrm>
                    <a:prstGeom prst="rect">
                      <a:avLst/>
                    </a:prstGeom>
                  </pic:spPr>
                </pic:pic>
              </a:graphicData>
            </a:graphic>
          </wp:inline>
        </w:drawing>
      </w:r>
      <w:r>
        <w:rPr>
          <w:caps w:val="false"/>
          <w:smallCaps w:val="false"/>
          <w:color w:val="000000"/>
        </w:rPr>
        <w:t xml:space="preserve"> </w:t>
      </w:r>
    </w:p>
    <w:p>
      <w:pPr>
        <w:pStyle w:val="TextBody"/>
        <w:bidi w:val="0"/>
        <w:spacing w:lineRule="atLeast" w:line="300" w:before="420" w:after="283"/>
        <w:jc w:val="left"/>
        <w:rPr>
          <w:rFonts w:ascii="Arial;Helvetica;sans-serif" w:hAnsi="Arial;Helvetica;sans-serif"/>
          <w:b/>
          <w:i w:val="false"/>
          <w:caps w:val="false"/>
          <w:smallCaps w:val="false"/>
          <w:color w:val="1F2668"/>
          <w:sz w:val="26"/>
        </w:rPr>
      </w:pPr>
      <w:r>
        <w:rPr>
          <w:rFonts w:ascii="Arial;Helvetica;sans-serif" w:hAnsi="Arial;Helvetica;sans-serif"/>
          <w:b/>
          <w:i w:val="false"/>
          <w:caps w:val="false"/>
          <w:smallCaps w:val="false"/>
          <w:color w:val="1F2668"/>
          <w:spacing w:val="-3"/>
          <w:sz w:val="26"/>
        </w:rPr>
        <w:t>Key ESG Achievements</w:t>
      </w:r>
      <w:r>
        <w:rPr>
          <w:rFonts w:ascii="Arial;Helvetica;sans-serif" w:hAnsi="Arial;Helvetica;sans-serif"/>
          <w:b/>
          <w:i w:val="false"/>
          <w:caps w:val="false"/>
          <w:smallCaps w:val="false"/>
          <w:color w:val="000000"/>
          <w:spacing w:val="5"/>
          <w:sz w:val="26"/>
        </w:rPr>
        <w:t xml:space="preserve"> </w:t>
      </w:r>
    </w:p>
    <w:tbl>
      <w:tblPr>
        <w:tblW w:w="7403" w:type="dxa"/>
        <w:jc w:val="left"/>
        <w:tblInd w:w="900" w:type="dxa"/>
        <w:tblLayout w:type="fixed"/>
        <w:tblCellMar>
          <w:top w:w="0" w:type="dxa"/>
          <w:left w:w="0" w:type="dxa"/>
          <w:bottom w:w="0" w:type="dxa"/>
          <w:right w:w="0" w:type="dxa"/>
        </w:tblCellMar>
      </w:tblPr>
      <w:tblGrid>
        <w:gridCol w:w="124"/>
        <w:gridCol w:w="109"/>
        <w:gridCol w:w="2024"/>
        <w:gridCol w:w="109"/>
        <w:gridCol w:w="109"/>
        <w:gridCol w:w="2271"/>
        <w:gridCol w:w="109"/>
        <w:gridCol w:w="109"/>
        <w:gridCol w:w="2176"/>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16" w:space="0" w:color="1F2668"/>
            </w:tcBorders>
            <w:shd w:fill="E9F9D8" w:val="clear"/>
            <w:tcMar>
              <w:bottom w:w="28" w:type="dxa"/>
            </w:tcMar>
            <w:vAlign w:val="center"/>
          </w:tcPr>
          <w:p>
            <w:pPr>
              <w:pStyle w:val="TableContents"/>
              <w:bidi w:val="0"/>
              <w:spacing w:before="0" w:after="283"/>
              <w:jc w:val="left"/>
              <w:rPr/>
            </w:pPr>
            <w:r>
              <w:rPr/>
              <w:t>​</w:t>
            </w:r>
          </w:p>
        </w:tc>
        <w:tc>
          <w:tcPr>
            <w:tcW w:w="2024" w:type="dxa"/>
            <w:tcBorders>
              <w:bottom w:val="single" w:sz="16" w:space="0" w:color="1F2668"/>
            </w:tcBorders>
            <w:shd w:fill="E9F9D8" w:val="clear"/>
            <w:tcMar>
              <w:bottom w:w="380" w:type="dxa"/>
            </w:tcMar>
            <w:vAlign w:val="center"/>
          </w:tcPr>
          <w:p>
            <w:pPr>
              <w:pStyle w:val="TableContents"/>
              <w:bidi w:val="0"/>
              <w:spacing w:lineRule="atLeast" w:line="260" w:before="0" w:after="0"/>
              <w:jc w:val="center"/>
              <w:rPr/>
            </w:pPr>
            <w:r>
              <w:rPr>
                <w:spacing w:val="-2"/>
              </w:rPr>
              <w:t>Industry Leadership</w:t>
            </w:r>
            <w:r>
              <w:rPr>
                <w:color w:val="000000"/>
              </w:rPr>
              <w:t>​</w:t>
            </w:r>
            <w:r>
              <w:rPr/>
              <w:t xml:space="preserve"> </w:t>
            </w:r>
          </w:p>
        </w:tc>
        <w:tc>
          <w:tcPr>
            <w:tcW w:w="109" w:type="dxa"/>
            <w:tcBorders>
              <w:bottom w:val="single" w:sz="16" w:space="0" w:color="1F266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16" w:space="0" w:color="1F2668"/>
            </w:tcBorders>
            <w:shd w:fill="E9F9D8" w:val="clear"/>
            <w:tcMar>
              <w:bottom w:w="28" w:type="dxa"/>
            </w:tcMar>
            <w:vAlign w:val="center"/>
          </w:tcPr>
          <w:p>
            <w:pPr>
              <w:pStyle w:val="TableContents"/>
              <w:bidi w:val="0"/>
              <w:spacing w:before="0" w:after="283"/>
              <w:jc w:val="left"/>
              <w:rPr/>
            </w:pPr>
            <w:r>
              <w:rPr/>
              <w:t>​</w:t>
            </w:r>
          </w:p>
        </w:tc>
        <w:tc>
          <w:tcPr>
            <w:tcW w:w="2271" w:type="dxa"/>
            <w:tcBorders>
              <w:bottom w:val="single" w:sz="16" w:space="0" w:color="1F2668"/>
            </w:tcBorders>
            <w:shd w:fill="E9F9D8" w:val="clear"/>
            <w:tcMar>
              <w:bottom w:w="100" w:type="dxa"/>
            </w:tcMar>
            <w:vAlign w:val="center"/>
          </w:tcPr>
          <w:p>
            <w:pPr>
              <w:pStyle w:val="TableContents"/>
              <w:bidi w:val="0"/>
              <w:spacing w:lineRule="atLeast" w:line="260" w:before="0" w:after="0"/>
              <w:jc w:val="center"/>
              <w:rPr/>
            </w:pPr>
            <w:r>
              <w:rPr>
                <w:spacing w:val="-2"/>
              </w:rPr>
              <w:t xml:space="preserve">Building Certifications </w:t>
              <w:br/>
              <w:t>Owned and Operated</w:t>
            </w:r>
            <w:r>
              <w:rPr>
                <w:color w:val="000000"/>
              </w:rPr>
              <w:t>​</w:t>
            </w:r>
            <w:r>
              <w:rPr/>
              <w:t xml:space="preserve"> </w:t>
            </w:r>
          </w:p>
        </w:tc>
        <w:tc>
          <w:tcPr>
            <w:tcW w:w="109" w:type="dxa"/>
            <w:tcBorders>
              <w:bottom w:val="single" w:sz="16" w:space="0" w:color="1F266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16" w:space="0" w:color="1F2668"/>
            </w:tcBorders>
            <w:shd w:fill="E9F9D8" w:val="clear"/>
            <w:tcMar>
              <w:bottom w:w="28" w:type="dxa"/>
            </w:tcMar>
            <w:vAlign w:val="center"/>
          </w:tcPr>
          <w:p>
            <w:pPr>
              <w:pStyle w:val="TableContents"/>
              <w:bidi w:val="0"/>
              <w:spacing w:before="0" w:after="283"/>
              <w:jc w:val="left"/>
              <w:rPr/>
            </w:pPr>
            <w:r>
              <w:rPr/>
              <w:t>​</w:t>
            </w:r>
          </w:p>
        </w:tc>
        <w:tc>
          <w:tcPr>
            <w:tcW w:w="2176" w:type="dxa"/>
            <w:tcBorders>
              <w:bottom w:val="single" w:sz="16" w:space="0" w:color="1F2668"/>
            </w:tcBorders>
            <w:shd w:fill="E9F9D8" w:val="clear"/>
            <w:tcMar>
              <w:bottom w:w="380" w:type="dxa"/>
            </w:tcMar>
            <w:vAlign w:val="center"/>
          </w:tcPr>
          <w:p>
            <w:pPr>
              <w:pStyle w:val="TableContents"/>
              <w:bidi w:val="0"/>
              <w:spacing w:lineRule="atLeast" w:line="260" w:before="0" w:after="0"/>
              <w:jc w:val="center"/>
              <w:rPr/>
            </w:pPr>
            <w:r>
              <w:rPr>
                <w:spacing w:val="-2"/>
              </w:rPr>
              <w:t>Awards &amp; Accolades</w:t>
            </w:r>
            <w:r>
              <w:rPr/>
              <w:t xml:space="preserve"> </w:t>
            </w:r>
          </w:p>
        </w:tc>
        <w:tc>
          <w:tcPr>
            <w:tcW w:w="109" w:type="dxa"/>
            <w:tcBorders>
              <w:bottom w:val="single" w:sz="16" w:space="0" w:color="1F2668"/>
            </w:tcBorders>
            <w:shd w:fill="E9F9D8" w:val="clear"/>
            <w:tcMar>
              <w:bottom w:w="28" w:type="dxa"/>
            </w:tcMar>
            <w:vAlign w:val="center"/>
          </w:tcPr>
          <w:p>
            <w:pPr>
              <w:pStyle w:val="TableContents"/>
              <w:bidi w:val="0"/>
              <w:spacing w:before="0" w:after="283"/>
              <w:jc w:val="left"/>
              <w:rPr/>
            </w:pPr>
            <w:r>
              <w:rPr/>
              <w:t>​</w:t>
            </w:r>
          </w:p>
        </w:tc>
        <w:tc>
          <w:tcPr>
            <w:tcW w:w="154" w:type="dxa"/>
            <w:tcBorders/>
            <w:shd w:fill="E9F9D8" w:val="clear"/>
            <w:vAlign w:val="center"/>
          </w:tcPr>
          <w:p>
            <w:pPr>
              <w:pStyle w:val="TableContents"/>
              <w:bidi w:val="0"/>
              <w:spacing w:before="0" w:after="283"/>
              <w:jc w:val="left"/>
              <w:rPr/>
            </w:pPr>
            <w:r>
              <w:rPr/>
              <w:t>​</w:t>
            </w:r>
          </w:p>
        </w:tc>
      </w:tr>
    </w:tbl>
    <w:tbl>
      <w:tblPr>
        <w:tblW w:w="9305" w:type="dxa"/>
        <w:jc w:val="left"/>
        <w:tblInd w:w="900" w:type="dxa"/>
        <w:tblLayout w:type="fixed"/>
        <w:tblCellMar>
          <w:top w:w="0" w:type="dxa"/>
          <w:left w:w="0" w:type="dxa"/>
          <w:bottom w:w="0" w:type="dxa"/>
          <w:right w:w="0" w:type="dxa"/>
        </w:tblCellMar>
      </w:tblPr>
      <w:tblGrid>
        <w:gridCol w:w="124"/>
        <w:gridCol w:w="109"/>
        <w:gridCol w:w="2493"/>
        <w:gridCol w:w="109"/>
        <w:gridCol w:w="109"/>
        <w:gridCol w:w="2252"/>
        <w:gridCol w:w="109"/>
        <w:gridCol w:w="109"/>
        <w:gridCol w:w="1273"/>
        <w:gridCol w:w="109"/>
        <w:gridCol w:w="109"/>
        <w:gridCol w:w="2136"/>
        <w:gridCol w:w="109"/>
        <w:gridCol w:w="155"/>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493" w:type="dxa"/>
            <w:tcBorders/>
            <w:vAlign w:val="center"/>
          </w:tcPr>
          <w:p>
            <w:pPr>
              <w:pStyle w:val="TableContents"/>
              <w:bidi w:val="0"/>
              <w:spacing w:before="0" w:after="0"/>
              <w:jc w:val="center"/>
              <w:rPr/>
            </w:pPr>
            <w:r>
              <w:rPr>
                <w:b/>
                <w:color w:val="83AD40"/>
                <w:spacing w:val="-2"/>
              </w:rPr>
              <w:t>GRESB</w:t>
            </w:r>
            <w:r>
              <w:rPr/>
              <w:t xml:space="preserve"> </w:t>
              <w:br/>
            </w:r>
            <w:r>
              <w:rPr>
                <w:spacing w:val="-2"/>
              </w:rPr>
              <w:t xml:space="preserve">Sector Leader for </w:t>
              <w:br/>
              <w:t>Mixed Use Real Estate</w:t>
            </w:r>
            <w:r>
              <w:rPr/>
              <w:t xml:space="preserve"> </w:t>
              <w:br/>
            </w:r>
            <w:r>
              <w:rPr>
                <w:color w:val="7F7F7F"/>
                <w:spacing w:val="-2"/>
              </w:rPr>
              <w:t>2025</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52" w:type="dxa"/>
            <w:tcBorders/>
            <w:vAlign w:val="center"/>
          </w:tcPr>
          <w:p>
            <w:pPr>
              <w:pStyle w:val="TableContents"/>
              <w:bidi w:val="0"/>
              <w:spacing w:before="0" w:after="0"/>
              <w:jc w:val="center"/>
              <w:rPr/>
            </w:pPr>
            <w:r>
              <w:rPr>
                <w:b/>
                <w:color w:val="83AD40"/>
                <w:spacing w:val="-2"/>
              </w:rPr>
              <w:t>MSCI</w:t>
            </w:r>
            <w:r>
              <w:rPr/>
              <w:t xml:space="preserve"> </w:t>
              <w:br/>
            </w:r>
            <w:r>
              <w:rPr>
                <w:spacing w:val="-2"/>
              </w:rPr>
              <w:t>Top 25% in Opportunities in Green Building</w:t>
            </w:r>
            <w:r>
              <w:rPr/>
              <w:t xml:space="preserve"> </w:t>
              <w:br/>
            </w:r>
            <w:r>
              <w:rPr>
                <w:color w:val="7F7F7F"/>
                <w:spacing w:val="-2"/>
              </w:rPr>
              <w:t>Score: BBB</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73" w:type="dxa"/>
            <w:tcBorders/>
            <w:vAlign w:val="center"/>
          </w:tcPr>
          <w:p>
            <w:pPr>
              <w:pStyle w:val="TableContents"/>
              <w:bidi w:val="0"/>
              <w:spacing w:before="0" w:after="0"/>
              <w:jc w:val="center"/>
              <w:rPr>
                <w:b/>
                <w:color w:val="83AD40"/>
              </w:rPr>
            </w:pPr>
            <w:r>
              <w:rPr>
                <w:b/>
                <w:color w:val="83AD40"/>
                <w:spacing w:val="-2"/>
              </w:rPr>
              <w:t>WELL Score &amp; HSR</w:t>
            </w:r>
            <w:r>
              <w:rPr>
                <w:b/>
                <w:color w:val="83AD40"/>
              </w:rPr>
              <w:t xml:space="preserve"> </w:t>
              <w:br/>
            </w:r>
            <w:r>
              <w:rPr>
                <w:b w:val="false"/>
                <w:color w:val="000000"/>
                <w:spacing w:val="-2"/>
              </w:rPr>
              <w:t xml:space="preserve">91% Rated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36" w:type="dxa"/>
            <w:tcBorders/>
            <w:vAlign w:val="center"/>
          </w:tcPr>
          <w:p>
            <w:pPr>
              <w:pStyle w:val="TableContents"/>
              <w:bidi w:val="0"/>
              <w:spacing w:before="0" w:after="0"/>
              <w:jc w:val="center"/>
              <w:rPr>
                <w:color w:val="83AD40"/>
              </w:rPr>
            </w:pPr>
            <w:r>
              <w:rPr>
                <w:b/>
                <w:color w:val="83AD40"/>
                <w:spacing w:val="-2"/>
              </w:rPr>
              <w:t>Great Place to Work</w:t>
            </w:r>
            <w:r>
              <w:rPr>
                <w:b/>
                <w:color w:val="83AD40"/>
                <w:spacing w:val="-2"/>
                <w:sz w:val="14"/>
              </w:rPr>
              <w:t>®</w:t>
            </w:r>
            <w:r>
              <w:rPr>
                <w:color w:val="83AD40"/>
              </w:rPr>
              <w:t xml:space="preserve"> </w:t>
              <w:br/>
            </w:r>
            <w:r>
              <w:rPr>
                <w:color w:val="000000"/>
                <w:spacing w:val="-2"/>
              </w:rPr>
              <w:t>Certified</w:t>
            </w:r>
            <w:r>
              <w:rPr>
                <w:color w:val="83AD40"/>
              </w:rPr>
              <w:t xml:space="preserve"> </w:t>
              <w:br/>
            </w:r>
            <w:r>
              <w:rPr>
                <w:color w:val="7F7F7F"/>
                <w:spacing w:val="-2"/>
              </w:rPr>
              <w:t>March 2022-February 2025</w:t>
            </w:r>
            <w:r>
              <w:rPr>
                <w:color w:val="83AD40"/>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493" w:type="dxa"/>
            <w:tcBorders/>
            <w:vAlign w:val="center"/>
          </w:tcPr>
          <w:p>
            <w:pPr>
              <w:pStyle w:val="TableContents"/>
              <w:bidi w:val="0"/>
              <w:spacing w:before="0" w:after="0"/>
              <w:jc w:val="center"/>
              <w:rPr/>
            </w:pPr>
            <w:r>
              <w:rPr>
                <w:b/>
                <w:color w:val="83AD40"/>
                <w:spacing w:val="-2"/>
              </w:rPr>
              <w:t>ISS</w:t>
            </w:r>
            <w:r>
              <w:rPr/>
              <w:t xml:space="preserve"> </w:t>
              <w:br/>
            </w:r>
            <w:r>
              <w:rPr>
                <w:spacing w:val="-2"/>
              </w:rPr>
              <w:t xml:space="preserve">Top 10% Corporate America’s Greenest Companies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52" w:type="dxa"/>
            <w:tcBorders/>
            <w:vAlign w:val="center"/>
          </w:tcPr>
          <w:p>
            <w:pPr>
              <w:pStyle w:val="TableContents"/>
              <w:bidi w:val="0"/>
              <w:spacing w:before="0" w:after="0"/>
              <w:jc w:val="center"/>
              <w:rPr/>
            </w:pPr>
            <w:r>
              <w:rPr>
                <w:b/>
                <w:color w:val="83AD40"/>
                <w:spacing w:val="-2"/>
              </w:rPr>
              <w:t>Green Lease Leaders</w:t>
            </w:r>
            <w:r>
              <w:rPr/>
              <w:t xml:space="preserve"> </w:t>
              <w:br/>
            </w:r>
            <w:r>
              <w:rPr>
                <w:spacing w:val="-2"/>
              </w:rPr>
              <w:t>Platinum</w:t>
            </w:r>
            <w:r>
              <w:rPr/>
              <w:t xml:space="preserve"> </w:t>
              <w:br/>
            </w:r>
            <w:r>
              <w:rPr>
                <w:color w:val="7F7F7F"/>
                <w:spacing w:val="-2"/>
              </w:rPr>
              <w:t>2023-2026</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73" w:type="dxa"/>
            <w:tcBorders/>
            <w:vAlign w:val="center"/>
          </w:tcPr>
          <w:p>
            <w:pPr>
              <w:pStyle w:val="TableContents"/>
              <w:bidi w:val="0"/>
              <w:spacing w:before="0" w:after="0"/>
              <w:jc w:val="center"/>
              <w:rPr>
                <w:b/>
              </w:rPr>
            </w:pPr>
            <w:r>
              <w:rPr>
                <w:b/>
                <w:color w:val="83AD40"/>
                <w:spacing w:val="-2"/>
              </w:rPr>
              <w:t>LEED</w:t>
            </w:r>
            <w:r>
              <w:rPr>
                <w:b/>
              </w:rPr>
              <w:t xml:space="preserve"> </w:t>
              <w:br/>
            </w:r>
            <w:r>
              <w:rPr>
                <w:b w:val="false"/>
                <w:spacing w:val="-2"/>
              </w:rPr>
              <w:t xml:space="preserve">91% Certified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36" w:type="dxa"/>
            <w:tcBorders/>
            <w:vAlign w:val="center"/>
          </w:tcPr>
          <w:p>
            <w:pPr>
              <w:pStyle w:val="TableContents"/>
              <w:bidi w:val="0"/>
              <w:spacing w:before="0" w:after="0"/>
              <w:jc w:val="center"/>
              <w:rPr/>
            </w:pPr>
            <w:r>
              <w:rPr>
                <w:b/>
                <w:color w:val="83AD40"/>
                <w:spacing w:val="-2"/>
              </w:rPr>
              <w:t>NYC Service 2025</w:t>
            </w:r>
            <w:r>
              <w:rPr/>
              <w:t xml:space="preserve"> </w:t>
              <w:br/>
            </w:r>
            <w:r>
              <w:rPr>
                <w:spacing w:val="-2"/>
              </w:rPr>
              <w:t>Mayoral Service Recognition Program</w:t>
            </w:r>
            <w:r>
              <w:rPr/>
              <w:t xml:space="preserve"> </w:t>
              <w:br/>
            </w:r>
            <w:r>
              <w:rPr>
                <w:color w:val="7F7F7F"/>
                <w:spacing w:val="-2"/>
              </w:rPr>
              <w:t>2025</w:t>
            </w:r>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493" w:type="dxa"/>
            <w:tcBorders/>
            <w:vAlign w:val="center"/>
          </w:tcPr>
          <w:p>
            <w:pPr>
              <w:pStyle w:val="TableContents"/>
              <w:bidi w:val="0"/>
              <w:spacing w:before="0" w:after="0"/>
              <w:jc w:val="center"/>
              <w:rPr/>
            </w:pPr>
            <w:r>
              <w:rPr>
                <w:b/>
                <w:color w:val="83AD40"/>
                <w:spacing w:val="-2"/>
              </w:rPr>
              <w:t>Sustainalytics</w:t>
            </w:r>
            <w:r>
              <w:rPr/>
              <w:t xml:space="preserve"> </w:t>
              <w:br/>
            </w:r>
            <w:r>
              <w:rPr>
                <w:spacing w:val="-2"/>
              </w:rPr>
              <w:t xml:space="preserve">Top Rated ESG </w:t>
              <w:br/>
              <w:t xml:space="preserve">Companies List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52" w:type="dxa"/>
            <w:tcBorders/>
            <w:vAlign w:val="center"/>
          </w:tcPr>
          <w:p>
            <w:pPr>
              <w:pStyle w:val="TableContents"/>
              <w:bidi w:val="0"/>
              <w:spacing w:before="0" w:after="0"/>
              <w:jc w:val="center"/>
              <w:rPr/>
            </w:pPr>
            <w:r>
              <w:rPr>
                <w:b/>
                <w:color w:val="83AD40"/>
                <w:spacing w:val="-2"/>
              </w:rPr>
              <w:t>State Street</w:t>
            </w:r>
            <w:r>
              <w:rPr/>
              <w:t xml:space="preserve"> </w:t>
              <w:br/>
            </w:r>
            <w:r>
              <w:rPr>
                <w:spacing w:val="-2"/>
              </w:rPr>
              <w:t xml:space="preserve">R-Factor Score Leader </w:t>
              <w:br/>
              <w:t xml:space="preserve">Top 10% Ranking in </w:t>
              <w:br/>
              <w:t xml:space="preserve">Real Estate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73" w:type="dxa"/>
            <w:tcBorders/>
            <w:vAlign w:val="center"/>
          </w:tcPr>
          <w:p>
            <w:pPr>
              <w:pStyle w:val="TableContents"/>
              <w:bidi w:val="0"/>
              <w:spacing w:before="0" w:after="0"/>
              <w:jc w:val="center"/>
              <w:rPr>
                <w:b/>
              </w:rPr>
            </w:pPr>
            <w:r>
              <w:rPr>
                <w:b/>
                <w:color w:val="83AD40"/>
                <w:spacing w:val="-2"/>
              </w:rPr>
              <w:t>BOMA 360</w:t>
            </w:r>
            <w:r>
              <w:rPr>
                <w:b/>
              </w:rPr>
              <w:t xml:space="preserve"> </w:t>
              <w:br/>
            </w:r>
            <w:r>
              <w:rPr>
                <w:b w:val="false"/>
                <w:spacing w:val="-2"/>
              </w:rPr>
              <w:t xml:space="preserve">90% Rated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36" w:type="dxa"/>
            <w:tcBorders/>
            <w:vAlign w:val="center"/>
          </w:tcPr>
          <w:p>
            <w:pPr>
              <w:pStyle w:val="TableContents"/>
              <w:bidi w:val="0"/>
              <w:spacing w:before="0" w:after="0"/>
              <w:jc w:val="center"/>
              <w:rPr/>
            </w:pPr>
            <w:r>
              <w:rPr>
                <w:b/>
                <w:color w:val="83AD40"/>
                <w:spacing w:val="-2"/>
              </w:rPr>
              <w:t>Newsweek</w:t>
            </w:r>
            <w:r>
              <w:rPr/>
              <w:t xml:space="preserve"> </w:t>
              <w:br/>
            </w:r>
            <w:r>
              <w:rPr>
                <w:spacing w:val="-2"/>
              </w:rPr>
              <w:t xml:space="preserve">America’s </w:t>
              <w:br/>
              <w:t>Greenest Companies</w:t>
            </w:r>
            <w:r>
              <w:rPr/>
              <w:t xml:space="preserve"> </w:t>
              <w:br/>
            </w:r>
            <w:r>
              <w:rPr>
                <w:color w:val="7F7F7F"/>
                <w:spacing w:val="-2"/>
              </w:rPr>
              <w:t>2026</w:t>
            </w:r>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16" w:space="0" w:color="1F2668"/>
            </w:tcBorders>
            <w:tcMar>
              <w:bottom w:w="28" w:type="dxa"/>
            </w:tcMar>
            <w:vAlign w:val="center"/>
          </w:tcPr>
          <w:p>
            <w:pPr>
              <w:pStyle w:val="TableContents"/>
              <w:bidi w:val="0"/>
              <w:spacing w:before="0" w:after="283"/>
              <w:jc w:val="left"/>
              <w:rPr/>
            </w:pPr>
            <w:r>
              <w:rPr/>
              <w:t>​</w:t>
            </w:r>
          </w:p>
        </w:tc>
        <w:tc>
          <w:tcPr>
            <w:tcW w:w="2493" w:type="dxa"/>
            <w:tcBorders>
              <w:bottom w:val="single" w:sz="16" w:space="0" w:color="1F2668"/>
            </w:tcBorders>
            <w:tcMar>
              <w:bottom w:w="140" w:type="dxa"/>
            </w:tcMar>
            <w:vAlign w:val="center"/>
          </w:tcPr>
          <w:p>
            <w:pPr>
              <w:pStyle w:val="TableContents"/>
              <w:bidi w:val="0"/>
              <w:spacing w:before="0" w:after="0"/>
              <w:jc w:val="center"/>
              <w:rPr/>
            </w:pPr>
            <w:r>
              <w:rPr>
                <w:b/>
                <w:color w:val="83AD40"/>
                <w:spacing w:val="-2"/>
              </w:rPr>
              <w:t>S&amp;P CSA</w:t>
            </w:r>
            <w:r>
              <w:rPr/>
              <w:t xml:space="preserve"> </w:t>
              <w:br/>
            </w:r>
            <w:r>
              <w:rPr>
                <w:spacing w:val="-2"/>
              </w:rPr>
              <w:t xml:space="preserve">Sustainability </w:t>
              <w:br/>
              <w:t>Yearbook Member</w:t>
            </w:r>
            <w:r>
              <w:rPr/>
              <w:t xml:space="preserve"> </w:t>
              <w:br/>
            </w:r>
            <w:r>
              <w:rPr>
                <w:color w:val="7F7F7F"/>
                <w:spacing w:val="-2"/>
              </w:rPr>
              <w:t>2025</w:t>
            </w:r>
            <w:r>
              <w:rPr/>
              <w:t xml:space="preserve"> </w:t>
            </w:r>
          </w:p>
        </w:tc>
        <w:tc>
          <w:tcPr>
            <w:tcW w:w="109" w:type="dxa"/>
            <w:tcBorders>
              <w:bottom w:val="single" w:sz="16" w:space="0" w:color="1F2668"/>
            </w:tcBorders>
            <w:tcMar>
              <w:bottom w:w="28" w:type="dxa"/>
            </w:tcMar>
            <w:vAlign w:val="center"/>
          </w:tcPr>
          <w:p>
            <w:pPr>
              <w:pStyle w:val="TableContents"/>
              <w:bidi w:val="0"/>
              <w:spacing w:before="0" w:after="283"/>
              <w:jc w:val="left"/>
              <w:rPr/>
            </w:pPr>
            <w:r>
              <w:rPr/>
              <w:t>​</w:t>
            </w:r>
          </w:p>
        </w:tc>
        <w:tc>
          <w:tcPr>
            <w:tcW w:w="109" w:type="dxa"/>
            <w:tcBorders>
              <w:bottom w:val="single" w:sz="16" w:space="0" w:color="1F2668"/>
            </w:tcBorders>
            <w:tcMar>
              <w:bottom w:w="28" w:type="dxa"/>
            </w:tcMar>
            <w:vAlign w:val="center"/>
          </w:tcPr>
          <w:p>
            <w:pPr>
              <w:pStyle w:val="TableContents"/>
              <w:bidi w:val="0"/>
              <w:spacing w:before="0" w:after="283"/>
              <w:jc w:val="left"/>
              <w:rPr/>
            </w:pPr>
            <w:r>
              <w:rPr/>
              <w:t>​</w:t>
            </w:r>
          </w:p>
        </w:tc>
        <w:tc>
          <w:tcPr>
            <w:tcW w:w="2252" w:type="dxa"/>
            <w:tcBorders>
              <w:bottom w:val="single" w:sz="16" w:space="0" w:color="1F2668"/>
            </w:tcBorders>
            <w:tcMar>
              <w:bottom w:w="140" w:type="dxa"/>
            </w:tcMar>
            <w:vAlign w:val="center"/>
          </w:tcPr>
          <w:p>
            <w:pPr>
              <w:pStyle w:val="TableContents"/>
              <w:bidi w:val="0"/>
              <w:spacing w:before="0" w:after="0"/>
              <w:jc w:val="center"/>
              <w:rPr/>
            </w:pPr>
            <w:r>
              <w:rPr>
                <w:b/>
                <w:color w:val="83AD40"/>
                <w:spacing w:val="-2"/>
              </w:rPr>
              <w:t>CDP</w:t>
            </w:r>
            <w:r>
              <w:rPr/>
              <w:t xml:space="preserve"> </w:t>
              <w:br/>
            </w:r>
            <w:r>
              <w:rPr>
                <w:spacing w:val="-2"/>
              </w:rPr>
              <w:t>Climate Change Questionnaire</w:t>
            </w:r>
            <w:r>
              <w:rPr/>
              <w:t xml:space="preserve"> </w:t>
              <w:br/>
            </w:r>
            <w:r>
              <w:rPr>
                <w:color w:val="7F7F7F"/>
                <w:spacing w:val="-2"/>
              </w:rPr>
              <w:t>Score: B</w:t>
            </w:r>
            <w:r>
              <w:rPr/>
              <w:t xml:space="preserve"> </w:t>
            </w:r>
          </w:p>
        </w:tc>
        <w:tc>
          <w:tcPr>
            <w:tcW w:w="109" w:type="dxa"/>
            <w:tcBorders>
              <w:bottom w:val="single" w:sz="16" w:space="0" w:color="1F2668"/>
            </w:tcBorders>
            <w:tcMar>
              <w:bottom w:w="28" w:type="dxa"/>
            </w:tcMar>
            <w:vAlign w:val="center"/>
          </w:tcPr>
          <w:p>
            <w:pPr>
              <w:pStyle w:val="TableContents"/>
              <w:bidi w:val="0"/>
              <w:spacing w:before="0" w:after="283"/>
              <w:jc w:val="left"/>
              <w:rPr/>
            </w:pPr>
            <w:r>
              <w:rPr/>
              <w:t>​</w:t>
            </w:r>
          </w:p>
        </w:tc>
        <w:tc>
          <w:tcPr>
            <w:tcW w:w="109" w:type="dxa"/>
            <w:tcBorders>
              <w:bottom w:val="single" w:sz="16" w:space="0" w:color="1F2668"/>
            </w:tcBorders>
            <w:tcMar>
              <w:bottom w:w="28" w:type="dxa"/>
            </w:tcMar>
            <w:vAlign w:val="center"/>
          </w:tcPr>
          <w:p>
            <w:pPr>
              <w:pStyle w:val="TableContents"/>
              <w:bidi w:val="0"/>
              <w:spacing w:before="0" w:after="283"/>
              <w:jc w:val="left"/>
              <w:rPr/>
            </w:pPr>
            <w:r>
              <w:rPr/>
              <w:t>​</w:t>
            </w:r>
          </w:p>
        </w:tc>
        <w:tc>
          <w:tcPr>
            <w:tcW w:w="1273" w:type="dxa"/>
            <w:tcBorders>
              <w:bottom w:val="single" w:sz="16" w:space="0" w:color="1F2668"/>
            </w:tcBorders>
            <w:tcMar>
              <w:bottom w:w="140" w:type="dxa"/>
            </w:tcMar>
            <w:vAlign w:val="center"/>
          </w:tcPr>
          <w:p>
            <w:pPr>
              <w:pStyle w:val="TableContents"/>
              <w:bidi w:val="0"/>
              <w:spacing w:before="0" w:after="0"/>
              <w:jc w:val="center"/>
              <w:rPr/>
            </w:pPr>
            <w:r>
              <w:rPr>
                <w:b/>
                <w:color w:val="83AD40"/>
                <w:spacing w:val="-2"/>
              </w:rPr>
              <w:t>Cigna</w:t>
            </w:r>
            <w:r>
              <w:rPr/>
              <w:t xml:space="preserve"> </w:t>
              <w:br/>
            </w:r>
            <w:r>
              <w:rPr>
                <w:spacing w:val="-2"/>
              </w:rPr>
              <w:t>Well Being Award</w:t>
            </w:r>
            <w:r>
              <w:rPr/>
              <w:t xml:space="preserve"> </w:t>
              <w:br/>
            </w:r>
            <w:r>
              <w:rPr>
                <w:color w:val="7F7F7F"/>
                <w:spacing w:val="-2"/>
              </w:rPr>
              <w:t>2022-2025</w:t>
            </w:r>
            <w:r>
              <w:rPr/>
              <w:t xml:space="preserve"> </w:t>
            </w:r>
          </w:p>
        </w:tc>
        <w:tc>
          <w:tcPr>
            <w:tcW w:w="109" w:type="dxa"/>
            <w:tcBorders>
              <w:bottom w:val="single" w:sz="16" w:space="0" w:color="1F2668"/>
            </w:tcBorders>
            <w:tcMar>
              <w:bottom w:w="28" w:type="dxa"/>
            </w:tcMar>
            <w:vAlign w:val="center"/>
          </w:tcPr>
          <w:p>
            <w:pPr>
              <w:pStyle w:val="TableContents"/>
              <w:bidi w:val="0"/>
              <w:spacing w:before="0" w:after="283"/>
              <w:jc w:val="left"/>
              <w:rPr/>
            </w:pPr>
            <w:r>
              <w:rPr/>
              <w:t>​</w:t>
            </w:r>
          </w:p>
        </w:tc>
        <w:tc>
          <w:tcPr>
            <w:tcW w:w="109" w:type="dxa"/>
            <w:tcBorders>
              <w:bottom w:val="single" w:sz="16" w:space="0" w:color="1F2668"/>
            </w:tcBorders>
            <w:tcMar>
              <w:bottom w:w="28" w:type="dxa"/>
            </w:tcMar>
            <w:vAlign w:val="center"/>
          </w:tcPr>
          <w:p>
            <w:pPr>
              <w:pStyle w:val="TableContents"/>
              <w:bidi w:val="0"/>
              <w:spacing w:before="0" w:after="283"/>
              <w:jc w:val="left"/>
              <w:rPr/>
            </w:pPr>
            <w:r>
              <w:rPr/>
              <w:t>​</w:t>
            </w:r>
          </w:p>
        </w:tc>
        <w:tc>
          <w:tcPr>
            <w:tcW w:w="2136" w:type="dxa"/>
            <w:tcBorders>
              <w:bottom w:val="single" w:sz="16" w:space="0" w:color="1F2668"/>
            </w:tcBorders>
            <w:tcMar>
              <w:bottom w:w="140" w:type="dxa"/>
            </w:tcMar>
            <w:vAlign w:val="center"/>
          </w:tcPr>
          <w:p>
            <w:pPr>
              <w:pStyle w:val="TableContents"/>
              <w:bidi w:val="0"/>
              <w:spacing w:before="0" w:after="0"/>
              <w:jc w:val="center"/>
              <w:rPr/>
            </w:pPr>
            <w:r>
              <w:rPr>
                <w:b/>
                <w:color w:val="83AD40"/>
                <w:spacing w:val="-2"/>
              </w:rPr>
              <w:t>USA Today</w:t>
            </w:r>
            <w:r>
              <w:rPr/>
              <w:t xml:space="preserve"> </w:t>
              <w:br/>
            </w:r>
            <w:r>
              <w:rPr>
                <w:spacing w:val="-2"/>
              </w:rPr>
              <w:t xml:space="preserve">America’s Climate Leaders </w:t>
            </w:r>
            <w:r>
              <w:rPr>
                <w:color w:val="7F7F7F"/>
                <w:spacing w:val="-2"/>
              </w:rPr>
              <w:t>2025</w:t>
            </w:r>
            <w:r>
              <w:rPr/>
              <w:t xml:space="preserve"> </w:t>
            </w:r>
          </w:p>
        </w:tc>
        <w:tc>
          <w:tcPr>
            <w:tcW w:w="109" w:type="dxa"/>
            <w:tcBorders>
              <w:bottom w:val="single" w:sz="16" w:space="0" w:color="1F2668"/>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tNOAM"/>
      <w:bookmarkEnd w:id="4"/>
      <w:r>
        <w:rPr>
          <w:rFonts w:ascii="calibri;arial;sans-serif" w:hAnsi="calibri;arial;sans-serif"/>
          <w:b w:val="false"/>
          <w:i w:val="false"/>
          <w:caps w:val="false"/>
          <w:smallCaps w:val="false"/>
          <w:color w:val="000000"/>
          <w:sz w:val="16"/>
        </w:rPr>
        <w:t xml:space="preserve">​ </w:t>
      </w:r>
    </w:p>
    <w:tbl>
      <w:tblPr>
        <w:tblW w:w="6811" w:type="dxa"/>
        <w:jc w:val="left"/>
        <w:tblInd w:w="0" w:type="dxa"/>
        <w:tblLayout w:type="fixed"/>
        <w:tblCellMar>
          <w:top w:w="0" w:type="dxa"/>
          <w:left w:w="0" w:type="dxa"/>
          <w:bottom w:w="0" w:type="dxa"/>
          <w:right w:w="0" w:type="dxa"/>
        </w:tblCellMar>
      </w:tblPr>
      <w:tblGrid>
        <w:gridCol w:w="124"/>
        <w:gridCol w:w="2366"/>
        <w:gridCol w:w="109"/>
        <w:gridCol w:w="109"/>
        <w:gridCol w:w="3505"/>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2366" w:type="dxa"/>
            <w:tcBorders/>
            <w:vAlign w:val="center"/>
          </w:tcPr>
          <w:p>
            <w:pPr>
              <w:pStyle w:val="TableContents"/>
              <w:bidi w:val="0"/>
              <w:spacing w:before="0" w:after="0"/>
              <w:jc w:val="left"/>
              <w:rPr/>
            </w:pPr>
            <w:r>
              <w:rPr/>
              <w:drawing>
                <wp:inline distT="0" distB="0" distL="0" distR="0">
                  <wp:extent cx="1409700" cy="409575"/>
                  <wp:effectExtent l="0" t="0" r="0" b="0"/>
                  <wp:docPr id="87"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21" descr=""/>
                          <pic:cNvPicPr>
                            <a:picLocks noChangeAspect="1" noChangeArrowheads="1"/>
                          </pic:cNvPicPr>
                        </pic:nvPicPr>
                        <pic:blipFill>
                          <a:blip r:embed="rId30"/>
                          <a:stretch>
                            <a:fillRect/>
                          </a:stretch>
                        </pic:blipFill>
                        <pic:spPr bwMode="auto">
                          <a:xfrm>
                            <a:off x="0" y="0"/>
                            <a:ext cx="1409700" cy="4095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505" w:type="dxa"/>
            <w:tcBorders/>
            <w:vAlign w:val="center"/>
          </w:tcPr>
          <w:p>
            <w:pPr>
              <w:pStyle w:val="TableContents"/>
              <w:bidi w:val="0"/>
              <w:spacing w:lineRule="atLeast" w:line="225" w:before="0" w:after="0"/>
              <w:jc w:val="left"/>
              <w:rPr/>
            </w:pPr>
            <w:r>
              <w:rPr>
                <w:b/>
                <w:spacing w:val="-2"/>
              </w:rPr>
              <w:t>SL GREEN REALTY CORP.</w:t>
            </w:r>
            <w:r>
              <w:rPr/>
              <w:t xml:space="preserve"> </w:t>
              <w:br/>
            </w:r>
            <w:r>
              <w:rPr>
                <w:spacing w:val="-2"/>
              </w:rPr>
              <w:t xml:space="preserve">One Vanderbilt Avenue </w:t>
              <w:br/>
              <w:t>New York, New York 10017-3852</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lineRule="atLeast" w:line="280" w:before="0" w:after="0"/>
              <w:jc w:val="right"/>
              <w:rPr>
                <w:b/>
                <w:color w:val="1F2668"/>
                <w:sz w:val="24"/>
              </w:rPr>
            </w:pPr>
            <w:r>
              <w:rPr>
                <w:b/>
                <w:color w:val="1F2668"/>
                <w:sz w:val="24"/>
              </w:rPr>
              <w:t>8</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520" w:before="480" w:after="154"/>
        <w:ind w:left="900" w:right="0" w:hanging="0"/>
        <w:jc w:val="left"/>
        <w:rPr>
          <w:rFonts w:ascii="Arial;Helvetica;sans-serif" w:hAnsi="Arial;Helvetica;sans-serif"/>
          <w:b/>
          <w:i w:val="false"/>
          <w:caps w:val="false"/>
          <w:smallCaps w:val="false"/>
          <w:color w:val="1F2668"/>
          <w:sz w:val="42"/>
        </w:rPr>
      </w:pPr>
      <w:r>
        <w:rPr>
          <w:rFonts w:ascii="Arial;Helvetica;sans-serif" w:hAnsi="Arial;Helvetica;sans-serif"/>
          <w:b/>
          <w:i w:val="false"/>
          <w:caps/>
          <w:color w:val="1F2668"/>
          <w:spacing w:val="-4"/>
          <w:sz w:val="42"/>
        </w:rPr>
        <w:t xml:space="preserve">NOTICE OF ANNUAL MEETING </w:t>
        <w:br/>
        <w:t>OF STOCKHOLDERS</w:t>
      </w:r>
      <w:r>
        <w:rPr>
          <w:rFonts w:ascii="Arial;Helvetica;sans-serif" w:hAnsi="Arial;Helvetica;sans-serif"/>
          <w:b/>
          <w:i w:val="false"/>
          <w:caps w:val="false"/>
          <w:smallCaps w:val="false"/>
          <w:color w:val="000000"/>
          <w:spacing w:val="8"/>
          <w:sz w:val="42"/>
        </w:rPr>
        <w:t xml:space="preserve"> </w:t>
      </w:r>
    </w:p>
    <w:tbl>
      <w:tblPr>
        <w:tblW w:w="9305" w:type="dxa"/>
        <w:jc w:val="left"/>
        <w:tblInd w:w="900" w:type="dxa"/>
        <w:tblLayout w:type="fixed"/>
        <w:tblCellMar>
          <w:top w:w="0" w:type="dxa"/>
          <w:left w:w="0" w:type="dxa"/>
          <w:bottom w:w="0" w:type="dxa"/>
          <w:right w:w="0" w:type="dxa"/>
        </w:tblCellMar>
      </w:tblPr>
      <w:tblGrid>
        <w:gridCol w:w="124"/>
        <w:gridCol w:w="648"/>
        <w:gridCol w:w="109"/>
        <w:gridCol w:w="109"/>
        <w:gridCol w:w="1613"/>
        <w:gridCol w:w="109"/>
        <w:gridCol w:w="109"/>
        <w:gridCol w:w="633"/>
        <w:gridCol w:w="109"/>
        <w:gridCol w:w="109"/>
        <w:gridCol w:w="3098"/>
        <w:gridCol w:w="109"/>
        <w:gridCol w:w="109"/>
        <w:gridCol w:w="648"/>
        <w:gridCol w:w="109"/>
        <w:gridCol w:w="109"/>
        <w:gridCol w:w="1294"/>
        <w:gridCol w:w="157"/>
      </w:tblGrid>
      <w:tr>
        <w:trPr/>
        <w:tc>
          <w:tcPr>
            <w:tcW w:w="124" w:type="dxa"/>
            <w:tcBorders/>
            <w:vAlign w:val="center"/>
          </w:tcPr>
          <w:p>
            <w:pPr>
              <w:pStyle w:val="TableContents"/>
              <w:bidi w:val="0"/>
              <w:spacing w:before="0" w:after="283"/>
              <w:jc w:val="left"/>
              <w:rPr/>
            </w:pPr>
            <w:r>
              <w:rPr/>
              <w:t>​</w:t>
            </w:r>
          </w:p>
        </w:tc>
        <w:tc>
          <w:tcPr>
            <w:tcW w:w="648" w:type="dxa"/>
            <w:tcBorders/>
            <w:vAlign w:val="center"/>
          </w:tcPr>
          <w:p>
            <w:pPr>
              <w:pStyle w:val="TableContents"/>
              <w:bidi w:val="0"/>
              <w:spacing w:before="0" w:after="0"/>
              <w:jc w:val="left"/>
              <w:rPr/>
            </w:pPr>
            <w:r>
              <w:rPr/>
              <w:drawing>
                <wp:inline distT="0" distB="0" distL="0" distR="0">
                  <wp:extent cx="342900" cy="342900"/>
                  <wp:effectExtent l="0" t="0" r="0" b="0"/>
                  <wp:docPr id="88"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22" descr=""/>
                          <pic:cNvPicPr>
                            <a:picLocks noChangeAspect="1" noChangeArrowheads="1"/>
                          </pic:cNvPicPr>
                        </pic:nvPicPr>
                        <pic:blipFill>
                          <a:blip r:embed="rId31"/>
                          <a:stretch>
                            <a:fillRect/>
                          </a:stretch>
                        </pic:blipFill>
                        <pic:spPr bwMode="auto">
                          <a:xfrm>
                            <a:off x="0" y="0"/>
                            <a:ext cx="342900" cy="3429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13" w:type="dxa"/>
            <w:tcBorders/>
            <w:vAlign w:val="center"/>
          </w:tcPr>
          <w:p>
            <w:pPr>
              <w:pStyle w:val="TableContents"/>
              <w:bidi w:val="0"/>
              <w:spacing w:lineRule="atLeast" w:line="220" w:before="0" w:after="0"/>
              <w:jc w:val="left"/>
              <w:rPr>
                <w:b/>
                <w:color w:val="575C8E"/>
              </w:rPr>
            </w:pPr>
            <w:r>
              <w:rPr>
                <w:b/>
                <w:color w:val="575C8E"/>
                <w:spacing w:val="-2"/>
              </w:rPr>
              <w:t>Date &amp; Time</w:t>
            </w:r>
            <w:r>
              <w:rPr>
                <w:b/>
                <w:color w:val="575C8E"/>
              </w:rPr>
              <w:t xml:space="preserve"> </w:t>
            </w:r>
          </w:p>
          <w:p>
            <w:pPr>
              <w:pStyle w:val="TableContents"/>
              <w:bidi w:val="0"/>
              <w:spacing w:lineRule="atLeast" w:line="220" w:before="120" w:after="283"/>
              <w:jc w:val="left"/>
              <w:rPr>
                <w:spacing w:val="-2"/>
              </w:rPr>
            </w:pPr>
            <w:r>
              <w:rPr>
                <w:spacing w:val="-2"/>
              </w:rPr>
              <w:t xml:space="preserve">June 2, 2026 </w:t>
              <w:br/>
              <w:t xml:space="preserve">12:00 PM, Eastern Time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33" w:type="dxa"/>
            <w:tcBorders/>
            <w:vAlign w:val="center"/>
          </w:tcPr>
          <w:p>
            <w:pPr>
              <w:pStyle w:val="TableContents"/>
              <w:bidi w:val="0"/>
              <w:spacing w:before="0" w:after="0"/>
              <w:jc w:val="left"/>
              <w:rPr/>
            </w:pPr>
            <w:r>
              <w:rPr/>
              <w:drawing>
                <wp:inline distT="0" distB="0" distL="0" distR="0">
                  <wp:extent cx="333375" cy="304800"/>
                  <wp:effectExtent l="0" t="0" r="0" b="0"/>
                  <wp:docPr id="89"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23" descr=""/>
                          <pic:cNvPicPr>
                            <a:picLocks noChangeAspect="1" noChangeArrowheads="1"/>
                          </pic:cNvPicPr>
                        </pic:nvPicPr>
                        <pic:blipFill>
                          <a:blip r:embed="rId32"/>
                          <a:stretch>
                            <a:fillRect/>
                          </a:stretch>
                        </pic:blipFill>
                        <pic:spPr bwMode="auto">
                          <a:xfrm>
                            <a:off x="0" y="0"/>
                            <a:ext cx="333375" cy="3048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098" w:type="dxa"/>
            <w:tcBorders/>
            <w:vAlign w:val="center"/>
          </w:tcPr>
          <w:p>
            <w:pPr>
              <w:pStyle w:val="TableContents"/>
              <w:bidi w:val="0"/>
              <w:spacing w:lineRule="atLeast" w:line="220" w:before="0" w:after="0"/>
              <w:jc w:val="left"/>
              <w:rPr>
                <w:b/>
                <w:color w:val="575C8E"/>
              </w:rPr>
            </w:pPr>
            <w:r>
              <w:rPr>
                <w:b/>
                <w:color w:val="575C8E"/>
                <w:spacing w:val="-2"/>
              </w:rPr>
              <w:t>Location</w:t>
            </w:r>
            <w:r>
              <w:rPr>
                <w:b/>
                <w:color w:val="575C8E"/>
              </w:rPr>
              <w:t xml:space="preserve"> </w:t>
            </w:r>
          </w:p>
          <w:p>
            <w:pPr>
              <w:pStyle w:val="TableContents"/>
              <w:bidi w:val="0"/>
              <w:spacing w:lineRule="atLeast" w:line="220" w:before="120" w:after="283"/>
              <w:jc w:val="left"/>
              <w:rPr>
                <w:spacing w:val="-2"/>
              </w:rPr>
            </w:pPr>
            <w:r>
              <w:rPr>
                <w:spacing w:val="-2"/>
              </w:rPr>
              <w:t xml:space="preserve">The auditorium at One Vanderbilt Avenue, New York, New York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48" w:type="dxa"/>
            <w:tcBorders/>
            <w:vAlign w:val="center"/>
          </w:tcPr>
          <w:p>
            <w:pPr>
              <w:pStyle w:val="TableContents"/>
              <w:bidi w:val="0"/>
              <w:spacing w:before="0" w:after="0"/>
              <w:jc w:val="left"/>
              <w:rPr/>
            </w:pPr>
            <w:r>
              <w:rPr/>
              <w:drawing>
                <wp:inline distT="0" distB="0" distL="0" distR="0">
                  <wp:extent cx="342900" cy="342900"/>
                  <wp:effectExtent l="0" t="0" r="0" b="0"/>
                  <wp:docPr id="90"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24" descr=""/>
                          <pic:cNvPicPr>
                            <a:picLocks noChangeAspect="1" noChangeArrowheads="1"/>
                          </pic:cNvPicPr>
                        </pic:nvPicPr>
                        <pic:blipFill>
                          <a:blip r:embed="rId33"/>
                          <a:stretch>
                            <a:fillRect/>
                          </a:stretch>
                        </pic:blipFill>
                        <pic:spPr bwMode="auto">
                          <a:xfrm>
                            <a:off x="0" y="0"/>
                            <a:ext cx="342900" cy="3429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94" w:type="dxa"/>
            <w:tcBorders/>
            <w:vAlign w:val="center"/>
          </w:tcPr>
          <w:p>
            <w:pPr>
              <w:pStyle w:val="TableContents"/>
              <w:bidi w:val="0"/>
              <w:spacing w:lineRule="atLeast" w:line="220" w:before="0" w:after="0"/>
              <w:jc w:val="left"/>
              <w:rPr>
                <w:b/>
                <w:color w:val="575C8E"/>
              </w:rPr>
            </w:pPr>
            <w:r>
              <w:rPr>
                <w:b/>
                <w:color w:val="575C8E"/>
                <w:spacing w:val="-2"/>
              </w:rPr>
              <w:t>Record Date</w:t>
            </w:r>
            <w:r>
              <w:rPr>
                <w:b/>
                <w:color w:val="575C8E"/>
              </w:rPr>
              <w:t xml:space="preserve"> </w:t>
            </w:r>
          </w:p>
          <w:p>
            <w:pPr>
              <w:pStyle w:val="TableContents"/>
              <w:bidi w:val="0"/>
              <w:spacing w:lineRule="atLeast" w:line="220" w:before="120" w:after="283"/>
              <w:jc w:val="left"/>
              <w:rPr/>
            </w:pPr>
            <w:r>
              <w:rPr>
                <w:spacing w:val="-2"/>
              </w:rPr>
              <w:t>March 31, 2026</w:t>
            </w:r>
            <w:r>
              <w:rPr/>
              <w:t xml:space="preserve"> </w:t>
            </w:r>
          </w:p>
        </w:tc>
        <w:tc>
          <w:tcPr>
            <w:tcW w:w="157" w:type="dxa"/>
            <w:tcBorders/>
            <w:vAlign w:val="center"/>
          </w:tcPr>
          <w:p>
            <w:pPr>
              <w:pStyle w:val="TableContents"/>
              <w:bidi w:val="0"/>
              <w:spacing w:before="0" w:after="283"/>
              <w:jc w:val="left"/>
              <w:rPr/>
            </w:pPr>
            <w:r>
              <w:rPr/>
              <w:t>​</w:t>
            </w:r>
          </w:p>
        </w:tc>
      </w:tr>
    </w:tbl>
    <w:p>
      <w:pPr>
        <w:pStyle w:val="TextBody"/>
        <w:bidi w:val="0"/>
        <w:spacing w:lineRule="atLeast" w:line="300" w:before="320" w:after="283"/>
        <w:ind w:left="900" w:right="0" w:hanging="0"/>
        <w:jc w:val="left"/>
        <w:rPr>
          <w:rFonts w:ascii="Arial;Helvetica;sans-serif" w:hAnsi="Arial;Helvetica;sans-serif"/>
          <w:b/>
          <w:i w:val="false"/>
          <w:caps w:val="false"/>
          <w:smallCaps w:val="false"/>
          <w:color w:val="1F2668"/>
          <w:sz w:val="26"/>
        </w:rPr>
      </w:pPr>
      <w:r>
        <w:rPr>
          <w:rFonts w:ascii="Arial;Helvetica;sans-serif" w:hAnsi="Arial;Helvetica;sans-serif"/>
          <w:b/>
          <w:i w:val="false"/>
          <w:caps w:val="false"/>
          <w:smallCaps w:val="false"/>
          <w:color w:val="1F2668"/>
          <w:spacing w:val="-3"/>
          <w:sz w:val="26"/>
        </w:rPr>
        <w:t>Dear Stockholder:</w:t>
      </w:r>
      <w:r>
        <w:rPr>
          <w:rFonts w:ascii="Arial;Helvetica;sans-serif" w:hAnsi="Arial;Helvetica;sans-serif"/>
          <w:b/>
          <w:i w:val="false"/>
          <w:caps w:val="false"/>
          <w:smallCaps w:val="false"/>
          <w:color w:val="000000"/>
          <w:spacing w:val="5"/>
          <w:sz w:val="26"/>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You are invited to attend the 2026 Annual Meeting of stockholders of SL Green Realty Corp., a Maryland corporation, which will be held on June 2, 2026 at 12:00 p.m., Eastern Time in the auditorium at One Vanderbilt Avenue, New York, New York. We strongly encourage you to vote your shares by proxy prior to the Annual Meeting.</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i w:val="false"/>
          <w:caps w:val="false"/>
          <w:smallCaps w:val="false"/>
          <w:color w:val="575C8E"/>
          <w:spacing w:val="-2"/>
          <w:sz w:val="18"/>
        </w:rPr>
        <w:t>Items of Business</w:t>
      </w:r>
      <w:r>
        <w:rPr>
          <w:rFonts w:ascii="Arial;Helvetica;sans-serif" w:hAnsi="Arial;Helvetica;sans-serif"/>
          <w:b w:val="false"/>
          <w:i w:val="false"/>
          <w:caps w:val="false"/>
          <w:smallCaps w:val="false"/>
          <w:color w:val="000000"/>
          <w:spacing w:val="-2"/>
          <w:sz w:val="18"/>
        </w:rPr>
        <w:t>—the Annual Meeting will be held for the following purposes:</w:t>
      </w:r>
      <w:r>
        <w:rPr>
          <w:rFonts w:ascii="Arial;Helvetica;sans-serif" w:hAnsi="Arial;Helvetica;sans-serif"/>
          <w:b w:val="false"/>
          <w:i w:val="false"/>
          <w:caps w:val="false"/>
          <w:smallCaps w:val="false"/>
          <w:color w:val="000000"/>
          <w:spacing w:val="4"/>
          <w:sz w:val="18"/>
        </w:rPr>
        <w:t xml:space="preserve"> </w:t>
      </w:r>
    </w:p>
    <w:tbl>
      <w:tblPr>
        <w:tblW w:w="9305" w:type="dxa"/>
        <w:jc w:val="left"/>
        <w:tblInd w:w="900" w:type="dxa"/>
        <w:tblLayout w:type="fixed"/>
        <w:tblCellMar>
          <w:top w:w="0" w:type="dxa"/>
          <w:left w:w="0" w:type="dxa"/>
          <w:bottom w:w="0" w:type="dxa"/>
          <w:right w:w="0" w:type="dxa"/>
        </w:tblCellMar>
      </w:tblPr>
      <w:tblGrid>
        <w:gridCol w:w="426"/>
        <w:gridCol w:w="101"/>
        <w:gridCol w:w="239"/>
        <w:gridCol w:w="239"/>
        <w:gridCol w:w="2331"/>
        <w:gridCol w:w="109"/>
        <w:gridCol w:w="109"/>
        <w:gridCol w:w="109"/>
        <w:gridCol w:w="590"/>
        <w:gridCol w:w="127"/>
        <w:gridCol w:w="127"/>
        <w:gridCol w:w="127"/>
        <w:gridCol w:w="888"/>
        <w:gridCol w:w="109"/>
        <w:gridCol w:w="109"/>
        <w:gridCol w:w="109"/>
        <w:gridCol w:w="926"/>
        <w:gridCol w:w="183"/>
        <w:gridCol w:w="183"/>
        <w:gridCol w:w="183"/>
        <w:gridCol w:w="1822"/>
        <w:gridCol w:w="159"/>
      </w:tblGrid>
      <w:tr>
        <w:trPr/>
        <w:tc>
          <w:tcPr>
            <w:tcW w:w="426" w:type="dxa"/>
            <w:tcBorders/>
            <w:vAlign w:val="center"/>
          </w:tcPr>
          <w:p>
            <w:pPr>
              <w:pStyle w:val="TableContents"/>
              <w:bidi w:val="0"/>
              <w:spacing w:before="0" w:after="283"/>
              <w:jc w:val="left"/>
              <w:rPr/>
            </w:pPr>
            <w:r>
              <w:rPr/>
              <w:t>​</w:t>
            </w:r>
          </w:p>
        </w:tc>
        <w:tc>
          <w:tcPr>
            <w:tcW w:w="2910" w:type="dxa"/>
            <w:gridSpan w:val="4"/>
            <w:tcBorders/>
            <w:vAlign w:val="center"/>
          </w:tcPr>
          <w:p>
            <w:pPr>
              <w:pStyle w:val="TableContents"/>
              <w:bidi w:val="0"/>
              <w:spacing w:before="0" w:after="0"/>
              <w:jc w:val="left"/>
              <w:rPr/>
            </w:pPr>
            <w:r>
              <w:rPr/>
              <w:drawing>
                <wp:inline distT="0" distB="0" distL="0" distR="0">
                  <wp:extent cx="228600" cy="238125"/>
                  <wp:effectExtent l="0" t="0" r="0" b="0"/>
                  <wp:docPr id="91"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25" descr=""/>
                          <pic:cNvPicPr>
                            <a:picLocks noChangeAspect="1" noChangeArrowheads="1"/>
                          </pic:cNvPicPr>
                        </pic:nvPicPr>
                        <pic:blipFill>
                          <a:blip r:embed="rId34"/>
                          <a:stretch>
                            <a:fillRect/>
                          </a:stretch>
                        </pic:blipFill>
                        <pic:spPr bwMode="auto">
                          <a:xfrm>
                            <a:off x="0" y="0"/>
                            <a:ext cx="228600" cy="2381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3AD40"/>
            </w:tcBorders>
            <w:shd w:fill="83AD4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59" w:type="dxa"/>
            <w:gridSpan w:val="5"/>
            <w:tcBorders/>
            <w:vAlign w:val="center"/>
          </w:tcPr>
          <w:p>
            <w:pPr>
              <w:pStyle w:val="TableContents"/>
              <w:bidi w:val="0"/>
              <w:spacing w:before="0" w:after="0"/>
              <w:jc w:val="left"/>
              <w:rPr/>
            </w:pPr>
            <w:r>
              <w:rPr/>
              <w:drawing>
                <wp:inline distT="0" distB="0" distL="0" distR="0">
                  <wp:extent cx="228600" cy="238125"/>
                  <wp:effectExtent l="0" t="0" r="0" b="0"/>
                  <wp:docPr id="92"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26" descr=""/>
                          <pic:cNvPicPr>
                            <a:picLocks noChangeAspect="1" noChangeArrowheads="1"/>
                          </pic:cNvPicPr>
                        </pic:nvPicPr>
                        <pic:blipFill>
                          <a:blip r:embed="rId35"/>
                          <a:stretch>
                            <a:fillRect/>
                          </a:stretch>
                        </pic:blipFill>
                        <pic:spPr bwMode="auto">
                          <a:xfrm>
                            <a:off x="0" y="0"/>
                            <a:ext cx="228600" cy="2381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3AD40"/>
            </w:tcBorders>
            <w:shd w:fill="83AD4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297" w:type="dxa"/>
            <w:gridSpan w:val="5"/>
            <w:tcBorders/>
            <w:vAlign w:val="center"/>
          </w:tcPr>
          <w:p>
            <w:pPr>
              <w:pStyle w:val="TableContents"/>
              <w:bidi w:val="0"/>
              <w:spacing w:before="0" w:after="0"/>
              <w:jc w:val="left"/>
              <w:rPr/>
            </w:pPr>
            <w:r>
              <w:rPr/>
              <w:drawing>
                <wp:inline distT="0" distB="0" distL="0" distR="0">
                  <wp:extent cx="228600" cy="238125"/>
                  <wp:effectExtent l="0" t="0" r="0" b="0"/>
                  <wp:docPr id="93"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27" descr=""/>
                          <pic:cNvPicPr>
                            <a:picLocks noChangeAspect="1" noChangeArrowheads="1"/>
                          </pic:cNvPicPr>
                        </pic:nvPicPr>
                        <pic:blipFill>
                          <a:blip r:embed="rId36"/>
                          <a:stretch>
                            <a:fillRect/>
                          </a:stretch>
                        </pic:blipFill>
                        <pic:spPr bwMode="auto">
                          <a:xfrm>
                            <a:off x="0" y="0"/>
                            <a:ext cx="228600" cy="238125"/>
                          </a:xfrm>
                          <a:prstGeom prst="rect">
                            <a:avLst/>
                          </a:prstGeom>
                        </pic:spPr>
                      </pic:pic>
                    </a:graphicData>
                  </a:graphic>
                </wp:inline>
              </w:drawing>
            </w:r>
            <w:r>
              <w:rPr/>
              <w:t xml:space="preserve"> </w:t>
            </w:r>
          </w:p>
        </w:tc>
        <w:tc>
          <w:tcPr>
            <w:tcW w:w="159" w:type="dxa"/>
            <w:tcBorders/>
            <w:vAlign w:val="center"/>
          </w:tcPr>
          <w:p>
            <w:pPr>
              <w:pStyle w:val="TableContents"/>
              <w:bidi w:val="0"/>
              <w:spacing w:before="0" w:after="283"/>
              <w:jc w:val="left"/>
              <w:rPr/>
            </w:pPr>
            <w:r>
              <w:rPr/>
              <w:t>​</w:t>
            </w:r>
          </w:p>
        </w:tc>
      </w:tr>
      <w:tr>
        <w:trPr/>
        <w:tc>
          <w:tcPr>
            <w:tcW w:w="426" w:type="dxa"/>
            <w:tcBorders/>
            <w:vAlign w:val="center"/>
          </w:tcPr>
          <w:p>
            <w:pPr>
              <w:pStyle w:val="TableContents"/>
              <w:bidi w:val="0"/>
              <w:spacing w:before="0" w:after="283"/>
              <w:jc w:val="left"/>
              <w:rPr/>
            </w:pPr>
            <w:r>
              <w:rPr/>
              <w:t>​</w:t>
            </w:r>
          </w:p>
        </w:tc>
        <w:tc>
          <w:tcPr>
            <w:tcW w:w="2910" w:type="dxa"/>
            <w:gridSpan w:val="4"/>
            <w:tcBorders/>
            <w:vAlign w:val="center"/>
          </w:tcPr>
          <w:p>
            <w:pPr>
              <w:pStyle w:val="TableContents"/>
              <w:bidi w:val="0"/>
              <w:spacing w:lineRule="atLeast" w:line="210" w:before="0" w:after="0"/>
              <w:jc w:val="left"/>
              <w:rPr/>
            </w:pPr>
            <w:r>
              <w:rPr>
                <w:spacing w:val="-2"/>
              </w:rPr>
              <w:t>To elect the eight director nominees named in the proxy statement to serve on the Board of Directors for a one-year term and until their successors are duly elected and qualify</w:t>
            </w:r>
            <w:r>
              <w:rPr/>
              <w:t xml:space="preserve"> </w:t>
              <w:br/>
            </w:r>
            <w:r>
              <w:rPr>
                <w:b/>
                <w:color w:val="1F2668"/>
                <w:spacing w:val="-2"/>
                <w:sz w:val="16"/>
              </w:rPr>
              <w:t xml:space="preserve">PAGE </w:t>
            </w:r>
            <w:hyperlink w:anchor="tEOD">
              <w:r>
                <w:rPr>
                  <w:rStyle w:val="InternetLink"/>
                  <w:b/>
                  <w:color w:val="000080"/>
                  <w:spacing w:val="-2"/>
                  <w:sz w:val="16"/>
                </w:rPr>
                <w:t>10</w:t>
              </w:r>
            </w:hyperlink>
            <w:r>
              <w:rPr>
                <w:spacing w:val="-2"/>
              </w:rPr>
              <w:t> </w:t>
            </w:r>
            <w:r>
              <w:rPr/>
              <w:drawing>
                <wp:inline distT="0" distB="0" distL="0" distR="0">
                  <wp:extent cx="66675" cy="76200"/>
                  <wp:effectExtent l="0" t="0" r="0" b="0"/>
                  <wp:docPr id="94"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28" descr=""/>
                          <pic:cNvPicPr>
                            <a:picLocks noChangeAspect="1" noChangeArrowheads="1"/>
                          </pic:cNvPicPr>
                        </pic:nvPicPr>
                        <pic:blipFill>
                          <a:blip r:embed="rId37"/>
                          <a:stretch>
                            <a:fillRect/>
                          </a:stretch>
                        </pic:blipFill>
                        <pic:spPr bwMode="auto">
                          <a:xfrm>
                            <a:off x="0" y="0"/>
                            <a:ext cx="66675" cy="762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3AD40"/>
            </w:tcBorders>
            <w:shd w:fill="83AD4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59" w:type="dxa"/>
            <w:gridSpan w:val="5"/>
            <w:tcBorders/>
            <w:vAlign w:val="center"/>
          </w:tcPr>
          <w:p>
            <w:pPr>
              <w:pStyle w:val="TableContents"/>
              <w:bidi w:val="0"/>
              <w:spacing w:lineRule="atLeast" w:line="210" w:before="0" w:after="0"/>
              <w:jc w:val="left"/>
              <w:rPr/>
            </w:pPr>
            <w:r>
              <w:rPr>
                <w:spacing w:val="-2"/>
              </w:rPr>
              <w:t>To hold an advisory vote on executive compensation</w:t>
            </w:r>
            <w:r>
              <w:rPr/>
              <w:t xml:space="preserve"> </w:t>
              <w:br/>
            </w:r>
            <w:r>
              <w:rPr>
                <w:b/>
                <w:color w:val="1F2668"/>
                <w:spacing w:val="-2"/>
                <w:sz w:val="16"/>
              </w:rPr>
              <w:t xml:space="preserve">PAGE </w:t>
            </w:r>
            <w:hyperlink w:anchor="tPR2">
              <w:r>
                <w:rPr>
                  <w:rStyle w:val="InternetLink"/>
                  <w:b/>
                  <w:color w:val="000080"/>
                  <w:spacing w:val="-2"/>
                  <w:sz w:val="16"/>
                </w:rPr>
                <w:t>40</w:t>
              </w:r>
            </w:hyperlink>
            <w:r>
              <w:rPr>
                <w:spacing w:val="-2"/>
              </w:rPr>
              <w:t> </w:t>
            </w:r>
            <w:r>
              <w:rPr/>
              <w:drawing>
                <wp:inline distT="0" distB="0" distL="0" distR="0">
                  <wp:extent cx="66675" cy="76200"/>
                  <wp:effectExtent l="0" t="0" r="0" b="0"/>
                  <wp:docPr id="95"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29" descr=""/>
                          <pic:cNvPicPr>
                            <a:picLocks noChangeAspect="1" noChangeArrowheads="1"/>
                          </pic:cNvPicPr>
                        </pic:nvPicPr>
                        <pic:blipFill>
                          <a:blip r:embed="rId38"/>
                          <a:stretch>
                            <a:fillRect/>
                          </a:stretch>
                        </pic:blipFill>
                        <pic:spPr bwMode="auto">
                          <a:xfrm>
                            <a:off x="0" y="0"/>
                            <a:ext cx="66675" cy="762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3AD40"/>
            </w:tcBorders>
            <w:shd w:fill="83AD4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297" w:type="dxa"/>
            <w:gridSpan w:val="5"/>
            <w:tcBorders/>
            <w:vAlign w:val="center"/>
          </w:tcPr>
          <w:p>
            <w:pPr>
              <w:pStyle w:val="TableContents"/>
              <w:bidi w:val="0"/>
              <w:spacing w:lineRule="atLeast" w:line="210" w:before="0" w:after="0"/>
              <w:jc w:val="left"/>
              <w:rPr/>
            </w:pPr>
            <w:r>
              <w:rPr>
                <w:spacing w:val="-2"/>
              </w:rPr>
              <w:t>To ratify the appointment of Deloitte &amp; Touche LLP as our independent registered public accounting firm for the fiscal year ending December 31, 2026</w:t>
            </w:r>
            <w:r>
              <w:rPr/>
              <w:t xml:space="preserve"> </w:t>
              <w:br/>
            </w:r>
            <w:r>
              <w:rPr>
                <w:b/>
                <w:color w:val="1F2668"/>
                <w:spacing w:val="-2"/>
                <w:sz w:val="16"/>
              </w:rPr>
              <w:t xml:space="preserve">PAGE </w:t>
            </w:r>
            <w:hyperlink w:anchor="tPR3">
              <w:r>
                <w:rPr>
                  <w:rStyle w:val="InternetLink"/>
                  <w:b/>
                  <w:color w:val="000080"/>
                  <w:spacing w:val="-2"/>
                  <w:sz w:val="16"/>
                </w:rPr>
                <w:t>83</w:t>
              </w:r>
            </w:hyperlink>
            <w:r>
              <w:rPr>
                <w:spacing w:val="-2"/>
              </w:rPr>
              <w:t> </w:t>
            </w:r>
            <w:r>
              <w:rPr/>
              <w:drawing>
                <wp:inline distT="0" distB="0" distL="0" distR="0">
                  <wp:extent cx="66675" cy="76200"/>
                  <wp:effectExtent l="0" t="0" r="0" b="0"/>
                  <wp:docPr id="96"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30" descr=""/>
                          <pic:cNvPicPr>
                            <a:picLocks noChangeAspect="1" noChangeArrowheads="1"/>
                          </pic:cNvPicPr>
                        </pic:nvPicPr>
                        <pic:blipFill>
                          <a:blip r:embed="rId39"/>
                          <a:stretch>
                            <a:fillRect/>
                          </a:stretch>
                        </pic:blipFill>
                        <pic:spPr bwMode="auto">
                          <a:xfrm>
                            <a:off x="0" y="0"/>
                            <a:ext cx="66675" cy="76200"/>
                          </a:xfrm>
                          <a:prstGeom prst="rect">
                            <a:avLst/>
                          </a:prstGeom>
                        </pic:spPr>
                      </pic:pic>
                    </a:graphicData>
                  </a:graphic>
                </wp:inline>
              </w:drawing>
            </w:r>
            <w:r>
              <w:rPr/>
              <w:t xml:space="preserve"> </w:t>
            </w:r>
          </w:p>
        </w:tc>
        <w:tc>
          <w:tcPr>
            <w:tcW w:w="159" w:type="dxa"/>
            <w:tcBorders/>
            <w:vAlign w:val="center"/>
          </w:tcPr>
          <w:p>
            <w:pPr>
              <w:pStyle w:val="TableContents"/>
              <w:bidi w:val="0"/>
              <w:spacing w:before="0" w:after="283"/>
              <w:jc w:val="left"/>
              <w:rPr/>
            </w:pPr>
            <w:r>
              <w:rPr/>
              <w:t>​</w:t>
            </w:r>
          </w:p>
        </w:tc>
      </w:tr>
      <w:tr>
        <w:trPr/>
        <w:tc>
          <w:tcPr>
            <w:tcW w:w="527" w:type="dxa"/>
            <w:gridSpan w:val="2"/>
            <w:tcBorders>
              <w:bottom w:val="single" w:sz="6" w:space="0" w:color="83AD40"/>
            </w:tcBorders>
            <w:tcMar>
              <w:bottom w:w="28" w:type="dxa"/>
            </w:tcMar>
            <w:vAlign w:val="center"/>
          </w:tcPr>
          <w:p>
            <w:pPr>
              <w:pStyle w:val="TableContents"/>
              <w:bidi w:val="0"/>
              <w:spacing w:before="0" w:after="0"/>
              <w:jc w:val="left"/>
              <w:rPr/>
            </w:pPr>
            <w:r>
              <w:rPr/>
              <w:drawing>
                <wp:inline distT="0" distB="0" distL="0" distR="0">
                  <wp:extent cx="257175" cy="257175"/>
                  <wp:effectExtent l="0" t="0" r="0" b="0"/>
                  <wp:docPr id="97"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31" descr=""/>
                          <pic:cNvPicPr>
                            <a:picLocks noChangeAspect="1" noChangeArrowheads="1"/>
                          </pic:cNvPicPr>
                        </pic:nvPicPr>
                        <pic:blipFill>
                          <a:blip r:embed="rId40"/>
                          <a:stretch>
                            <a:fillRect/>
                          </a:stretch>
                        </pic:blipFill>
                        <pic:spPr bwMode="auto">
                          <a:xfrm>
                            <a:off x="0" y="0"/>
                            <a:ext cx="257175" cy="257175"/>
                          </a:xfrm>
                          <a:prstGeom prst="rect">
                            <a:avLst/>
                          </a:prstGeom>
                        </pic:spPr>
                      </pic:pic>
                    </a:graphicData>
                  </a:graphic>
                </wp:inline>
              </w:drawing>
            </w:r>
            <w:r>
              <w:rPr/>
              <w:t xml:space="preserve"> </w:t>
            </w:r>
          </w:p>
        </w:tc>
        <w:tc>
          <w:tcPr>
            <w:tcW w:w="239" w:type="dxa"/>
            <w:tcBorders>
              <w:bottom w:val="single" w:sz="6" w:space="0" w:color="83AD40"/>
            </w:tcBorders>
            <w:tcMar>
              <w:bottom w:w="28" w:type="dxa"/>
            </w:tcMar>
            <w:vAlign w:val="center"/>
          </w:tcPr>
          <w:p>
            <w:pPr>
              <w:pStyle w:val="TableContents"/>
              <w:bidi w:val="0"/>
              <w:spacing w:before="0" w:after="283"/>
              <w:jc w:val="left"/>
              <w:rPr/>
            </w:pPr>
            <w:r>
              <w:rPr/>
              <w:t>​</w:t>
            </w:r>
          </w:p>
        </w:tc>
        <w:tc>
          <w:tcPr>
            <w:tcW w:w="239" w:type="dxa"/>
            <w:tcBorders>
              <w:bottom w:val="single" w:sz="6" w:space="0" w:color="83AD40"/>
            </w:tcBorders>
            <w:tcMar>
              <w:bottom w:w="28" w:type="dxa"/>
            </w:tcMar>
            <w:vAlign w:val="center"/>
          </w:tcPr>
          <w:p>
            <w:pPr>
              <w:pStyle w:val="TableContents"/>
              <w:bidi w:val="0"/>
              <w:spacing w:before="0" w:after="283"/>
              <w:jc w:val="left"/>
              <w:rPr/>
            </w:pPr>
            <w:r>
              <w:rPr/>
              <w:t>​</w:t>
            </w:r>
          </w:p>
        </w:tc>
        <w:tc>
          <w:tcPr>
            <w:tcW w:w="2331" w:type="dxa"/>
            <w:tcBorders>
              <w:bottom w:val="single" w:sz="6" w:space="0" w:color="83AD40"/>
            </w:tcBorders>
            <w:tcMar>
              <w:bottom w:w="28" w:type="dxa"/>
            </w:tcMar>
            <w:vAlign w:val="center"/>
          </w:tcPr>
          <w:p>
            <w:pPr>
              <w:pStyle w:val="TableContents"/>
              <w:bidi w:val="0"/>
              <w:spacing w:lineRule="atLeast" w:line="210" w:before="0" w:after="0"/>
              <w:jc w:val="left"/>
              <w:rPr/>
            </w:pPr>
            <w:r>
              <w:rPr>
                <w:b/>
                <w:spacing w:val="-2"/>
              </w:rPr>
              <w:t>Vote</w:t>
            </w:r>
            <w:r>
              <w:rPr>
                <w:spacing w:val="-2"/>
              </w:rPr>
              <w:t xml:space="preserve"> </w:t>
            </w:r>
            <w:r>
              <w:rPr>
                <w:b/>
                <w:color w:val="1F2668"/>
                <w:sz w:val="24"/>
              </w:rPr>
              <w:t>FOR</w:t>
            </w:r>
            <w:r>
              <w:rPr/>
              <w:t xml:space="preserve"> </w:t>
            </w:r>
          </w:p>
        </w:tc>
        <w:tc>
          <w:tcPr>
            <w:tcW w:w="109" w:type="dxa"/>
            <w:tcBorders>
              <w:bottom w:val="single" w:sz="6" w:space="0" w:color="83AD40"/>
            </w:tcBorders>
            <w:tcMar>
              <w:bottom w:w="28" w:type="dxa"/>
            </w:tcMar>
            <w:vAlign w:val="center"/>
          </w:tcPr>
          <w:p>
            <w:pPr>
              <w:pStyle w:val="TableContents"/>
              <w:bidi w:val="0"/>
              <w:spacing w:before="0" w:after="283"/>
              <w:jc w:val="left"/>
              <w:rPr/>
            </w:pPr>
            <w:r>
              <w:rPr/>
              <w:t>​</w:t>
            </w:r>
          </w:p>
        </w:tc>
        <w:tc>
          <w:tcPr>
            <w:tcW w:w="109" w:type="dxa"/>
            <w:tcBorders>
              <w:bottom w:val="single" w:sz="2" w:space="0" w:color="83AD40"/>
            </w:tcBorders>
            <w:shd w:fill="83AD40" w:val="clear"/>
            <w:tcMar>
              <w:bottom w:w="28" w:type="dxa"/>
            </w:tcMar>
            <w:vAlign w:val="center"/>
          </w:tcPr>
          <w:p>
            <w:pPr>
              <w:pStyle w:val="TableContents"/>
              <w:bidi w:val="0"/>
              <w:spacing w:before="0" w:after="283"/>
              <w:jc w:val="left"/>
              <w:rPr/>
            </w:pPr>
            <w:r>
              <w:rPr/>
              <w:t>​</w:t>
            </w:r>
          </w:p>
        </w:tc>
        <w:tc>
          <w:tcPr>
            <w:tcW w:w="109" w:type="dxa"/>
            <w:tcBorders>
              <w:bottom w:val="single" w:sz="6" w:space="0" w:color="83AD40"/>
            </w:tcBorders>
            <w:tcMar>
              <w:bottom w:w="28" w:type="dxa"/>
            </w:tcMar>
            <w:vAlign w:val="center"/>
          </w:tcPr>
          <w:p>
            <w:pPr>
              <w:pStyle w:val="TableContents"/>
              <w:bidi w:val="0"/>
              <w:spacing w:before="0" w:after="283"/>
              <w:jc w:val="left"/>
              <w:rPr/>
            </w:pPr>
            <w:r>
              <w:rPr/>
              <w:t>​</w:t>
            </w:r>
          </w:p>
        </w:tc>
        <w:tc>
          <w:tcPr>
            <w:tcW w:w="590" w:type="dxa"/>
            <w:tcBorders>
              <w:bottom w:val="single" w:sz="6" w:space="0" w:color="83AD40"/>
            </w:tcBorders>
            <w:tcMar>
              <w:bottom w:w="28" w:type="dxa"/>
            </w:tcMar>
            <w:vAlign w:val="center"/>
          </w:tcPr>
          <w:p>
            <w:pPr>
              <w:pStyle w:val="TableContents"/>
              <w:bidi w:val="0"/>
              <w:spacing w:before="0" w:after="0"/>
              <w:jc w:val="left"/>
              <w:rPr/>
            </w:pPr>
            <w:r>
              <w:rPr/>
              <w:drawing>
                <wp:inline distT="0" distB="0" distL="0" distR="0">
                  <wp:extent cx="257175" cy="257175"/>
                  <wp:effectExtent l="0" t="0" r="0" b="0"/>
                  <wp:docPr id="98"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32" descr=""/>
                          <pic:cNvPicPr>
                            <a:picLocks noChangeAspect="1" noChangeArrowheads="1"/>
                          </pic:cNvPicPr>
                        </pic:nvPicPr>
                        <pic:blipFill>
                          <a:blip r:embed="rId41"/>
                          <a:stretch>
                            <a:fillRect/>
                          </a:stretch>
                        </pic:blipFill>
                        <pic:spPr bwMode="auto">
                          <a:xfrm>
                            <a:off x="0" y="0"/>
                            <a:ext cx="257175" cy="257175"/>
                          </a:xfrm>
                          <a:prstGeom prst="rect">
                            <a:avLst/>
                          </a:prstGeom>
                        </pic:spPr>
                      </pic:pic>
                    </a:graphicData>
                  </a:graphic>
                </wp:inline>
              </w:drawing>
            </w:r>
            <w:r>
              <w:rPr/>
              <w:t xml:space="preserve"> </w:t>
            </w:r>
          </w:p>
        </w:tc>
        <w:tc>
          <w:tcPr>
            <w:tcW w:w="127" w:type="dxa"/>
            <w:tcBorders>
              <w:bottom w:val="single" w:sz="6" w:space="0" w:color="83AD40"/>
            </w:tcBorders>
            <w:tcMar>
              <w:bottom w:w="28" w:type="dxa"/>
            </w:tcMar>
            <w:vAlign w:val="center"/>
          </w:tcPr>
          <w:p>
            <w:pPr>
              <w:pStyle w:val="TableContents"/>
              <w:bidi w:val="0"/>
              <w:spacing w:before="0" w:after="283"/>
              <w:jc w:val="left"/>
              <w:rPr/>
            </w:pPr>
            <w:r>
              <w:rPr/>
              <w:t>​</w:t>
            </w:r>
          </w:p>
        </w:tc>
        <w:tc>
          <w:tcPr>
            <w:tcW w:w="127" w:type="dxa"/>
            <w:tcBorders>
              <w:bottom w:val="single" w:sz="6" w:space="0" w:color="83AD40"/>
            </w:tcBorders>
            <w:tcMar>
              <w:bottom w:w="28" w:type="dxa"/>
            </w:tcMar>
            <w:vAlign w:val="center"/>
          </w:tcPr>
          <w:p>
            <w:pPr>
              <w:pStyle w:val="TableContents"/>
              <w:bidi w:val="0"/>
              <w:spacing w:before="0" w:after="283"/>
              <w:jc w:val="left"/>
              <w:rPr/>
            </w:pPr>
            <w:r>
              <w:rPr/>
              <w:t>​</w:t>
            </w:r>
          </w:p>
        </w:tc>
        <w:tc>
          <w:tcPr>
            <w:tcW w:w="127" w:type="dxa"/>
            <w:tcBorders>
              <w:bottom w:val="single" w:sz="6" w:space="0" w:color="83AD40"/>
            </w:tcBorders>
            <w:tcMar>
              <w:bottom w:w="28" w:type="dxa"/>
            </w:tcMar>
            <w:vAlign w:val="center"/>
          </w:tcPr>
          <w:p>
            <w:pPr>
              <w:pStyle w:val="TableContents"/>
              <w:bidi w:val="0"/>
              <w:spacing w:before="0" w:after="283"/>
              <w:jc w:val="left"/>
              <w:rPr/>
            </w:pPr>
            <w:r>
              <w:rPr/>
              <w:t>​</w:t>
            </w:r>
          </w:p>
        </w:tc>
        <w:tc>
          <w:tcPr>
            <w:tcW w:w="888" w:type="dxa"/>
            <w:tcBorders>
              <w:bottom w:val="single" w:sz="6" w:space="0" w:color="83AD40"/>
            </w:tcBorders>
            <w:tcMar>
              <w:bottom w:w="28" w:type="dxa"/>
            </w:tcMar>
            <w:vAlign w:val="center"/>
          </w:tcPr>
          <w:p>
            <w:pPr>
              <w:pStyle w:val="TableContents"/>
              <w:bidi w:val="0"/>
              <w:spacing w:lineRule="atLeast" w:line="210" w:before="0" w:after="0"/>
              <w:jc w:val="left"/>
              <w:rPr/>
            </w:pPr>
            <w:r>
              <w:rPr>
                <w:b/>
                <w:spacing w:val="-2"/>
              </w:rPr>
              <w:t>Vote</w:t>
            </w:r>
            <w:r>
              <w:rPr>
                <w:spacing w:val="-2"/>
              </w:rPr>
              <w:t xml:space="preserve"> </w:t>
            </w:r>
            <w:r>
              <w:rPr>
                <w:b/>
                <w:color w:val="1F2668"/>
                <w:sz w:val="24"/>
              </w:rPr>
              <w:t>FOR</w:t>
            </w:r>
            <w:r>
              <w:rPr/>
              <w:t xml:space="preserve"> </w:t>
            </w:r>
          </w:p>
        </w:tc>
        <w:tc>
          <w:tcPr>
            <w:tcW w:w="109" w:type="dxa"/>
            <w:tcBorders>
              <w:bottom w:val="single" w:sz="6" w:space="0" w:color="83AD40"/>
            </w:tcBorders>
            <w:tcMar>
              <w:bottom w:w="28" w:type="dxa"/>
            </w:tcMar>
            <w:vAlign w:val="center"/>
          </w:tcPr>
          <w:p>
            <w:pPr>
              <w:pStyle w:val="TableContents"/>
              <w:bidi w:val="0"/>
              <w:spacing w:before="0" w:after="283"/>
              <w:jc w:val="left"/>
              <w:rPr/>
            </w:pPr>
            <w:r>
              <w:rPr/>
              <w:t>​</w:t>
            </w:r>
          </w:p>
        </w:tc>
        <w:tc>
          <w:tcPr>
            <w:tcW w:w="109" w:type="dxa"/>
            <w:tcBorders>
              <w:bottom w:val="single" w:sz="2" w:space="0" w:color="83AD40"/>
            </w:tcBorders>
            <w:shd w:fill="83AD40" w:val="clear"/>
            <w:tcMar>
              <w:bottom w:w="28" w:type="dxa"/>
            </w:tcMar>
            <w:vAlign w:val="center"/>
          </w:tcPr>
          <w:p>
            <w:pPr>
              <w:pStyle w:val="TableContents"/>
              <w:bidi w:val="0"/>
              <w:spacing w:before="0" w:after="283"/>
              <w:jc w:val="left"/>
              <w:rPr/>
            </w:pPr>
            <w:r>
              <w:rPr/>
              <w:t>​</w:t>
            </w:r>
          </w:p>
        </w:tc>
        <w:tc>
          <w:tcPr>
            <w:tcW w:w="109" w:type="dxa"/>
            <w:tcBorders>
              <w:bottom w:val="single" w:sz="6" w:space="0" w:color="83AD40"/>
            </w:tcBorders>
            <w:tcMar>
              <w:bottom w:w="28" w:type="dxa"/>
            </w:tcMar>
            <w:vAlign w:val="center"/>
          </w:tcPr>
          <w:p>
            <w:pPr>
              <w:pStyle w:val="TableContents"/>
              <w:bidi w:val="0"/>
              <w:spacing w:before="0" w:after="283"/>
              <w:jc w:val="left"/>
              <w:rPr/>
            </w:pPr>
            <w:r>
              <w:rPr/>
              <w:t>​</w:t>
            </w:r>
          </w:p>
        </w:tc>
        <w:tc>
          <w:tcPr>
            <w:tcW w:w="926" w:type="dxa"/>
            <w:tcBorders>
              <w:bottom w:val="single" w:sz="6" w:space="0" w:color="83AD40"/>
            </w:tcBorders>
            <w:tcMar>
              <w:bottom w:w="28" w:type="dxa"/>
            </w:tcMar>
            <w:vAlign w:val="center"/>
          </w:tcPr>
          <w:p>
            <w:pPr>
              <w:pStyle w:val="TableContents"/>
              <w:bidi w:val="0"/>
              <w:spacing w:before="0" w:after="0"/>
              <w:jc w:val="left"/>
              <w:rPr/>
            </w:pPr>
            <w:r>
              <w:rPr/>
              <w:drawing>
                <wp:inline distT="0" distB="0" distL="0" distR="0">
                  <wp:extent cx="257175" cy="257175"/>
                  <wp:effectExtent l="0" t="0" r="0" b="0"/>
                  <wp:docPr id="99"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33" descr=""/>
                          <pic:cNvPicPr>
                            <a:picLocks noChangeAspect="1" noChangeArrowheads="1"/>
                          </pic:cNvPicPr>
                        </pic:nvPicPr>
                        <pic:blipFill>
                          <a:blip r:embed="rId42"/>
                          <a:stretch>
                            <a:fillRect/>
                          </a:stretch>
                        </pic:blipFill>
                        <pic:spPr bwMode="auto">
                          <a:xfrm>
                            <a:off x="0" y="0"/>
                            <a:ext cx="257175" cy="257175"/>
                          </a:xfrm>
                          <a:prstGeom prst="rect">
                            <a:avLst/>
                          </a:prstGeom>
                        </pic:spPr>
                      </pic:pic>
                    </a:graphicData>
                  </a:graphic>
                </wp:inline>
              </w:drawing>
            </w:r>
            <w:r>
              <w:rPr/>
              <w:t xml:space="preserve"> </w:t>
            </w:r>
          </w:p>
        </w:tc>
        <w:tc>
          <w:tcPr>
            <w:tcW w:w="183" w:type="dxa"/>
            <w:tcBorders>
              <w:bottom w:val="single" w:sz="6" w:space="0" w:color="83AD40"/>
            </w:tcBorders>
            <w:tcMar>
              <w:bottom w:w="28" w:type="dxa"/>
            </w:tcMar>
            <w:vAlign w:val="center"/>
          </w:tcPr>
          <w:p>
            <w:pPr>
              <w:pStyle w:val="TableContents"/>
              <w:bidi w:val="0"/>
              <w:spacing w:before="0" w:after="283"/>
              <w:jc w:val="left"/>
              <w:rPr/>
            </w:pPr>
            <w:r>
              <w:rPr/>
              <w:t>​</w:t>
            </w:r>
          </w:p>
        </w:tc>
        <w:tc>
          <w:tcPr>
            <w:tcW w:w="183" w:type="dxa"/>
            <w:tcBorders>
              <w:bottom w:val="single" w:sz="6" w:space="0" w:color="83AD40"/>
            </w:tcBorders>
            <w:tcMar>
              <w:bottom w:w="28" w:type="dxa"/>
            </w:tcMar>
            <w:vAlign w:val="center"/>
          </w:tcPr>
          <w:p>
            <w:pPr>
              <w:pStyle w:val="TableContents"/>
              <w:bidi w:val="0"/>
              <w:spacing w:before="0" w:after="283"/>
              <w:jc w:val="left"/>
              <w:rPr/>
            </w:pPr>
            <w:r>
              <w:rPr/>
              <w:t>​</w:t>
            </w:r>
          </w:p>
        </w:tc>
        <w:tc>
          <w:tcPr>
            <w:tcW w:w="183" w:type="dxa"/>
            <w:tcBorders>
              <w:bottom w:val="single" w:sz="6" w:space="0" w:color="83AD40"/>
            </w:tcBorders>
            <w:tcMar>
              <w:bottom w:w="28" w:type="dxa"/>
            </w:tcMar>
            <w:vAlign w:val="center"/>
          </w:tcPr>
          <w:p>
            <w:pPr>
              <w:pStyle w:val="TableContents"/>
              <w:bidi w:val="0"/>
              <w:spacing w:before="0" w:after="283"/>
              <w:jc w:val="left"/>
              <w:rPr/>
            </w:pPr>
            <w:r>
              <w:rPr/>
              <w:t>​</w:t>
            </w:r>
          </w:p>
        </w:tc>
        <w:tc>
          <w:tcPr>
            <w:tcW w:w="1822" w:type="dxa"/>
            <w:tcBorders>
              <w:bottom w:val="single" w:sz="6" w:space="0" w:color="83AD40"/>
            </w:tcBorders>
            <w:tcMar>
              <w:bottom w:w="28" w:type="dxa"/>
            </w:tcMar>
            <w:vAlign w:val="center"/>
          </w:tcPr>
          <w:p>
            <w:pPr>
              <w:pStyle w:val="TableContents"/>
              <w:bidi w:val="0"/>
              <w:spacing w:lineRule="atLeast" w:line="210" w:before="0" w:after="0"/>
              <w:jc w:val="left"/>
              <w:rPr>
                <w:b/>
              </w:rPr>
            </w:pPr>
            <w:r>
              <w:rPr>
                <w:b/>
                <w:spacing w:val="-2"/>
              </w:rPr>
              <w:t xml:space="preserve">Vote </w:t>
            </w:r>
            <w:r>
              <w:rPr>
                <w:b/>
                <w:color w:val="1F2668"/>
                <w:sz w:val="24"/>
              </w:rPr>
              <w:t>FOR</w:t>
            </w:r>
            <w:r>
              <w:rPr>
                <w:b/>
              </w:rPr>
              <w:t xml:space="preserve"> </w:t>
            </w:r>
          </w:p>
        </w:tc>
        <w:tc>
          <w:tcPr>
            <w:tcW w:w="159" w:type="dxa"/>
            <w:tcBorders>
              <w:bottom w:val="single" w:sz="6" w:space="0" w:color="83AD40"/>
            </w:tcBorders>
            <w:tcMar>
              <w:bottom w:w="28" w:type="dxa"/>
            </w:tcMar>
            <w:vAlign w:val="center"/>
          </w:tcPr>
          <w:p>
            <w:pPr>
              <w:pStyle w:val="TableContents"/>
              <w:bidi w:val="0"/>
              <w:spacing w:before="0" w:after="283"/>
              <w:jc w:val="left"/>
              <w:rPr/>
            </w:pPr>
            <w:r>
              <w:rPr/>
              <w:t>​</w:t>
            </w:r>
          </w:p>
        </w:tc>
      </w:tr>
    </w:tbl>
    <w:tbl>
      <w:tblPr>
        <w:tblW w:w="10251" w:type="dxa"/>
        <w:jc w:val="left"/>
        <w:tblInd w:w="900" w:type="dxa"/>
        <w:tblLayout w:type="fixed"/>
        <w:tblCellMar>
          <w:top w:w="0" w:type="dxa"/>
          <w:left w:w="0" w:type="dxa"/>
          <w:bottom w:w="0" w:type="dxa"/>
          <w:right w:w="0" w:type="dxa"/>
        </w:tblCellMar>
      </w:tblPr>
      <w:tblGrid>
        <w:gridCol w:w="124"/>
        <w:gridCol w:w="1541"/>
        <w:gridCol w:w="109"/>
        <w:gridCol w:w="109"/>
        <w:gridCol w:w="109"/>
        <w:gridCol w:w="2215"/>
        <w:gridCol w:w="109"/>
        <w:gridCol w:w="109"/>
        <w:gridCol w:w="109"/>
        <w:gridCol w:w="671"/>
        <w:gridCol w:w="109"/>
        <w:gridCol w:w="109"/>
        <w:gridCol w:w="109"/>
        <w:gridCol w:w="2174"/>
        <w:gridCol w:w="109"/>
        <w:gridCol w:w="109"/>
        <w:gridCol w:w="109"/>
        <w:gridCol w:w="566"/>
        <w:gridCol w:w="109"/>
        <w:gridCol w:w="109"/>
        <w:gridCol w:w="109"/>
        <w:gridCol w:w="1171"/>
        <w:gridCol w:w="154"/>
      </w:tblGrid>
      <w:tr>
        <w:trPr/>
        <w:tc>
          <w:tcPr>
            <w:tcW w:w="124" w:type="dxa"/>
            <w:vMerge w:val="restart"/>
            <w:tcBorders/>
            <w:vAlign w:val="center"/>
          </w:tcPr>
          <w:p>
            <w:pPr>
              <w:pStyle w:val="TableContents"/>
              <w:bidi w:val="0"/>
              <w:spacing w:before="0" w:after="283"/>
              <w:jc w:val="left"/>
              <w:rPr/>
            </w:pPr>
            <w:r>
              <w:rPr/>
              <w:t>​</w:t>
            </w:r>
          </w:p>
        </w:tc>
        <w:tc>
          <w:tcPr>
            <w:tcW w:w="4083" w:type="dxa"/>
            <w:gridSpan w:val="5"/>
            <w:vMerge w:val="restart"/>
            <w:tcBorders/>
            <w:vAlign w:val="center"/>
          </w:tcPr>
          <w:p>
            <w:pPr>
              <w:pStyle w:val="TableContents"/>
              <w:bidi w:val="0"/>
              <w:spacing w:lineRule="atLeast" w:line="210" w:before="0" w:after="0"/>
              <w:jc w:val="left"/>
              <w:rPr/>
            </w:pPr>
            <w:r>
              <w:rPr>
                <w:spacing w:val="-2"/>
              </w:rPr>
              <w:t>In addition, stockholders may be asked to consider and vote upon any other matters that may properly be brought before the Annual Meeting and at any adjournments or postponements thereof.</w:t>
            </w:r>
            <w:r>
              <w:rPr/>
              <w:t xml:space="preserve"> </w:t>
            </w:r>
          </w:p>
          <w:p>
            <w:pPr>
              <w:pStyle w:val="TableContents"/>
              <w:bidi w:val="0"/>
              <w:spacing w:lineRule="atLeast" w:line="210" w:before="120" w:after="283"/>
              <w:jc w:val="left"/>
              <w:rPr/>
            </w:pPr>
            <w:r>
              <w:rPr>
                <w:spacing w:val="-2"/>
              </w:rPr>
              <w:t>Any action may be taken on the foregoing matters at the Annual Meeting on the date specified above, or on any date or dates to which the Annual Meeting may be adjourned, or to which the Annual Meeting may be postponed.</w:t>
            </w:r>
            <w:r>
              <w:rPr/>
              <w:t xml:space="preserve"> </w:t>
            </w:r>
          </w:p>
          <w:p>
            <w:pPr>
              <w:pStyle w:val="TableContents"/>
              <w:bidi w:val="0"/>
              <w:spacing w:lineRule="atLeast" w:line="210" w:before="120" w:after="283"/>
              <w:jc w:val="left"/>
              <w:rPr/>
            </w:pPr>
            <w:r>
              <w:rPr>
                <w:spacing w:val="-2"/>
              </w:rPr>
              <w:t>The Board of Directors has fixed the close of business on March 31, 2026 as the record date for determining the stockholders entitled to notice of, and to vote at, the Annual Meeting and at any adjournments or postponements thereof.</w:t>
            </w:r>
            <w:r>
              <w:rPr/>
              <w:t xml:space="preserve"> </w:t>
            </w:r>
          </w:p>
          <w:p>
            <w:pPr>
              <w:pStyle w:val="TableContents"/>
              <w:bidi w:val="0"/>
              <w:spacing w:lineRule="atLeast" w:line="210" w:before="120" w:after="283"/>
              <w:jc w:val="left"/>
              <w:rPr>
                <w:spacing w:val="-2"/>
              </w:rPr>
            </w:pPr>
            <w:r>
              <w:rPr>
                <w:spacing w:val="-2"/>
              </w:rPr>
              <w:t xml:space="preserve">By Order of the Board of Directors, </w:t>
            </w:r>
          </w:p>
        </w:tc>
        <w:tc>
          <w:tcPr>
            <w:tcW w:w="109" w:type="dxa"/>
            <w:vMerge w:val="restart"/>
            <w:tcBorders/>
            <w:vAlign w:val="center"/>
          </w:tcPr>
          <w:p>
            <w:pPr>
              <w:pStyle w:val="TableContents"/>
              <w:bidi w:val="0"/>
              <w:spacing w:before="0" w:after="283"/>
              <w:jc w:val="left"/>
              <w:rPr/>
            </w:pPr>
            <w:r>
              <w:rPr/>
              <w:t>​</w:t>
            </w:r>
          </w:p>
        </w:tc>
        <w:tc>
          <w:tcPr>
            <w:tcW w:w="109" w:type="dxa"/>
            <w:vMerge w:val="restart"/>
            <w:tcBorders>
              <w:bottom w:val="single" w:sz="2" w:space="0" w:color="83AD40"/>
            </w:tcBorders>
            <w:shd w:fill="83AD4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563" w:type="dxa"/>
            <w:gridSpan w:val="13"/>
            <w:tcBorders/>
            <w:vAlign w:val="center"/>
          </w:tcPr>
          <w:p>
            <w:pPr>
              <w:pStyle w:val="TableContents"/>
              <w:bidi w:val="0"/>
              <w:spacing w:before="0" w:after="0"/>
              <w:jc w:val="left"/>
              <w:rPr>
                <w:b/>
                <w:color w:val="83AD40"/>
                <w:sz w:val="22"/>
              </w:rPr>
            </w:pPr>
            <w:r>
              <w:rPr>
                <w:b/>
                <w:color w:val="83AD40"/>
                <w:spacing w:val="-2"/>
                <w:sz w:val="22"/>
              </w:rPr>
              <w:t>Voting</w:t>
            </w:r>
            <w:r>
              <w:rPr>
                <w:b/>
                <w:color w:val="000000"/>
                <w:sz w:val="22"/>
              </w:rPr>
              <w:t>​</w:t>
            </w:r>
            <w:r>
              <w:rPr>
                <w:b/>
                <w:color w:val="83AD40"/>
                <w:sz w:val="22"/>
              </w:rPr>
              <w:t xml:space="preserve"> </w:t>
            </w:r>
          </w:p>
          <w:p>
            <w:pPr>
              <w:pStyle w:val="TableContents"/>
              <w:bidi w:val="0"/>
              <w:spacing w:lineRule="atLeast" w:line="210" w:before="60" w:after="283"/>
              <w:jc w:val="left"/>
              <w:rPr>
                <w:spacing w:val="-2"/>
              </w:rPr>
            </w:pPr>
            <w:r>
              <w:rPr>
                <w:spacing w:val="-2"/>
              </w:rPr>
              <w:t xml:space="preserve">Your vote is very important to us. Please vote as soon as possible by one of the methods shown below: </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4083" w:type="dxa"/>
            <w:gridSpan w:val="5"/>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vMerge w:val="continue"/>
            <w:tcBorders>
              <w:bottom w:val="single" w:sz="2" w:space="0" w:color="83AD40"/>
            </w:tcBorders>
            <w:shd w:fill="83AD40" w:val="clear"/>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671" w:type="dxa"/>
            <w:tcBorders/>
            <w:vAlign w:val="center"/>
          </w:tcPr>
          <w:p>
            <w:pPr>
              <w:pStyle w:val="TableContents"/>
              <w:bidi w:val="0"/>
              <w:spacing w:before="0" w:after="0"/>
              <w:jc w:val="left"/>
              <w:rPr/>
            </w:pPr>
            <w:r>
              <w:rPr/>
              <w:drawing>
                <wp:inline distT="0" distB="0" distL="0" distR="0">
                  <wp:extent cx="371475" cy="314325"/>
                  <wp:effectExtent l="0" t="0" r="0" b="0"/>
                  <wp:docPr id="100"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34" descr=""/>
                          <pic:cNvPicPr>
                            <a:picLocks noChangeAspect="1" noChangeArrowheads="1"/>
                          </pic:cNvPicPr>
                        </pic:nvPicPr>
                        <pic:blipFill>
                          <a:blip r:embed="rId43"/>
                          <a:stretch>
                            <a:fillRect/>
                          </a:stretch>
                        </pic:blipFill>
                        <pic:spPr bwMode="auto">
                          <a:xfrm>
                            <a:off x="0" y="0"/>
                            <a:ext cx="371475" cy="3143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74" w:type="dxa"/>
            <w:tcBorders/>
            <w:vAlign w:val="center"/>
          </w:tcPr>
          <w:p>
            <w:pPr>
              <w:pStyle w:val="TableContents"/>
              <w:bidi w:val="0"/>
              <w:spacing w:lineRule="atLeast" w:line="210" w:before="0" w:after="0"/>
              <w:jc w:val="left"/>
              <w:rPr/>
            </w:pPr>
            <w:r>
              <w:rPr>
                <w:b/>
                <w:color w:val="1F2668"/>
              </w:rPr>
              <w:t>By Internet</w:t>
            </w:r>
            <w:r>
              <w:rPr/>
              <w:t xml:space="preserve"> </w:t>
              <w:br/>
            </w:r>
            <w:r>
              <w:rPr>
                <w:spacing w:val="-2"/>
              </w:rPr>
              <w:t>Visit</w:t>
            </w:r>
            <w:r>
              <w:rPr/>
              <w:t xml:space="preserve"> </w:t>
              <w:br/>
            </w:r>
            <w:r>
              <w:rPr>
                <w:b/>
                <w:color w:val="575C8E"/>
                <w:spacing w:val="-2"/>
              </w:rPr>
              <w:t>www.proxyvote.com</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66" w:type="dxa"/>
            <w:tcBorders/>
            <w:vAlign w:val="center"/>
          </w:tcPr>
          <w:p>
            <w:pPr>
              <w:pStyle w:val="TableContents"/>
              <w:bidi w:val="0"/>
              <w:spacing w:before="0" w:after="0"/>
              <w:jc w:val="both"/>
              <w:rPr/>
            </w:pPr>
            <w:r>
              <w:rPr/>
              <w:drawing>
                <wp:inline distT="0" distB="0" distL="0" distR="0">
                  <wp:extent cx="304800" cy="304800"/>
                  <wp:effectExtent l="0" t="0" r="0" b="0"/>
                  <wp:docPr id="101"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35" descr=""/>
                          <pic:cNvPicPr>
                            <a:picLocks noChangeAspect="1" noChangeArrowheads="1"/>
                          </pic:cNvPicPr>
                        </pic:nvPicPr>
                        <pic:blipFill>
                          <a:blip r:embed="rId44"/>
                          <a:stretch>
                            <a:fillRect/>
                          </a:stretch>
                        </pic:blipFill>
                        <pic:spPr bwMode="auto">
                          <a:xfrm>
                            <a:off x="0" y="0"/>
                            <a:ext cx="304800" cy="3048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71" w:type="dxa"/>
            <w:tcBorders/>
            <w:vAlign w:val="center"/>
          </w:tcPr>
          <w:p>
            <w:pPr>
              <w:pStyle w:val="TableContents"/>
              <w:bidi w:val="0"/>
              <w:spacing w:lineRule="atLeast" w:line="210" w:before="0" w:after="0"/>
              <w:jc w:val="left"/>
              <w:rPr/>
            </w:pPr>
            <w:r>
              <w:rPr>
                <w:b/>
                <w:color w:val="1F2668"/>
              </w:rPr>
              <w:t>By Telephone</w:t>
            </w:r>
            <w:r>
              <w:rPr>
                <w:spacing w:val="-2"/>
              </w:rPr>
              <w:t xml:space="preserve"> </w:t>
            </w:r>
            <w:r>
              <w:rPr/>
              <w:br/>
            </w:r>
            <w:r>
              <w:rPr>
                <w:b/>
                <w:color w:val="575C8E"/>
                <w:spacing w:val="-2"/>
              </w:rPr>
              <w:t>Call 1-800-454-8683</w:t>
            </w:r>
            <w:r>
              <w:rPr>
                <w:b/>
                <w:color w:val="575C8E"/>
              </w:rPr>
              <w:t xml:space="preserve"> </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4083" w:type="dxa"/>
            <w:gridSpan w:val="5"/>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vMerge w:val="continue"/>
            <w:tcBorders>
              <w:bottom w:val="single" w:sz="2" w:space="0" w:color="83AD40"/>
            </w:tcBorders>
            <w:shd w:fill="83AD40" w:val="clear"/>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671" w:type="dxa"/>
            <w:tcBorders/>
            <w:vAlign w:val="center"/>
          </w:tcPr>
          <w:p>
            <w:pPr>
              <w:pStyle w:val="TableContents"/>
              <w:bidi w:val="0"/>
              <w:spacing w:before="0" w:after="0"/>
              <w:jc w:val="left"/>
              <w:rPr/>
            </w:pPr>
            <w:r>
              <w:rPr/>
              <w:drawing>
                <wp:inline distT="0" distB="0" distL="0" distR="0">
                  <wp:extent cx="342900" cy="342900"/>
                  <wp:effectExtent l="0" t="0" r="0" b="0"/>
                  <wp:docPr id="102"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36" descr=""/>
                          <pic:cNvPicPr>
                            <a:picLocks noChangeAspect="1" noChangeArrowheads="1"/>
                          </pic:cNvPicPr>
                        </pic:nvPicPr>
                        <pic:blipFill>
                          <a:blip r:embed="rId45"/>
                          <a:stretch>
                            <a:fillRect/>
                          </a:stretch>
                        </pic:blipFill>
                        <pic:spPr bwMode="auto">
                          <a:xfrm>
                            <a:off x="0" y="0"/>
                            <a:ext cx="342900" cy="3429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565" w:type="dxa"/>
            <w:gridSpan w:val="9"/>
            <w:tcBorders/>
            <w:vAlign w:val="center"/>
          </w:tcPr>
          <w:p>
            <w:pPr>
              <w:pStyle w:val="TableContents"/>
              <w:bidi w:val="0"/>
              <w:spacing w:lineRule="atLeast" w:line="210" w:before="0" w:after="0"/>
              <w:jc w:val="left"/>
              <w:rPr/>
            </w:pPr>
            <w:r>
              <w:rPr>
                <w:b/>
                <w:color w:val="1F2668"/>
              </w:rPr>
              <w:t>By Tablet or Smartphone</w:t>
            </w:r>
            <w:r>
              <w:rPr>
                <w:spacing w:val="-2"/>
              </w:rPr>
              <w:t xml:space="preserve"> </w:t>
              <w:br/>
              <w:t xml:space="preserve">Scan this QR code to vote with your mobile device </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4083" w:type="dxa"/>
            <w:gridSpan w:val="5"/>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vMerge w:val="continue"/>
            <w:tcBorders>
              <w:bottom w:val="single" w:sz="2" w:space="0" w:color="83AD40"/>
            </w:tcBorders>
            <w:shd w:fill="83AD40" w:val="clear"/>
            <w:tcMar>
              <w:bottom w:w="28" w:type="dxa"/>
            </w:tcMar>
            <w:vAlign w:val="center"/>
          </w:tcPr>
          <w:p>
            <w:pPr>
              <w:pStyle w:val="Normal"/>
              <w:bidi w:val="0"/>
              <w:jc w:val="left"/>
              <w:rPr/>
            </w:pPr>
            <w:r>
              <w:rPr/>
            </w:r>
          </w:p>
        </w:tc>
        <w:tc>
          <w:tcPr>
            <w:tcW w:w="109" w:type="dxa"/>
            <w:vMerge w:val="restart"/>
            <w:tcBorders/>
            <w:vAlign w:val="center"/>
          </w:tcPr>
          <w:p>
            <w:pPr>
              <w:pStyle w:val="TableContents"/>
              <w:bidi w:val="0"/>
              <w:spacing w:before="0" w:after="283"/>
              <w:jc w:val="left"/>
              <w:rPr/>
            </w:pPr>
            <w:r>
              <w:rPr/>
              <w:t>​</w:t>
            </w:r>
          </w:p>
        </w:tc>
        <w:tc>
          <w:tcPr>
            <w:tcW w:w="5563" w:type="dxa"/>
            <w:gridSpan w:val="13"/>
            <w:vMerge w:val="restart"/>
            <w:tcBorders/>
            <w:vAlign w:val="center"/>
          </w:tcPr>
          <w:p>
            <w:pPr>
              <w:pStyle w:val="TableContents"/>
              <w:bidi w:val="0"/>
              <w:spacing w:lineRule="atLeast" w:line="200" w:before="0" w:after="0"/>
              <w:jc w:val="left"/>
              <w:rPr>
                <w:spacing w:val="-2"/>
              </w:rPr>
            </w:pPr>
            <w:r>
              <w:rPr>
                <w:spacing w:val="-2"/>
              </w:rPr>
              <w:t xml:space="preserve">Whether or not you plan to attend the Annual Meeting, please carefully read the proxy statement and other proxy materials and complete a proxy for your shares as soon as possible. You may authorize your proxy via the Internet or by telephone by following the instructions on the website indicated in the Notice of Internet Availability of Proxy Materials that you received in the mail. You also may request a paper or an e-mail copy of our proxy materials and a paper proxy card at any time. If you attend the Annual Meeting, you may vote during the Annual Meeting if you wish, even if you previously have signed and returned your proxy card. You may be asked to present valid picture identification, such as a driver’s license or passport, before being admitted to the Annual Meeting. To be admitted to the Annual Meeting, you will be required to present a recent brokerage statement or other evidence of your ownership of our stock as of the record date of the Annual Meeting. Please note that if your shares are held of record by a bank, broker or other nominee, please follow the instructions you receive from your bank, broker or other nominee to have your shares voted. </w:t>
            </w:r>
          </w:p>
        </w:tc>
        <w:tc>
          <w:tcPr>
            <w:tcW w:w="154" w:type="dxa"/>
            <w:vMerge w:val="restart"/>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541" w:type="dxa"/>
            <w:tcBorders/>
            <w:vAlign w:val="center"/>
          </w:tcPr>
          <w:p>
            <w:pPr>
              <w:pStyle w:val="TableContents"/>
              <w:bidi w:val="0"/>
              <w:spacing w:before="0" w:after="0"/>
              <w:jc w:val="left"/>
              <w:rPr/>
            </w:pPr>
            <w:r>
              <w:rPr/>
              <w:drawing>
                <wp:inline distT="0" distB="0" distL="0" distR="0">
                  <wp:extent cx="923925" cy="276225"/>
                  <wp:effectExtent l="0" t="0" r="0" b="0"/>
                  <wp:docPr id="103"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37" descr=""/>
                          <pic:cNvPicPr>
                            <a:picLocks noChangeAspect="1" noChangeArrowheads="1"/>
                          </pic:cNvPicPr>
                        </pic:nvPicPr>
                        <pic:blipFill>
                          <a:blip r:embed="rId46"/>
                          <a:stretch>
                            <a:fillRect/>
                          </a:stretch>
                        </pic:blipFill>
                        <pic:spPr bwMode="auto">
                          <a:xfrm>
                            <a:off x="0" y="0"/>
                            <a:ext cx="923925" cy="276225"/>
                          </a:xfrm>
                          <a:prstGeom prst="rect">
                            <a:avLst/>
                          </a:prstGeom>
                        </pic:spPr>
                      </pic:pic>
                    </a:graphicData>
                  </a:graphic>
                </wp:inline>
              </w:drawing>
            </w:r>
            <w:r>
              <w:rPr/>
              <w:t xml:space="preserve"> </w:t>
            </w:r>
          </w:p>
          <w:p>
            <w:pPr>
              <w:pStyle w:val="TableContents"/>
              <w:bidi w:val="0"/>
              <w:spacing w:lineRule="atLeast" w:line="210" w:before="210" w:after="283"/>
              <w:jc w:val="left"/>
              <w:rPr/>
            </w:pPr>
            <w:r>
              <w:rPr>
                <w:b/>
                <w:spacing w:val="-2"/>
              </w:rPr>
              <w:t>Andrew S. Levine</w:t>
            </w:r>
            <w:r>
              <w:rPr>
                <w:spacing w:val="-2"/>
              </w:rPr>
              <w:t xml:space="preserve"> </w:t>
              <w:br/>
              <w:t xml:space="preserve">Secretary </w:t>
              <w:br/>
              <w:t xml:space="preserve">New York, New York </w:t>
              <w:br/>
              <w:t xml:space="preserve">April 22, 2026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15" w:type="dxa"/>
            <w:tcBorders/>
            <w:vAlign w:val="center"/>
          </w:tcPr>
          <w:p>
            <w:pPr>
              <w:pStyle w:val="TableContents"/>
              <w:bidi w:val="0"/>
              <w:spacing w:lineRule="atLeast" w:line="210" w:before="0" w:after="0"/>
              <w:jc w:val="left"/>
              <w:rPr>
                <w:b/>
              </w:rPr>
            </w:pPr>
            <w:r>
              <w:rPr>
                <w:b/>
                <w:spacing w:val="-2"/>
              </w:rPr>
              <w:t>Important Notice Regarding the Availability of Proxy Materials for the Annual Stockholder Meeting to be Held on June 2, 2026</w:t>
            </w:r>
            <w:r>
              <w:rPr>
                <w:b w:val="false"/>
                <w:spacing w:val="-2"/>
              </w:rPr>
              <w:t>. This proxy statement and our 2025 Annual Report to Stockholders are available at http://www.proxyvote.com</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3AD40"/>
            </w:tcBorders>
            <w:shd w:fill="83AD40" w:val="clear"/>
            <w:tcMar>
              <w:bottom w:w="28" w:type="dxa"/>
            </w:tcMar>
            <w:vAlign w:val="center"/>
          </w:tcPr>
          <w:p>
            <w:pPr>
              <w:pStyle w:val="TableContents"/>
              <w:bidi w:val="0"/>
              <w:spacing w:before="0" w:after="283"/>
              <w:jc w:val="left"/>
              <w:rPr/>
            </w:pPr>
            <w:r>
              <w:rPr/>
              <w:t>​</w:t>
            </w:r>
          </w:p>
        </w:tc>
        <w:tc>
          <w:tcPr>
            <w:tcW w:w="109" w:type="dxa"/>
            <w:vMerge w:val="continue"/>
            <w:tcBorders/>
            <w:vAlign w:val="center"/>
          </w:tcPr>
          <w:p>
            <w:pPr>
              <w:pStyle w:val="Normal"/>
              <w:bidi w:val="0"/>
              <w:jc w:val="left"/>
              <w:rPr/>
            </w:pPr>
            <w:r>
              <w:rPr/>
            </w:r>
          </w:p>
        </w:tc>
        <w:tc>
          <w:tcPr>
            <w:tcW w:w="5563" w:type="dxa"/>
            <w:gridSpan w:val="13"/>
            <w:vMerge w:val="continue"/>
            <w:tcBorders/>
            <w:vAlign w:val="center"/>
          </w:tcPr>
          <w:p>
            <w:pPr>
              <w:pStyle w:val="Normal"/>
              <w:bidi w:val="0"/>
              <w:jc w:val="left"/>
              <w:rPr/>
            </w:pPr>
            <w:r>
              <w:rPr/>
            </w:r>
          </w:p>
        </w:tc>
        <w:tc>
          <w:tcPr>
            <w:tcW w:w="154" w:type="dxa"/>
            <w:vMerge w:val="continue"/>
            <w:tcBorders/>
            <w:vAlign w:val="center"/>
          </w:tcPr>
          <w:p>
            <w:pPr>
              <w:pStyle w:val="Normal"/>
              <w:bidi w:val="0"/>
              <w:jc w:val="left"/>
              <w:rPr/>
            </w:pPr>
            <w:r>
              <w:rPr/>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TOC"/>
      <w:bookmarkEnd w:id="5"/>
      <w:r>
        <w:rPr>
          <w:rFonts w:ascii="calibri;arial;sans-serif" w:hAnsi="calibri;arial;sans-serif"/>
          <w:b w:val="false"/>
          <w:i w:val="false"/>
          <w:caps w:val="false"/>
          <w:smallCaps w:val="false"/>
          <w:color w:val="1F2668"/>
          <w:sz w:val="16"/>
        </w:rPr>
        <w:t>​</w:t>
      </w:r>
      <w:bookmarkStart w:id="6" w:name="TOC2"/>
      <w:bookmarkEnd w:id="6"/>
      <w:r>
        <w:rPr>
          <w:rFonts w:ascii="calibri;arial;sans-serif" w:hAnsi="calibri;arial;sans-serif"/>
          <w:b w:val="false"/>
          <w:i w:val="false"/>
          <w:caps w:val="false"/>
          <w:smallCaps w:val="false"/>
          <w:color w:val="1F2668"/>
          <w:sz w:val="16"/>
        </w:rPr>
        <w:t xml:space="preserve">​ </w:t>
      </w:r>
    </w:p>
    <w:tbl>
      <w:tblPr>
        <w:tblW w:w="891" w:type="dxa"/>
        <w:jc w:val="left"/>
        <w:tblInd w:w="900" w:type="dxa"/>
        <w:tblLayout w:type="fixed"/>
        <w:tblCellMar>
          <w:top w:w="0" w:type="dxa"/>
          <w:left w:w="0" w:type="dxa"/>
          <w:bottom w:w="0" w:type="dxa"/>
          <w:right w:w="0" w:type="dxa"/>
        </w:tblCellMar>
      </w:tblPr>
      <w:tblGrid>
        <w:gridCol w:w="124"/>
        <w:gridCol w:w="109"/>
        <w:gridCol w:w="109"/>
        <w:gridCol w:w="109"/>
        <w:gridCol w:w="286"/>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vAlign w:val="center"/>
          </w:tcPr>
          <w:p>
            <w:pPr>
              <w:pStyle w:val="TableContents"/>
              <w:bidi w:val="0"/>
              <w:spacing w:before="0" w:after="0"/>
              <w:jc w:val="right"/>
              <w:rPr/>
            </w:pPr>
            <w:r>
              <w:rPr/>
              <w:t>9</w:t>
              <w:b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520" w:before="560" w:after="283"/>
        <w:ind w:left="900" w:right="0" w:hanging="0"/>
        <w:jc w:val="left"/>
        <w:rPr>
          <w:rFonts w:ascii="Arial;Helvetica;sans-serif" w:hAnsi="Arial;Helvetica;sans-serif"/>
          <w:b/>
          <w:i w:val="false"/>
          <w:caps w:val="false"/>
          <w:smallCaps w:val="false"/>
          <w:color w:val="1F2668"/>
          <w:sz w:val="42"/>
        </w:rPr>
      </w:pPr>
      <w:r>
        <w:rPr>
          <w:rFonts w:ascii="Arial;Helvetica;sans-serif" w:hAnsi="Arial;Helvetica;sans-serif"/>
          <w:b/>
          <w:i w:val="false"/>
          <w:caps/>
          <w:color w:val="1F2668"/>
          <w:spacing w:val="-4"/>
          <w:sz w:val="42"/>
        </w:rPr>
        <w:t>TABLE OF CONTENTS</w:t>
      </w:r>
      <w:r>
        <w:rPr>
          <w:rFonts w:ascii="Arial;Helvetica;sans-serif" w:hAnsi="Arial;Helvetica;sans-serif"/>
          <w:b/>
          <w:i w:val="false"/>
          <w:caps w:val="false"/>
          <w:smallCaps w:val="false"/>
          <w:color w:val="000000"/>
          <w:spacing w:val="8"/>
          <w:sz w:val="42"/>
        </w:rPr>
        <w:t xml:space="preserve"> </w:t>
      </w:r>
    </w:p>
    <w:p>
      <w:pPr>
        <w:pStyle w:val="TextBody"/>
        <w:bidi w:val="0"/>
        <w:spacing w:before="0" w:after="3854"/>
        <w:jc w:val="left"/>
        <w:rPr>
          <w:caps w:val="false"/>
          <w:smallCaps w:val="false"/>
          <w:color w:val="1F2668"/>
        </w:rPr>
      </w:pPr>
      <w:r>
        <w:rPr>
          <w:caps w:val="false"/>
          <w:smallCaps w:val="false"/>
          <w:color w:val="1F2668"/>
        </w:rPr>
        <w:t>​</w:t>
      </w:r>
      <w:r>
        <mc:AlternateContent>
          <mc:Choice Requires="wps">
            <w:drawing>
              <wp:anchor behindDoc="0" distT="0" distB="0" distL="304800" distR="0" simplePos="0" locked="0" layoutInCell="1" allowOverlap="1" relativeHeight="251">
                <wp:simplePos x="0" y="0"/>
                <wp:positionH relativeFrom="column">
                  <wp:align>left</wp:align>
                </wp:positionH>
                <wp:positionV relativeFrom="line">
                  <wp:posOffset>635</wp:posOffset>
                </wp:positionV>
                <wp:extent cx="3048000" cy="5201285"/>
                <wp:effectExtent l="0" t="0" r="0" b="0"/>
                <wp:wrapSquare wrapText="right"/>
                <wp:docPr id="104" name="Frame60"/>
                <a:graphic xmlns:a="http://schemas.openxmlformats.org/drawingml/2006/main">
                  <a:graphicData uri="http://schemas.microsoft.com/office/word/2010/wordprocessingShape">
                    <wps:wsp>
                      <wps:cNvSpPr txBox="1"/>
                      <wps:spPr>
                        <a:xfrm>
                          <a:off x="0" y="0"/>
                          <a:ext cx="3048000" cy="5201285"/>
                        </a:xfrm>
                        <a:prstGeom prst="rect"/>
                        <a:solidFill>
                          <a:srgbClr val="FFFFFF"/>
                        </a:solidFill>
                      </wps:spPr>
                      <wps:txbx>
                        <w:txbxContent>
                          <w:tbl>
                            <w:tblPr>
                              <w:tblW w:w="9051" w:type="dxa"/>
                              <w:jc w:val="left"/>
                              <w:tblInd w:w="0" w:type="dxa"/>
                              <w:tblLayout w:type="fixed"/>
                              <w:tblCellMar>
                                <w:top w:w="0" w:type="dxa"/>
                                <w:left w:w="0" w:type="dxa"/>
                                <w:bottom w:w="28" w:type="dxa"/>
                                <w:right w:w="0" w:type="dxa"/>
                              </w:tblCellMar>
                            </w:tblPr>
                            <w:tblGrid>
                              <w:gridCol w:w="124"/>
                              <w:gridCol w:w="6512"/>
                              <w:gridCol w:w="169"/>
                              <w:gridCol w:w="169"/>
                              <w:gridCol w:w="837"/>
                              <w:gridCol w:w="109"/>
                              <w:gridCol w:w="109"/>
                              <w:gridCol w:w="109"/>
                              <w:gridCol w:w="109"/>
                              <w:gridCol w:w="541"/>
                              <w:gridCol w:w="109"/>
                              <w:gridCol w:w="154"/>
                            </w:tblGrid>
                            <w:tr>
                              <w:trPr/>
                              <w:tc>
                                <w:tcPr>
                                  <w:tcW w:w="124" w:type="dxa"/>
                                  <w:tcBorders>
                                    <w:bottom w:val="single" w:sz="2" w:space="0" w:color="83AD40"/>
                                  </w:tcBorders>
                                  <w:vAlign w:val="center"/>
                                </w:tcPr>
                                <w:p>
                                  <w:pPr>
                                    <w:pStyle w:val="TableContents"/>
                                    <w:bidi w:val="0"/>
                                    <w:spacing w:before="0" w:after="283"/>
                                    <w:jc w:val="left"/>
                                    <w:rPr/>
                                  </w:pPr>
                                  <w:r>
                                    <w:rPr/>
                                    <w:t>​</w:t>
                                  </w:r>
                                </w:p>
                              </w:tc>
                              <w:tc>
                                <w:tcPr>
                                  <w:tcW w:w="7687" w:type="dxa"/>
                                  <w:gridSpan w:val="4"/>
                                  <w:tcBorders>
                                    <w:bottom w:val="single" w:sz="2" w:space="0" w:color="83AD40"/>
                                  </w:tcBorders>
                                  <w:tcMar>
                                    <w:bottom w:w="80" w:type="dxa"/>
                                  </w:tcMar>
                                  <w:vAlign w:val="center"/>
                                </w:tcPr>
                                <w:p>
                                  <w:pPr>
                                    <w:pStyle w:val="TableContents"/>
                                    <w:bidi w:val="0"/>
                                    <w:spacing w:before="0" w:after="283"/>
                                    <w:jc w:val="left"/>
                                    <w:rPr/>
                                  </w:pPr>
                                  <w:hyperlink w:anchor="tACM">
                                    <w:r>
                                      <w:rPr>
                                        <w:rStyle w:val="InternetLink"/>
                                        <w:color w:val="83AD40"/>
                                        <w:spacing w:val="-2"/>
                                      </w:rPr>
                                      <w:t>AUDIT COMMITTEE MATTERS</w:t>
                                    </w:r>
                                  </w:hyperlink>
                                  <w:r>
                                    <w:rPr/>
                                    <w:t xml:space="preserve"> </w:t>
                                  </w:r>
                                </w:p>
                              </w:tc>
                              <w:tc>
                                <w:tcPr>
                                  <w:tcW w:w="109" w:type="dxa"/>
                                  <w:tcBorders>
                                    <w:bottom w:val="single" w:sz="2" w:space="0" w:color="83AD40"/>
                                  </w:tcBorders>
                                  <w:vAlign w:val="center"/>
                                </w:tcPr>
                                <w:p>
                                  <w:pPr>
                                    <w:pStyle w:val="TableContents"/>
                                    <w:bidi w:val="0"/>
                                    <w:spacing w:before="0" w:after="283"/>
                                    <w:jc w:val="left"/>
                                    <w:rPr/>
                                  </w:pPr>
                                  <w:r>
                                    <w:rPr/>
                                    <w:t>​</w:t>
                                  </w:r>
                                </w:p>
                              </w:tc>
                              <w:tc>
                                <w:tcPr>
                                  <w:tcW w:w="109" w:type="dxa"/>
                                  <w:tcBorders>
                                    <w:bottom w:val="single" w:sz="2" w:space="0" w:color="83AD40"/>
                                  </w:tcBorders>
                                  <w:vAlign w:val="center"/>
                                </w:tcPr>
                                <w:p>
                                  <w:pPr>
                                    <w:pStyle w:val="TableContents"/>
                                    <w:bidi w:val="0"/>
                                    <w:spacing w:before="0" w:after="283"/>
                                    <w:jc w:val="left"/>
                                    <w:rPr/>
                                  </w:pPr>
                                  <w:r>
                                    <w:rPr/>
                                    <w:t>​</w:t>
                                  </w:r>
                                </w:p>
                              </w:tc>
                              <w:tc>
                                <w:tcPr>
                                  <w:tcW w:w="109" w:type="dxa"/>
                                  <w:tcBorders>
                                    <w:bottom w:val="single" w:sz="2" w:space="0" w:color="83AD40"/>
                                  </w:tcBorders>
                                  <w:vAlign w:val="center"/>
                                </w:tcPr>
                                <w:p>
                                  <w:pPr>
                                    <w:pStyle w:val="TableContents"/>
                                    <w:bidi w:val="0"/>
                                    <w:spacing w:before="0" w:after="283"/>
                                    <w:jc w:val="left"/>
                                    <w:rPr/>
                                  </w:pPr>
                                  <w:r>
                                    <w:rPr/>
                                    <w:t>​</w:t>
                                  </w:r>
                                </w:p>
                              </w:tc>
                              <w:tc>
                                <w:tcPr>
                                  <w:tcW w:w="109" w:type="dxa"/>
                                  <w:tcBorders>
                                    <w:bottom w:val="single" w:sz="2" w:space="0" w:color="83AD40"/>
                                  </w:tcBorders>
                                  <w:tcMar>
                                    <w:bottom w:w="80" w:type="dxa"/>
                                  </w:tcMar>
                                  <w:vAlign w:val="center"/>
                                </w:tcPr>
                                <w:p>
                                  <w:pPr>
                                    <w:pStyle w:val="TableContents"/>
                                    <w:bidi w:val="0"/>
                                    <w:spacing w:before="0" w:after="283"/>
                                    <w:jc w:val="right"/>
                                    <w:rPr/>
                                  </w:pPr>
                                  <w:r>
                                    <w:rPr/>
                                    <w:t>​</w:t>
                                  </w:r>
                                </w:p>
                              </w:tc>
                              <w:tc>
                                <w:tcPr>
                                  <w:tcW w:w="541" w:type="dxa"/>
                                  <w:tcBorders>
                                    <w:bottom w:val="single" w:sz="2" w:space="0" w:color="83AD40"/>
                                  </w:tcBorders>
                                  <w:tcMar>
                                    <w:bottom w:w="80" w:type="dxa"/>
                                  </w:tcMar>
                                  <w:vAlign w:val="center"/>
                                </w:tcPr>
                                <w:p>
                                  <w:pPr>
                                    <w:pStyle w:val="TableContents"/>
                                    <w:bidi w:val="0"/>
                                    <w:spacing w:before="0" w:after="283"/>
                                    <w:jc w:val="right"/>
                                    <w:rPr/>
                                  </w:pPr>
                                  <w:hyperlink w:anchor="tACM">
                                    <w:r>
                                      <w:rPr>
                                        <w:rStyle w:val="InternetLink"/>
                                        <w:color w:val="83AD40"/>
                                        <w:spacing w:val="-2"/>
                                      </w:rPr>
                                      <w:t>82</w:t>
                                    </w:r>
                                  </w:hyperlink>
                                  <w:r>
                                    <w:rPr/>
                                    <w:t xml:space="preserve"> </w:t>
                                  </w:r>
                                </w:p>
                              </w:tc>
                              <w:tc>
                                <w:tcPr>
                                  <w:tcW w:w="109" w:type="dxa"/>
                                  <w:tcBorders>
                                    <w:bottom w:val="single" w:sz="2" w:space="0" w:color="83AD40"/>
                                  </w:tcBorders>
                                  <w:vAlign w:val="center"/>
                                </w:tcPr>
                                <w:p>
                                  <w:pPr>
                                    <w:pStyle w:val="TableContents"/>
                                    <w:bidi w:val="0"/>
                                    <w:spacing w:before="0" w:after="283"/>
                                    <w:jc w:val="left"/>
                                    <w:rPr/>
                                  </w:pPr>
                                  <w:r>
                                    <w:rPr/>
                                    <w:t>​</w:t>
                                  </w:r>
                                </w:p>
                              </w:tc>
                              <w:tc>
                                <w:tcPr>
                                  <w:tcW w:w="154" w:type="dxa"/>
                                  <w:tcBorders>
                                    <w:bottom w:val="single" w:sz="2" w:space="0" w:color="83AD40"/>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687" w:type="dxa"/>
                                  <w:gridSpan w:val="4"/>
                                  <w:tcBorders/>
                                  <w:tcMar>
                                    <w:bottom w:w="0" w:type="dxa"/>
                                  </w:tcMar>
                                  <w:vAlign w:val="center"/>
                                </w:tcPr>
                                <w:p>
                                  <w:pPr>
                                    <w:pStyle w:val="TableContents"/>
                                    <w:bidi w:val="0"/>
                                    <w:spacing w:before="0" w:after="283"/>
                                    <w:jc w:val="left"/>
                                    <w:rPr/>
                                  </w:pPr>
                                  <w:hyperlink w:anchor="tACR">
                                    <w:r>
                                      <w:rPr>
                                        <w:rStyle w:val="InternetLink"/>
                                        <w:color w:val="1F2668"/>
                                        <w:spacing w:val="-2"/>
                                      </w:rPr>
                                      <w:t>Audit Committee Report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hyperlink w:anchor="tACR">
                                    <w:r>
                                      <w:rPr>
                                        <w:rStyle w:val="InternetLink"/>
                                        <w:color w:val="1F2668"/>
                                        <w:spacing w:val="-2"/>
                                      </w:rPr>
                                      <w:t>82</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E9F9D8" w:val="clear"/>
                                  <w:tcMar>
                                    <w:bottom w:w="0" w:type="dxa"/>
                                  </w:tcMar>
                                  <w:vAlign w:val="center"/>
                                </w:tcPr>
                                <w:p>
                                  <w:pPr>
                                    <w:pStyle w:val="TableContents"/>
                                    <w:bidi w:val="0"/>
                                    <w:spacing w:before="0" w:after="283"/>
                                    <w:jc w:val="left"/>
                                    <w:rPr/>
                                  </w:pPr>
                                  <w:r>
                                    <w:rPr/>
                                    <w:t>​</w:t>
                                  </w:r>
                                </w:p>
                              </w:tc>
                              <w:tc>
                                <w:tcPr>
                                  <w:tcW w:w="6512" w:type="dxa"/>
                                  <w:tcBorders/>
                                  <w:shd w:fill="E9F9D8" w:val="clear"/>
                                  <w:tcMar>
                                    <w:bottom w:w="0" w:type="dxa"/>
                                  </w:tcMar>
                                  <w:vAlign w:val="center"/>
                                </w:tcPr>
                                <w:p>
                                  <w:pPr>
                                    <w:pStyle w:val="TableContents"/>
                                    <w:bidi w:val="0"/>
                                    <w:spacing w:lineRule="atLeast" w:line="220" w:before="0" w:after="0"/>
                                    <w:jc w:val="left"/>
                                    <w:rPr/>
                                  </w:pPr>
                                  <w:hyperlink w:anchor="tPR3">
                                    <w:r>
                                      <w:rPr>
                                        <w:rStyle w:val="InternetLink"/>
                                        <w:color w:val="1F2668"/>
                                        <w:spacing w:val="-2"/>
                                      </w:rPr>
                                      <w:t xml:space="preserve">Proposal 3: Ratification of Appointment of </w:t>
                                      <w:br/>
                                      <w:t xml:space="preserve">Independent Registered Public Accounting </w:t>
                                      <w:br/>
                                      <w:t>Firm</w:t>
                                    </w:r>
                                  </w:hyperlink>
                                  <w:r>
                                    <w:rPr/>
                                    <w:t xml:space="preserve"> </w:t>
                                  </w:r>
                                </w:p>
                              </w:tc>
                              <w:tc>
                                <w:tcPr>
                                  <w:tcW w:w="169" w:type="dxa"/>
                                  <w:tcBorders/>
                                  <w:shd w:fill="E9F9D8" w:val="clear"/>
                                  <w:tcMar>
                                    <w:bottom w:w="0" w:type="dxa"/>
                                  </w:tcMar>
                                  <w:vAlign w:val="center"/>
                                </w:tcPr>
                                <w:p>
                                  <w:pPr>
                                    <w:pStyle w:val="TableContents"/>
                                    <w:bidi w:val="0"/>
                                    <w:spacing w:before="0" w:after="283"/>
                                    <w:jc w:val="left"/>
                                    <w:rPr/>
                                  </w:pPr>
                                  <w:r>
                                    <w:rPr/>
                                    <w:t>​</w:t>
                                  </w:r>
                                </w:p>
                              </w:tc>
                              <w:tc>
                                <w:tcPr>
                                  <w:tcW w:w="169" w:type="dxa"/>
                                  <w:tcBorders/>
                                  <w:shd w:fill="E9F9D8" w:val="clear"/>
                                  <w:tcMar>
                                    <w:bottom w:w="0" w:type="dxa"/>
                                  </w:tcMar>
                                  <w:vAlign w:val="center"/>
                                </w:tcPr>
                                <w:p>
                                  <w:pPr>
                                    <w:pStyle w:val="TableContents"/>
                                    <w:bidi w:val="0"/>
                                    <w:spacing w:before="0" w:after="283"/>
                                    <w:jc w:val="left"/>
                                    <w:rPr/>
                                  </w:pPr>
                                  <w:r>
                                    <w:rPr/>
                                    <w:t>​</w:t>
                                  </w:r>
                                </w:p>
                              </w:tc>
                              <w:tc>
                                <w:tcPr>
                                  <w:tcW w:w="837" w:type="dxa"/>
                                  <w:tcBorders/>
                                  <w:shd w:fill="E9F9D8" w:val="clear"/>
                                  <w:tcMar>
                                    <w:bottom w:w="0" w:type="dxa"/>
                                  </w:tcMar>
                                  <w:vAlign w:val="center"/>
                                </w:tcPr>
                                <w:p>
                                  <w:pPr>
                                    <w:pStyle w:val="TableContents"/>
                                    <w:bidi w:val="0"/>
                                    <w:spacing w:before="0" w:after="0"/>
                                    <w:jc w:val="center"/>
                                    <w:rPr/>
                                  </w:pPr>
                                  <w:r>
                                    <w:rPr/>
                                    <w:drawing>
                                      <wp:inline distT="0" distB="0" distL="0" distR="0">
                                        <wp:extent cx="247650" cy="247650"/>
                                        <wp:effectExtent l="0" t="0" r="0" b="0"/>
                                        <wp:docPr id="105" name="Image40" descr="">
                                          <a:hlinkClick xmlns:a="http://schemas.openxmlformats.org/drawingml/2006/main" r:id="rId4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40" descr="">
                                                  <a:hlinkClick r:id="rId48"/>
                                                </pic:cNvPr>
                                                <pic:cNvPicPr>
                                                  <a:picLocks noChangeAspect="1" noChangeArrowheads="1"/>
                                                </pic:cNvPicPr>
                                              </pic:nvPicPr>
                                              <pic:blipFill>
                                                <a:blip r:embed="rId47"/>
                                                <a:stretch>
                                                  <a:fillRect/>
                                                </a:stretch>
                                              </pic:blipFill>
                                              <pic:spPr bwMode="auto">
                                                <a:xfrm>
                                                  <a:off x="0" y="0"/>
                                                  <a:ext cx="247650" cy="247650"/>
                                                </a:xfrm>
                                                <a:prstGeom prst="rect">
                                                  <a:avLst/>
                                                </a:prstGeom>
                                                <a:ln w="9525">
                                                  <a:solidFill>
                                                    <a:srgbClr val="000080"/>
                                                  </a:solidFill>
                                                </a:ln>
                                              </pic:spPr>
                                            </pic:pic>
                                          </a:graphicData>
                                        </a:graphic>
                                      </wp:inline>
                                    </w:drawing>
                                  </w:r>
                                  <w:hyperlink w:anchor="tPR3">
                                    <w:r>
                                      <w:rPr>
                                        <w:rStyle w:val="InternetLink"/>
                                      </w:rPr>
                                      <w:t xml:space="preserve"> </w:t>
                                    </w:r>
                                  </w:hyperlink>
                                </w:p>
                              </w:tc>
                              <w:tc>
                                <w:tcPr>
                                  <w:tcW w:w="109" w:type="dxa"/>
                                  <w:tcBorders/>
                                  <w:shd w:fill="E9F9D8" w:val="clear"/>
                                  <w:tcMar>
                                    <w:bottom w:w="0" w:type="dxa"/>
                                  </w:tcMar>
                                  <w:vAlign w:val="center"/>
                                </w:tcPr>
                                <w:p>
                                  <w:pPr>
                                    <w:pStyle w:val="TableContents"/>
                                    <w:bidi w:val="0"/>
                                    <w:spacing w:before="0" w:after="283"/>
                                    <w:jc w:val="left"/>
                                    <w:rPr/>
                                  </w:pPr>
                                  <w:r>
                                    <w:rPr/>
                                    <w:t>​</w:t>
                                  </w:r>
                                </w:p>
                              </w:tc>
                              <w:tc>
                                <w:tcPr>
                                  <w:tcW w:w="109" w:type="dxa"/>
                                  <w:tcBorders/>
                                  <w:shd w:fill="E9F9D8" w:val="clear"/>
                                  <w:tcMar>
                                    <w:bottom w:w="0" w:type="dxa"/>
                                  </w:tcMar>
                                  <w:vAlign w:val="center"/>
                                </w:tcPr>
                                <w:p>
                                  <w:pPr>
                                    <w:pStyle w:val="TableContents"/>
                                    <w:bidi w:val="0"/>
                                    <w:spacing w:before="0" w:after="283"/>
                                    <w:jc w:val="left"/>
                                    <w:rPr/>
                                  </w:pPr>
                                  <w:r>
                                    <w:rPr/>
                                    <w:t>​</w:t>
                                  </w:r>
                                </w:p>
                              </w:tc>
                              <w:tc>
                                <w:tcPr>
                                  <w:tcW w:w="109" w:type="dxa"/>
                                  <w:tcBorders/>
                                  <w:shd w:fill="E9F9D8" w:val="clear"/>
                                  <w:tcMar>
                                    <w:bottom w:w="0" w:type="dxa"/>
                                  </w:tcMar>
                                  <w:vAlign w:val="center"/>
                                </w:tcPr>
                                <w:p>
                                  <w:pPr>
                                    <w:pStyle w:val="TableContents"/>
                                    <w:bidi w:val="0"/>
                                    <w:spacing w:before="0" w:after="283"/>
                                    <w:jc w:val="left"/>
                                    <w:rPr/>
                                  </w:pPr>
                                  <w:r>
                                    <w:rPr/>
                                    <w:t>​</w:t>
                                  </w:r>
                                </w:p>
                              </w:tc>
                              <w:tc>
                                <w:tcPr>
                                  <w:tcW w:w="109" w:type="dxa"/>
                                  <w:tcBorders/>
                                  <w:shd w:fill="E9F9D8" w:val="clear"/>
                                  <w:tcMar>
                                    <w:bottom w:w="0" w:type="dxa"/>
                                  </w:tcMar>
                                  <w:vAlign w:val="center"/>
                                </w:tcPr>
                                <w:p>
                                  <w:pPr>
                                    <w:pStyle w:val="TableContents"/>
                                    <w:bidi w:val="0"/>
                                    <w:spacing w:before="0" w:after="283"/>
                                    <w:jc w:val="right"/>
                                    <w:rPr/>
                                  </w:pPr>
                                  <w:r>
                                    <w:rPr/>
                                    <w:t>​</w:t>
                                  </w:r>
                                </w:p>
                              </w:tc>
                              <w:tc>
                                <w:tcPr>
                                  <w:tcW w:w="541" w:type="dxa"/>
                                  <w:tcBorders/>
                                  <w:shd w:fill="E9F9D8" w:val="clear"/>
                                  <w:tcMar>
                                    <w:bottom w:w="0" w:type="dxa"/>
                                  </w:tcMar>
                                  <w:vAlign w:val="center"/>
                                </w:tcPr>
                                <w:p>
                                  <w:pPr>
                                    <w:pStyle w:val="TableContents"/>
                                    <w:bidi w:val="0"/>
                                    <w:spacing w:before="0" w:after="283"/>
                                    <w:jc w:val="right"/>
                                    <w:rPr/>
                                  </w:pPr>
                                  <w:hyperlink w:anchor="tPR3">
                                    <w:r>
                                      <w:rPr>
                                        <w:rStyle w:val="InternetLink"/>
                                        <w:color w:val="1F2668"/>
                                        <w:spacing w:val="-2"/>
                                      </w:rPr>
                                      <w:t>83</w:t>
                                    </w:r>
                                  </w:hyperlink>
                                  <w:r>
                                    <w:rPr/>
                                    <w:t xml:space="preserve"> </w:t>
                                  </w:r>
                                </w:p>
                              </w:tc>
                              <w:tc>
                                <w:tcPr>
                                  <w:tcW w:w="109" w:type="dxa"/>
                                  <w:tcBorders/>
                                  <w:shd w:fill="E9F9D8" w:val="clear"/>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687" w:type="dxa"/>
                                  <w:gridSpan w:val="4"/>
                                  <w:tcBorders/>
                                  <w:tcMar>
                                    <w:bottom w:w="0" w:type="dxa"/>
                                  </w:tcMar>
                                  <w:vAlign w:val="center"/>
                                </w:tcPr>
                                <w:p>
                                  <w:pPr>
                                    <w:pStyle w:val="TableContents"/>
                                    <w:bidi w:val="0"/>
                                    <w:spacing w:before="0" w:after="0"/>
                                    <w:jc w:val="left"/>
                                    <w:rPr/>
                                  </w:pPr>
                                  <w:hyperlink w:anchor="tPPAP">
                                    <w:r>
                                      <w:rPr>
                                        <w:rStyle w:val="InternetLink"/>
                                        <w:color w:val="1F2668"/>
                                        <w:spacing w:val="-2"/>
                                      </w:rPr>
                                      <w:t>Pre-Approval Policies and Procedures of our Audit Committee</w:t>
                                    </w:r>
                                  </w:hyperlink>
                                  <w:r>
                                    <w:rPr>
                                      <w:color w:val="1F2668"/>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hyperlink w:anchor="tPPAP">
                                    <w:r>
                                      <w:rPr>
                                        <w:rStyle w:val="InternetLink"/>
                                        <w:color w:val="1F2668"/>
                                        <w:spacing w:val="-2"/>
                                      </w:rPr>
                                      <w:t>84</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687" w:type="dxa"/>
                                  <w:gridSpan w:val="4"/>
                                  <w:tcBorders/>
                                  <w:tcMar>
                                    <w:bottom w:w="0" w:type="dxa"/>
                                  </w:tcMar>
                                  <w:vAlign w:val="center"/>
                                </w:tcPr>
                                <w:p>
                                  <w:pPr>
                                    <w:pStyle w:val="TableContents"/>
                                    <w:bidi w:val="0"/>
                                    <w:spacing w:before="0" w:after="283"/>
                                    <w:jc w:val="left"/>
                                    <w:rPr/>
                                  </w:pPr>
                                  <w:hyperlink w:anchor="tFEDI">
                                    <w:r>
                                      <w:rPr>
                                        <w:rStyle w:val="InternetLink"/>
                                        <w:color w:val="1F2668"/>
                                        <w:spacing w:val="-2"/>
                                      </w:rPr>
                                      <w:t>Fee Disclosure</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hyperlink w:anchor="tFEDI">
                                    <w:r>
                                      <w:rPr>
                                        <w:rStyle w:val="InternetLink"/>
                                        <w:color w:val="1F2668"/>
                                        <w:spacing w:val="-2"/>
                                      </w:rPr>
                                      <w:t>84</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83AD40"/>
                                  </w:tcBorders>
                                  <w:vAlign w:val="center"/>
                                </w:tcPr>
                                <w:p>
                                  <w:pPr>
                                    <w:pStyle w:val="TableContents"/>
                                    <w:bidi w:val="0"/>
                                    <w:spacing w:before="0" w:after="283"/>
                                    <w:jc w:val="left"/>
                                    <w:rPr/>
                                  </w:pPr>
                                  <w:r>
                                    <w:rPr/>
                                    <w:t>​</w:t>
                                  </w:r>
                                </w:p>
                              </w:tc>
                              <w:tc>
                                <w:tcPr>
                                  <w:tcW w:w="7687" w:type="dxa"/>
                                  <w:gridSpan w:val="4"/>
                                  <w:tcBorders>
                                    <w:bottom w:val="single" w:sz="2" w:space="0" w:color="83AD40"/>
                                  </w:tcBorders>
                                  <w:tcMar>
                                    <w:bottom w:w="67" w:type="dxa"/>
                                  </w:tcMar>
                                  <w:vAlign w:val="center"/>
                                </w:tcPr>
                                <w:p>
                                  <w:pPr>
                                    <w:pStyle w:val="TableContents"/>
                                    <w:bidi w:val="0"/>
                                    <w:spacing w:before="0" w:after="283"/>
                                    <w:jc w:val="left"/>
                                    <w:rPr/>
                                  </w:pPr>
                                  <w:hyperlink w:anchor="tSOI">
                                    <w:r>
                                      <w:rPr>
                                        <w:rStyle w:val="InternetLink"/>
                                        <w:color w:val="83AD40"/>
                                        <w:spacing w:val="-2"/>
                                      </w:rPr>
                                      <w:t>STOCK OWNERSHIP INFORMATION</w:t>
                                    </w:r>
                                  </w:hyperlink>
                                  <w:r>
                                    <w:rPr/>
                                    <w:t xml:space="preserve"> </w:t>
                                  </w:r>
                                </w:p>
                              </w:tc>
                              <w:tc>
                                <w:tcPr>
                                  <w:tcW w:w="109" w:type="dxa"/>
                                  <w:tcBorders>
                                    <w:bottom w:val="single" w:sz="2" w:space="0" w:color="83AD40"/>
                                  </w:tcBorders>
                                  <w:vAlign w:val="center"/>
                                </w:tcPr>
                                <w:p>
                                  <w:pPr>
                                    <w:pStyle w:val="TableContents"/>
                                    <w:bidi w:val="0"/>
                                    <w:spacing w:before="0" w:after="283"/>
                                    <w:jc w:val="left"/>
                                    <w:rPr/>
                                  </w:pPr>
                                  <w:r>
                                    <w:rPr/>
                                    <w:t>​</w:t>
                                  </w:r>
                                </w:p>
                              </w:tc>
                              <w:tc>
                                <w:tcPr>
                                  <w:tcW w:w="109" w:type="dxa"/>
                                  <w:tcBorders>
                                    <w:bottom w:val="single" w:sz="2" w:space="0" w:color="83AD40"/>
                                  </w:tcBorders>
                                  <w:vAlign w:val="center"/>
                                </w:tcPr>
                                <w:p>
                                  <w:pPr>
                                    <w:pStyle w:val="TableContents"/>
                                    <w:bidi w:val="0"/>
                                    <w:spacing w:before="0" w:after="283"/>
                                    <w:jc w:val="left"/>
                                    <w:rPr/>
                                  </w:pPr>
                                  <w:r>
                                    <w:rPr/>
                                    <w:t>​</w:t>
                                  </w:r>
                                </w:p>
                              </w:tc>
                              <w:tc>
                                <w:tcPr>
                                  <w:tcW w:w="109" w:type="dxa"/>
                                  <w:tcBorders>
                                    <w:bottom w:val="single" w:sz="2" w:space="0" w:color="83AD40"/>
                                  </w:tcBorders>
                                  <w:vAlign w:val="center"/>
                                </w:tcPr>
                                <w:p>
                                  <w:pPr>
                                    <w:pStyle w:val="TableContents"/>
                                    <w:bidi w:val="0"/>
                                    <w:spacing w:before="0" w:after="283"/>
                                    <w:jc w:val="left"/>
                                    <w:rPr/>
                                  </w:pPr>
                                  <w:r>
                                    <w:rPr/>
                                    <w:t>​</w:t>
                                  </w:r>
                                </w:p>
                              </w:tc>
                              <w:tc>
                                <w:tcPr>
                                  <w:tcW w:w="109" w:type="dxa"/>
                                  <w:tcBorders>
                                    <w:bottom w:val="single" w:sz="2" w:space="0" w:color="83AD40"/>
                                  </w:tcBorders>
                                  <w:tcMar>
                                    <w:bottom w:w="67" w:type="dxa"/>
                                  </w:tcMar>
                                  <w:vAlign w:val="center"/>
                                </w:tcPr>
                                <w:p>
                                  <w:pPr>
                                    <w:pStyle w:val="TableContents"/>
                                    <w:bidi w:val="0"/>
                                    <w:spacing w:before="0" w:after="0"/>
                                    <w:jc w:val="right"/>
                                    <w:rPr>
                                      <w:color w:val="83AD40"/>
                                    </w:rPr>
                                  </w:pPr>
                                  <w:r>
                                    <w:rPr>
                                      <w:color w:val="83AD40"/>
                                    </w:rPr>
                                    <w:t>​</w:t>
                                  </w:r>
                                </w:p>
                              </w:tc>
                              <w:tc>
                                <w:tcPr>
                                  <w:tcW w:w="541" w:type="dxa"/>
                                  <w:tcBorders>
                                    <w:bottom w:val="single" w:sz="2" w:space="0" w:color="83AD40"/>
                                  </w:tcBorders>
                                  <w:tcMar>
                                    <w:bottom w:w="67" w:type="dxa"/>
                                  </w:tcMar>
                                  <w:vAlign w:val="center"/>
                                </w:tcPr>
                                <w:p>
                                  <w:pPr>
                                    <w:pStyle w:val="TableContents"/>
                                    <w:bidi w:val="0"/>
                                    <w:spacing w:before="0" w:after="0"/>
                                    <w:jc w:val="right"/>
                                    <w:rPr/>
                                  </w:pPr>
                                  <w:hyperlink w:anchor="tSOI">
                                    <w:r>
                                      <w:rPr>
                                        <w:rStyle w:val="InternetLink"/>
                                        <w:color w:val="83AD40"/>
                                        <w:spacing w:val="-2"/>
                                      </w:rPr>
                                      <w:t>85</w:t>
                                    </w:r>
                                  </w:hyperlink>
                                  <w:r>
                                    <w:rPr>
                                      <w:color w:val="83AD40"/>
                                    </w:rPr>
                                    <w:t xml:space="preserve"> </w:t>
                                  </w:r>
                                </w:p>
                              </w:tc>
                              <w:tc>
                                <w:tcPr>
                                  <w:tcW w:w="109" w:type="dxa"/>
                                  <w:tcBorders>
                                    <w:bottom w:val="single" w:sz="2" w:space="0" w:color="83AD40"/>
                                  </w:tcBorders>
                                  <w:vAlign w:val="center"/>
                                </w:tcPr>
                                <w:p>
                                  <w:pPr>
                                    <w:pStyle w:val="TableContents"/>
                                    <w:bidi w:val="0"/>
                                    <w:spacing w:before="0" w:after="283"/>
                                    <w:jc w:val="left"/>
                                    <w:rPr/>
                                  </w:pPr>
                                  <w:r>
                                    <w:rPr/>
                                    <w:t>​</w:t>
                                  </w:r>
                                </w:p>
                              </w:tc>
                              <w:tc>
                                <w:tcPr>
                                  <w:tcW w:w="154" w:type="dxa"/>
                                  <w:tcBorders>
                                    <w:bottom w:val="single" w:sz="2" w:space="0" w:color="83AD40"/>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687" w:type="dxa"/>
                                  <w:gridSpan w:val="4"/>
                                  <w:tcBorders/>
                                  <w:tcMar>
                                    <w:bottom w:w="0" w:type="dxa"/>
                                  </w:tcMar>
                                  <w:vAlign w:val="center"/>
                                </w:tcPr>
                                <w:p>
                                  <w:pPr>
                                    <w:pStyle w:val="TableContents"/>
                                    <w:bidi w:val="0"/>
                                    <w:spacing w:before="0" w:after="283"/>
                                    <w:jc w:val="left"/>
                                    <w:rPr/>
                                  </w:pPr>
                                  <w:hyperlink w:anchor="tSOOC">
                                    <w:r>
                                      <w:rPr>
                                        <w:rStyle w:val="InternetLink"/>
                                        <w:color w:val="1F2668"/>
                                        <w:spacing w:val="-2"/>
                                      </w:rPr>
                                      <w:t>Security Ownership of Certain Beneficial Owners and Management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hyperlink w:anchor="tSOOC">
                                    <w:r>
                                      <w:rPr>
                                        <w:rStyle w:val="InternetLink"/>
                                        <w:color w:val="1F2668"/>
                                        <w:spacing w:val="-2"/>
                                      </w:rPr>
                                      <w:t>85</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687" w:type="dxa"/>
                                  <w:gridSpan w:val="4"/>
                                  <w:tcBorders/>
                                  <w:tcMar>
                                    <w:bottom w:w="0" w:type="dxa"/>
                                  </w:tcMar>
                                  <w:vAlign w:val="center"/>
                                </w:tcPr>
                                <w:p>
                                  <w:pPr>
                                    <w:pStyle w:val="TableContents"/>
                                    <w:bidi w:val="0"/>
                                    <w:spacing w:before="0" w:after="283"/>
                                    <w:jc w:val="left"/>
                                    <w:rPr/>
                                  </w:pPr>
                                  <w:hyperlink w:anchor="tDS1R">
                                    <w:r>
                                      <w:rPr>
                                        <w:rStyle w:val="InternetLink"/>
                                        <w:color w:val="1F2668"/>
                                        <w:spacing w:val="-2"/>
                                      </w:rPr>
                                      <w:t>Delinquent Section 16(a) Reports</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hyperlink w:anchor="tDS1R">
                                    <w:r>
                                      <w:rPr>
                                        <w:rStyle w:val="InternetLink"/>
                                        <w:color w:val="1F2668"/>
                                        <w:spacing w:val="-2"/>
                                      </w:rPr>
                                      <w:t>87</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83AD40"/>
                                  </w:tcBorders>
                                  <w:vAlign w:val="center"/>
                                </w:tcPr>
                                <w:p>
                                  <w:pPr>
                                    <w:pStyle w:val="TableContents"/>
                                    <w:bidi w:val="0"/>
                                    <w:spacing w:before="0" w:after="283"/>
                                    <w:jc w:val="left"/>
                                    <w:rPr/>
                                  </w:pPr>
                                  <w:r>
                                    <w:rPr/>
                                    <w:t>​</w:t>
                                  </w:r>
                                </w:p>
                              </w:tc>
                              <w:tc>
                                <w:tcPr>
                                  <w:tcW w:w="7687" w:type="dxa"/>
                                  <w:gridSpan w:val="4"/>
                                  <w:tcBorders>
                                    <w:bottom w:val="single" w:sz="2" w:space="0" w:color="83AD40"/>
                                  </w:tcBorders>
                                  <w:tcMar>
                                    <w:bottom w:w="67" w:type="dxa"/>
                                  </w:tcMar>
                                  <w:vAlign w:val="center"/>
                                </w:tcPr>
                                <w:p>
                                  <w:pPr>
                                    <w:pStyle w:val="TableContents"/>
                                    <w:bidi w:val="0"/>
                                    <w:spacing w:before="0" w:after="283"/>
                                    <w:jc w:val="left"/>
                                    <w:rPr/>
                                  </w:pPr>
                                  <w:hyperlink w:anchor="tCRAR">
                                    <w:r>
                                      <w:rPr>
                                        <w:rStyle w:val="InternetLink"/>
                                        <w:color w:val="83AD40"/>
                                        <w:spacing w:val="-2"/>
                                        <w:sz w:val="24"/>
                                      </w:rPr>
                                      <w:t>CERTAIN RELATIONSHIPS AND RELATED PARTY TRANSACTIONS</w:t>
                                    </w:r>
                                  </w:hyperlink>
                                  <w:r>
                                    <w:rPr/>
                                    <w:t xml:space="preserve"> </w:t>
                                  </w:r>
                                </w:p>
                              </w:tc>
                              <w:tc>
                                <w:tcPr>
                                  <w:tcW w:w="109" w:type="dxa"/>
                                  <w:tcBorders>
                                    <w:bottom w:val="single" w:sz="2" w:space="0" w:color="83AD40"/>
                                  </w:tcBorders>
                                  <w:vAlign w:val="center"/>
                                </w:tcPr>
                                <w:p>
                                  <w:pPr>
                                    <w:pStyle w:val="TableContents"/>
                                    <w:bidi w:val="0"/>
                                    <w:spacing w:before="0" w:after="283"/>
                                    <w:jc w:val="left"/>
                                    <w:rPr/>
                                  </w:pPr>
                                  <w:r>
                                    <w:rPr/>
                                    <w:t>​</w:t>
                                  </w:r>
                                </w:p>
                              </w:tc>
                              <w:tc>
                                <w:tcPr>
                                  <w:tcW w:w="109" w:type="dxa"/>
                                  <w:tcBorders>
                                    <w:bottom w:val="single" w:sz="2" w:space="0" w:color="83AD40"/>
                                  </w:tcBorders>
                                  <w:vAlign w:val="center"/>
                                </w:tcPr>
                                <w:p>
                                  <w:pPr>
                                    <w:pStyle w:val="TableContents"/>
                                    <w:bidi w:val="0"/>
                                    <w:spacing w:before="0" w:after="283"/>
                                    <w:jc w:val="left"/>
                                    <w:rPr/>
                                  </w:pPr>
                                  <w:r>
                                    <w:rPr/>
                                    <w:t>​</w:t>
                                  </w:r>
                                </w:p>
                              </w:tc>
                              <w:tc>
                                <w:tcPr>
                                  <w:tcW w:w="109" w:type="dxa"/>
                                  <w:tcBorders>
                                    <w:bottom w:val="single" w:sz="2" w:space="0" w:color="83AD40"/>
                                  </w:tcBorders>
                                  <w:vAlign w:val="center"/>
                                </w:tcPr>
                                <w:p>
                                  <w:pPr>
                                    <w:pStyle w:val="TableContents"/>
                                    <w:bidi w:val="0"/>
                                    <w:spacing w:before="0" w:after="283"/>
                                    <w:jc w:val="left"/>
                                    <w:rPr/>
                                  </w:pPr>
                                  <w:r>
                                    <w:rPr/>
                                    <w:t>​</w:t>
                                  </w:r>
                                </w:p>
                              </w:tc>
                              <w:tc>
                                <w:tcPr>
                                  <w:tcW w:w="109" w:type="dxa"/>
                                  <w:tcBorders>
                                    <w:bottom w:val="single" w:sz="2" w:space="0" w:color="83AD40"/>
                                  </w:tcBorders>
                                  <w:tcMar>
                                    <w:bottom w:w="67" w:type="dxa"/>
                                  </w:tcMar>
                                  <w:vAlign w:val="center"/>
                                </w:tcPr>
                                <w:p>
                                  <w:pPr>
                                    <w:pStyle w:val="TableContents"/>
                                    <w:bidi w:val="0"/>
                                    <w:spacing w:before="0" w:after="0"/>
                                    <w:jc w:val="right"/>
                                    <w:rPr/>
                                  </w:pPr>
                                  <w:r>
                                    <w:rPr/>
                                    <w:t>​</w:t>
                                  </w:r>
                                </w:p>
                              </w:tc>
                              <w:tc>
                                <w:tcPr>
                                  <w:tcW w:w="541" w:type="dxa"/>
                                  <w:tcBorders>
                                    <w:bottom w:val="single" w:sz="2" w:space="0" w:color="83AD40"/>
                                  </w:tcBorders>
                                  <w:tcMar>
                                    <w:bottom w:w="67" w:type="dxa"/>
                                  </w:tcMar>
                                  <w:vAlign w:val="center"/>
                                </w:tcPr>
                                <w:p>
                                  <w:pPr>
                                    <w:pStyle w:val="TableContents"/>
                                    <w:bidi w:val="0"/>
                                    <w:spacing w:before="0" w:after="0"/>
                                    <w:jc w:val="right"/>
                                    <w:rPr/>
                                  </w:pPr>
                                  <w:hyperlink w:anchor="tCRAR">
                                    <w:r>
                                      <w:rPr>
                                        <w:rStyle w:val="InternetLink"/>
                                        <w:color w:val="83AD40"/>
                                        <w:spacing w:val="-2"/>
                                        <w:sz w:val="24"/>
                                      </w:rPr>
                                      <w:t>88</w:t>
                                    </w:r>
                                  </w:hyperlink>
                                  <w:r>
                                    <w:rPr>
                                      <w:sz w:val="24"/>
                                    </w:rPr>
                                    <w:t xml:space="preserve"> </w:t>
                                  </w:r>
                                </w:p>
                              </w:tc>
                              <w:tc>
                                <w:tcPr>
                                  <w:tcW w:w="109" w:type="dxa"/>
                                  <w:tcBorders>
                                    <w:bottom w:val="single" w:sz="2" w:space="0" w:color="83AD40"/>
                                  </w:tcBorders>
                                  <w:vAlign w:val="center"/>
                                </w:tcPr>
                                <w:p>
                                  <w:pPr>
                                    <w:pStyle w:val="TableContents"/>
                                    <w:bidi w:val="0"/>
                                    <w:spacing w:before="0" w:after="283"/>
                                    <w:jc w:val="left"/>
                                    <w:rPr/>
                                  </w:pPr>
                                  <w:r>
                                    <w:rPr/>
                                    <w:t>​</w:t>
                                  </w:r>
                                </w:p>
                              </w:tc>
                              <w:tc>
                                <w:tcPr>
                                  <w:tcW w:w="154" w:type="dxa"/>
                                  <w:tcBorders>
                                    <w:bottom w:val="single" w:sz="2" w:space="0" w:color="83AD40"/>
                                  </w:tcBorders>
                                  <w:vAlign w:val="center"/>
                                </w:tcPr>
                                <w:p>
                                  <w:pPr>
                                    <w:pStyle w:val="TableContents"/>
                                    <w:bidi w:val="0"/>
                                    <w:spacing w:before="0" w:after="283"/>
                                    <w:jc w:val="left"/>
                                    <w:rPr/>
                                  </w:pPr>
                                  <w:r>
                                    <w:rPr/>
                                    <w:t>​</w:t>
                                  </w:r>
                                </w:p>
                              </w:tc>
                            </w:tr>
                            <w:tr>
                              <w:trPr/>
                              <w:tc>
                                <w:tcPr>
                                  <w:tcW w:w="124" w:type="dxa"/>
                                  <w:tcBorders>
                                    <w:bottom w:val="single" w:sz="2" w:space="0" w:color="83AD40"/>
                                  </w:tcBorders>
                                  <w:vAlign w:val="center"/>
                                </w:tcPr>
                                <w:p>
                                  <w:pPr>
                                    <w:pStyle w:val="TableContents"/>
                                    <w:bidi w:val="0"/>
                                    <w:spacing w:before="0" w:after="283"/>
                                    <w:jc w:val="left"/>
                                    <w:rPr/>
                                  </w:pPr>
                                  <w:r>
                                    <w:rPr/>
                                    <w:t>​</w:t>
                                  </w:r>
                                </w:p>
                              </w:tc>
                              <w:tc>
                                <w:tcPr>
                                  <w:tcW w:w="7687" w:type="dxa"/>
                                  <w:gridSpan w:val="4"/>
                                  <w:tcBorders>
                                    <w:bottom w:val="single" w:sz="2" w:space="0" w:color="83AD40"/>
                                  </w:tcBorders>
                                  <w:tcMar>
                                    <w:bottom w:w="80" w:type="dxa"/>
                                  </w:tcMar>
                                  <w:vAlign w:val="center"/>
                                </w:tcPr>
                                <w:p>
                                  <w:pPr>
                                    <w:pStyle w:val="TableContents"/>
                                    <w:bidi w:val="0"/>
                                    <w:spacing w:before="0" w:after="283"/>
                                    <w:jc w:val="left"/>
                                    <w:rPr/>
                                  </w:pPr>
                                  <w:hyperlink w:anchor="tOTIN">
                                    <w:r>
                                      <w:rPr>
                                        <w:rStyle w:val="InternetLink"/>
                                        <w:color w:val="83AD40"/>
                                        <w:spacing w:val="-2"/>
                                      </w:rPr>
                                      <w:t>OTHER INFORMATION</w:t>
                                    </w:r>
                                  </w:hyperlink>
                                  <w:hyperlink w:anchor="tOTIN">
                                    <w:r>
                                      <w:rPr>
                                        <w:rStyle w:val="InternetLink"/>
                                        <w:color w:val="1F2668"/>
                                      </w:rPr>
                                      <w:t>​</w:t>
                                    </w:r>
                                  </w:hyperlink>
                                  <w:r>
                                    <w:rPr/>
                                    <w:t xml:space="preserve"> </w:t>
                                  </w:r>
                                </w:p>
                              </w:tc>
                              <w:tc>
                                <w:tcPr>
                                  <w:tcW w:w="109" w:type="dxa"/>
                                  <w:tcBorders>
                                    <w:bottom w:val="single" w:sz="2" w:space="0" w:color="83AD40"/>
                                  </w:tcBorders>
                                  <w:vAlign w:val="center"/>
                                </w:tcPr>
                                <w:p>
                                  <w:pPr>
                                    <w:pStyle w:val="TableContents"/>
                                    <w:bidi w:val="0"/>
                                    <w:spacing w:before="0" w:after="283"/>
                                    <w:jc w:val="left"/>
                                    <w:rPr/>
                                  </w:pPr>
                                  <w:r>
                                    <w:rPr/>
                                    <w:t>​</w:t>
                                  </w:r>
                                </w:p>
                              </w:tc>
                              <w:tc>
                                <w:tcPr>
                                  <w:tcW w:w="109" w:type="dxa"/>
                                  <w:tcBorders>
                                    <w:bottom w:val="single" w:sz="2" w:space="0" w:color="83AD40"/>
                                  </w:tcBorders>
                                  <w:vAlign w:val="center"/>
                                </w:tcPr>
                                <w:p>
                                  <w:pPr>
                                    <w:pStyle w:val="TableContents"/>
                                    <w:bidi w:val="0"/>
                                    <w:spacing w:before="0" w:after="283"/>
                                    <w:jc w:val="left"/>
                                    <w:rPr/>
                                  </w:pPr>
                                  <w:r>
                                    <w:rPr/>
                                    <w:t>​</w:t>
                                  </w:r>
                                </w:p>
                              </w:tc>
                              <w:tc>
                                <w:tcPr>
                                  <w:tcW w:w="109" w:type="dxa"/>
                                  <w:tcBorders>
                                    <w:bottom w:val="single" w:sz="2" w:space="0" w:color="83AD40"/>
                                  </w:tcBorders>
                                  <w:vAlign w:val="center"/>
                                </w:tcPr>
                                <w:p>
                                  <w:pPr>
                                    <w:pStyle w:val="TableContents"/>
                                    <w:bidi w:val="0"/>
                                    <w:spacing w:before="0" w:after="283"/>
                                    <w:jc w:val="left"/>
                                    <w:rPr/>
                                  </w:pPr>
                                  <w:r>
                                    <w:rPr/>
                                    <w:t>​</w:t>
                                  </w:r>
                                </w:p>
                              </w:tc>
                              <w:tc>
                                <w:tcPr>
                                  <w:tcW w:w="109" w:type="dxa"/>
                                  <w:tcBorders>
                                    <w:bottom w:val="single" w:sz="2" w:space="0" w:color="83AD40"/>
                                  </w:tcBorders>
                                  <w:tcMar>
                                    <w:bottom w:w="80" w:type="dxa"/>
                                  </w:tcMar>
                                  <w:vAlign w:val="center"/>
                                </w:tcPr>
                                <w:p>
                                  <w:pPr>
                                    <w:pStyle w:val="TableContents"/>
                                    <w:bidi w:val="0"/>
                                    <w:spacing w:before="0" w:after="283"/>
                                    <w:jc w:val="right"/>
                                    <w:rPr/>
                                  </w:pPr>
                                  <w:r>
                                    <w:rPr/>
                                    <w:t>​</w:t>
                                  </w:r>
                                </w:p>
                              </w:tc>
                              <w:tc>
                                <w:tcPr>
                                  <w:tcW w:w="541" w:type="dxa"/>
                                  <w:tcBorders>
                                    <w:bottom w:val="single" w:sz="2" w:space="0" w:color="83AD40"/>
                                  </w:tcBorders>
                                  <w:tcMar>
                                    <w:bottom w:w="80" w:type="dxa"/>
                                  </w:tcMar>
                                  <w:vAlign w:val="center"/>
                                </w:tcPr>
                                <w:p>
                                  <w:pPr>
                                    <w:pStyle w:val="TableContents"/>
                                    <w:bidi w:val="0"/>
                                    <w:spacing w:before="0" w:after="283"/>
                                    <w:jc w:val="right"/>
                                    <w:rPr/>
                                  </w:pPr>
                                  <w:hyperlink w:anchor="tOTIN">
                                    <w:r>
                                      <w:rPr>
                                        <w:rStyle w:val="InternetLink"/>
                                        <w:color w:val="83AD40"/>
                                        <w:spacing w:val="-2"/>
                                      </w:rPr>
                                      <w:t>90</w:t>
                                    </w:r>
                                  </w:hyperlink>
                                  <w:r>
                                    <w:rPr/>
                                    <w:t xml:space="preserve"> </w:t>
                                  </w:r>
                                </w:p>
                              </w:tc>
                              <w:tc>
                                <w:tcPr>
                                  <w:tcW w:w="109" w:type="dxa"/>
                                  <w:tcBorders>
                                    <w:bottom w:val="single" w:sz="2" w:space="0" w:color="83AD40"/>
                                  </w:tcBorders>
                                  <w:vAlign w:val="center"/>
                                </w:tcPr>
                                <w:p>
                                  <w:pPr>
                                    <w:pStyle w:val="TableContents"/>
                                    <w:bidi w:val="0"/>
                                    <w:spacing w:before="0" w:after="283"/>
                                    <w:jc w:val="left"/>
                                    <w:rPr/>
                                  </w:pPr>
                                  <w:r>
                                    <w:rPr/>
                                    <w:t>​</w:t>
                                  </w:r>
                                </w:p>
                              </w:tc>
                              <w:tc>
                                <w:tcPr>
                                  <w:tcW w:w="154" w:type="dxa"/>
                                  <w:tcBorders>
                                    <w:bottom w:val="single" w:sz="2" w:space="0" w:color="83AD40"/>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687" w:type="dxa"/>
                                  <w:gridSpan w:val="4"/>
                                  <w:tcBorders/>
                                  <w:tcMar>
                                    <w:bottom w:w="0" w:type="dxa"/>
                                  </w:tcMar>
                                  <w:vAlign w:val="center"/>
                                </w:tcPr>
                                <w:p>
                                  <w:pPr>
                                    <w:pStyle w:val="TableContents"/>
                                    <w:bidi w:val="0"/>
                                    <w:spacing w:before="0" w:after="283"/>
                                    <w:jc w:val="left"/>
                                    <w:rPr/>
                                  </w:pPr>
                                  <w:hyperlink w:anchor="tQAAA">
                                    <w:r>
                                      <w:rPr>
                                        <w:rStyle w:val="InternetLink"/>
                                        <w:color w:val="1F2668"/>
                                        <w:spacing w:val="-2"/>
                                      </w:rPr>
                                      <w:t>Questions and Answers about the Annual Meeting</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hyperlink w:anchor="tQAAA">
                                    <w:r>
                                      <w:rPr>
                                        <w:rStyle w:val="InternetLink"/>
                                        <w:color w:val="1F2668"/>
                                        <w:spacing w:val="-2"/>
                                      </w:rPr>
                                      <w:t>90</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687" w:type="dxa"/>
                                  <w:gridSpan w:val="4"/>
                                  <w:tcBorders/>
                                  <w:tcMar>
                                    <w:bottom w:w="0" w:type="dxa"/>
                                  </w:tcMar>
                                  <w:vAlign w:val="center"/>
                                </w:tcPr>
                                <w:p>
                                  <w:pPr>
                                    <w:pStyle w:val="TableContents"/>
                                    <w:bidi w:val="0"/>
                                    <w:spacing w:before="0" w:after="283"/>
                                    <w:jc w:val="left"/>
                                    <w:rPr/>
                                  </w:pPr>
                                  <w:hyperlink w:anchor="tOTMA">
                                    <w:r>
                                      <w:rPr>
                                        <w:rStyle w:val="InternetLink"/>
                                        <w:color w:val="1F2668"/>
                                        <w:spacing w:val="-2"/>
                                      </w:rPr>
                                      <w:t>Other Matters</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hyperlink w:anchor="tOTMA">
                                    <w:r>
                                      <w:rPr>
                                        <w:rStyle w:val="InternetLink"/>
                                        <w:color w:val="1F2668"/>
                                        <w:spacing w:val="-2"/>
                                      </w:rPr>
                                      <w:t>93</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83AD40"/>
                                  </w:tcBorders>
                                  <w:vAlign w:val="center"/>
                                </w:tcPr>
                                <w:p>
                                  <w:pPr>
                                    <w:pStyle w:val="TableContents"/>
                                    <w:bidi w:val="0"/>
                                    <w:spacing w:before="0" w:after="283"/>
                                    <w:jc w:val="left"/>
                                    <w:rPr/>
                                  </w:pPr>
                                  <w:r>
                                    <w:rPr/>
                                    <w:t>​</w:t>
                                  </w:r>
                                </w:p>
                              </w:tc>
                              <w:tc>
                                <w:tcPr>
                                  <w:tcW w:w="7687" w:type="dxa"/>
                                  <w:gridSpan w:val="4"/>
                                  <w:tcBorders>
                                    <w:bottom w:val="single" w:sz="2" w:space="0" w:color="83AD40"/>
                                  </w:tcBorders>
                                  <w:tcMar>
                                    <w:bottom w:w="80" w:type="dxa"/>
                                  </w:tcMar>
                                  <w:vAlign w:val="center"/>
                                </w:tcPr>
                                <w:p>
                                  <w:pPr>
                                    <w:pStyle w:val="TableContents"/>
                                    <w:bidi w:val="0"/>
                                    <w:spacing w:before="0" w:after="283"/>
                                    <w:jc w:val="left"/>
                                    <w:rPr/>
                                  </w:pPr>
                                  <w:hyperlink w:anchor="tAAF">
                                    <w:r>
                                      <w:rPr>
                                        <w:rStyle w:val="InternetLink"/>
                                        <w:color w:val="83AD40"/>
                                        <w:spacing w:val="-2"/>
                                      </w:rPr>
                                      <w:t>APPENDIX A:</w:t>
                                    </w:r>
                                  </w:hyperlink>
                                  <w:hyperlink w:anchor="tAAF">
                                    <w:r>
                                      <w:rPr>
                                        <w:rStyle w:val="InternetLink"/>
                                        <w:color w:val="1F2668"/>
                                      </w:rPr>
                                      <w:t>​</w:t>
                                    </w:r>
                                  </w:hyperlink>
                                  <w:r>
                                    <w:rPr/>
                                    <w:t xml:space="preserve"> </w:t>
                                  </w:r>
                                </w:p>
                              </w:tc>
                              <w:tc>
                                <w:tcPr>
                                  <w:tcW w:w="109" w:type="dxa"/>
                                  <w:tcBorders>
                                    <w:bottom w:val="single" w:sz="2" w:space="0" w:color="83AD40"/>
                                  </w:tcBorders>
                                  <w:vAlign w:val="center"/>
                                </w:tcPr>
                                <w:p>
                                  <w:pPr>
                                    <w:pStyle w:val="TableContents"/>
                                    <w:bidi w:val="0"/>
                                    <w:spacing w:before="0" w:after="283"/>
                                    <w:jc w:val="left"/>
                                    <w:rPr/>
                                  </w:pPr>
                                  <w:r>
                                    <w:rPr/>
                                    <w:t>​</w:t>
                                  </w:r>
                                </w:p>
                              </w:tc>
                              <w:tc>
                                <w:tcPr>
                                  <w:tcW w:w="109" w:type="dxa"/>
                                  <w:tcBorders>
                                    <w:bottom w:val="single" w:sz="2" w:space="0" w:color="83AD40"/>
                                  </w:tcBorders>
                                  <w:vAlign w:val="center"/>
                                </w:tcPr>
                                <w:p>
                                  <w:pPr>
                                    <w:pStyle w:val="TableContents"/>
                                    <w:bidi w:val="0"/>
                                    <w:spacing w:before="0" w:after="283"/>
                                    <w:jc w:val="left"/>
                                    <w:rPr/>
                                  </w:pPr>
                                  <w:r>
                                    <w:rPr/>
                                    <w:t>​</w:t>
                                  </w:r>
                                </w:p>
                              </w:tc>
                              <w:tc>
                                <w:tcPr>
                                  <w:tcW w:w="109" w:type="dxa"/>
                                  <w:tcBorders>
                                    <w:bottom w:val="single" w:sz="2" w:space="0" w:color="83AD40"/>
                                  </w:tcBorders>
                                  <w:vAlign w:val="center"/>
                                </w:tcPr>
                                <w:p>
                                  <w:pPr>
                                    <w:pStyle w:val="TableContents"/>
                                    <w:bidi w:val="0"/>
                                    <w:spacing w:before="0" w:after="283"/>
                                    <w:jc w:val="left"/>
                                    <w:rPr/>
                                  </w:pPr>
                                  <w:r>
                                    <w:rPr/>
                                    <w:t>​</w:t>
                                  </w:r>
                                </w:p>
                              </w:tc>
                              <w:tc>
                                <w:tcPr>
                                  <w:tcW w:w="109" w:type="dxa"/>
                                  <w:tcBorders>
                                    <w:bottom w:val="single" w:sz="2" w:space="0" w:color="83AD40"/>
                                  </w:tcBorders>
                                  <w:tcMar>
                                    <w:bottom w:w="80" w:type="dxa"/>
                                  </w:tcMar>
                                  <w:vAlign w:val="center"/>
                                </w:tcPr>
                                <w:p>
                                  <w:pPr>
                                    <w:pStyle w:val="TableContents"/>
                                    <w:bidi w:val="0"/>
                                    <w:spacing w:before="0" w:after="283"/>
                                    <w:jc w:val="right"/>
                                    <w:rPr/>
                                  </w:pPr>
                                  <w:r>
                                    <w:rPr/>
                                    <w:t>​</w:t>
                                  </w:r>
                                </w:p>
                              </w:tc>
                              <w:tc>
                                <w:tcPr>
                                  <w:tcW w:w="541" w:type="dxa"/>
                                  <w:tcBorders>
                                    <w:bottom w:val="single" w:sz="2" w:space="0" w:color="83AD40"/>
                                  </w:tcBorders>
                                  <w:tcMar>
                                    <w:bottom w:w="80" w:type="dxa"/>
                                  </w:tcMar>
                                  <w:vAlign w:val="center"/>
                                </w:tcPr>
                                <w:p>
                                  <w:pPr>
                                    <w:pStyle w:val="TableContents"/>
                                    <w:bidi w:val="0"/>
                                    <w:spacing w:before="0" w:after="283"/>
                                    <w:jc w:val="right"/>
                                    <w:rPr/>
                                  </w:pPr>
                                  <w:hyperlink w:anchor="tAAF">
                                    <w:r>
                                      <w:rPr>
                                        <w:rStyle w:val="InternetLink"/>
                                        <w:color w:val="83AD40"/>
                                        <w:spacing w:val="-2"/>
                                      </w:rPr>
                                      <w:t>A-1</w:t>
                                    </w:r>
                                  </w:hyperlink>
                                  <w:r>
                                    <w:rPr/>
                                    <w:t xml:space="preserve"> </w:t>
                                  </w:r>
                                </w:p>
                              </w:tc>
                              <w:tc>
                                <w:tcPr>
                                  <w:tcW w:w="109" w:type="dxa"/>
                                  <w:tcBorders>
                                    <w:bottom w:val="single" w:sz="2" w:space="0" w:color="83AD40"/>
                                  </w:tcBorders>
                                  <w:vAlign w:val="center"/>
                                </w:tcPr>
                                <w:p>
                                  <w:pPr>
                                    <w:pStyle w:val="TableContents"/>
                                    <w:bidi w:val="0"/>
                                    <w:spacing w:before="0" w:after="283"/>
                                    <w:jc w:val="left"/>
                                    <w:rPr/>
                                  </w:pPr>
                                  <w:r>
                                    <w:rPr/>
                                    <w:t>​</w:t>
                                  </w:r>
                                </w:p>
                              </w:tc>
                              <w:tc>
                                <w:tcPr>
                                  <w:tcW w:w="154" w:type="dxa"/>
                                  <w:tcBorders>
                                    <w:bottom w:val="single" w:sz="2" w:space="0" w:color="83AD40"/>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40pt;height:409.55pt;mso-wrap-distance-left:24pt;mso-wrap-distance-right:0pt;mso-wrap-distance-top:0pt;mso-wrap-distance-bottom:0pt;margin-top:0pt;mso-position-vertical:top;mso-position-vertical-relative:text;margin-left:24pt;mso-position-horizontal:left;mso-position-horizontal-relative:text">
                <v:textbox>
                  <w:txbxContent>
                    <w:tbl>
                      <w:tblPr>
                        <w:tblW w:w="9051" w:type="dxa"/>
                        <w:jc w:val="left"/>
                        <w:tblInd w:w="0" w:type="dxa"/>
                        <w:tblLayout w:type="fixed"/>
                        <w:tblCellMar>
                          <w:top w:w="0" w:type="dxa"/>
                          <w:left w:w="0" w:type="dxa"/>
                          <w:bottom w:w="28" w:type="dxa"/>
                          <w:right w:w="0" w:type="dxa"/>
                        </w:tblCellMar>
                      </w:tblPr>
                      <w:tblGrid>
                        <w:gridCol w:w="124"/>
                        <w:gridCol w:w="6512"/>
                        <w:gridCol w:w="169"/>
                        <w:gridCol w:w="169"/>
                        <w:gridCol w:w="837"/>
                        <w:gridCol w:w="109"/>
                        <w:gridCol w:w="109"/>
                        <w:gridCol w:w="109"/>
                        <w:gridCol w:w="109"/>
                        <w:gridCol w:w="541"/>
                        <w:gridCol w:w="109"/>
                        <w:gridCol w:w="154"/>
                      </w:tblGrid>
                      <w:tr>
                        <w:trPr/>
                        <w:tc>
                          <w:tcPr>
                            <w:tcW w:w="124" w:type="dxa"/>
                            <w:tcBorders>
                              <w:bottom w:val="single" w:sz="2" w:space="0" w:color="83AD40"/>
                            </w:tcBorders>
                            <w:vAlign w:val="center"/>
                          </w:tcPr>
                          <w:p>
                            <w:pPr>
                              <w:pStyle w:val="TableContents"/>
                              <w:bidi w:val="0"/>
                              <w:spacing w:before="0" w:after="283"/>
                              <w:jc w:val="left"/>
                              <w:rPr/>
                            </w:pPr>
                            <w:r>
                              <w:rPr/>
                              <w:t>​</w:t>
                            </w:r>
                          </w:p>
                        </w:tc>
                        <w:tc>
                          <w:tcPr>
                            <w:tcW w:w="7687" w:type="dxa"/>
                            <w:gridSpan w:val="4"/>
                            <w:tcBorders>
                              <w:bottom w:val="single" w:sz="2" w:space="0" w:color="83AD40"/>
                            </w:tcBorders>
                            <w:tcMar>
                              <w:bottom w:w="80" w:type="dxa"/>
                            </w:tcMar>
                            <w:vAlign w:val="center"/>
                          </w:tcPr>
                          <w:p>
                            <w:pPr>
                              <w:pStyle w:val="TableContents"/>
                              <w:bidi w:val="0"/>
                              <w:spacing w:before="0" w:after="283"/>
                              <w:jc w:val="left"/>
                              <w:rPr/>
                            </w:pPr>
                            <w:hyperlink w:anchor="tACM">
                              <w:r>
                                <w:rPr>
                                  <w:rStyle w:val="InternetLink"/>
                                  <w:color w:val="83AD40"/>
                                  <w:spacing w:val="-2"/>
                                </w:rPr>
                                <w:t>AUDIT COMMITTEE MATTERS</w:t>
                              </w:r>
                            </w:hyperlink>
                            <w:r>
                              <w:rPr/>
                              <w:t xml:space="preserve"> </w:t>
                            </w:r>
                          </w:p>
                        </w:tc>
                        <w:tc>
                          <w:tcPr>
                            <w:tcW w:w="109" w:type="dxa"/>
                            <w:tcBorders>
                              <w:bottom w:val="single" w:sz="2" w:space="0" w:color="83AD40"/>
                            </w:tcBorders>
                            <w:vAlign w:val="center"/>
                          </w:tcPr>
                          <w:p>
                            <w:pPr>
                              <w:pStyle w:val="TableContents"/>
                              <w:bidi w:val="0"/>
                              <w:spacing w:before="0" w:after="283"/>
                              <w:jc w:val="left"/>
                              <w:rPr/>
                            </w:pPr>
                            <w:r>
                              <w:rPr/>
                              <w:t>​</w:t>
                            </w:r>
                          </w:p>
                        </w:tc>
                        <w:tc>
                          <w:tcPr>
                            <w:tcW w:w="109" w:type="dxa"/>
                            <w:tcBorders>
                              <w:bottom w:val="single" w:sz="2" w:space="0" w:color="83AD40"/>
                            </w:tcBorders>
                            <w:vAlign w:val="center"/>
                          </w:tcPr>
                          <w:p>
                            <w:pPr>
                              <w:pStyle w:val="TableContents"/>
                              <w:bidi w:val="0"/>
                              <w:spacing w:before="0" w:after="283"/>
                              <w:jc w:val="left"/>
                              <w:rPr/>
                            </w:pPr>
                            <w:r>
                              <w:rPr/>
                              <w:t>​</w:t>
                            </w:r>
                          </w:p>
                        </w:tc>
                        <w:tc>
                          <w:tcPr>
                            <w:tcW w:w="109" w:type="dxa"/>
                            <w:tcBorders>
                              <w:bottom w:val="single" w:sz="2" w:space="0" w:color="83AD40"/>
                            </w:tcBorders>
                            <w:vAlign w:val="center"/>
                          </w:tcPr>
                          <w:p>
                            <w:pPr>
                              <w:pStyle w:val="TableContents"/>
                              <w:bidi w:val="0"/>
                              <w:spacing w:before="0" w:after="283"/>
                              <w:jc w:val="left"/>
                              <w:rPr/>
                            </w:pPr>
                            <w:r>
                              <w:rPr/>
                              <w:t>​</w:t>
                            </w:r>
                          </w:p>
                        </w:tc>
                        <w:tc>
                          <w:tcPr>
                            <w:tcW w:w="109" w:type="dxa"/>
                            <w:tcBorders>
                              <w:bottom w:val="single" w:sz="2" w:space="0" w:color="83AD40"/>
                            </w:tcBorders>
                            <w:tcMar>
                              <w:bottom w:w="80" w:type="dxa"/>
                            </w:tcMar>
                            <w:vAlign w:val="center"/>
                          </w:tcPr>
                          <w:p>
                            <w:pPr>
                              <w:pStyle w:val="TableContents"/>
                              <w:bidi w:val="0"/>
                              <w:spacing w:before="0" w:after="283"/>
                              <w:jc w:val="right"/>
                              <w:rPr/>
                            </w:pPr>
                            <w:r>
                              <w:rPr/>
                              <w:t>​</w:t>
                            </w:r>
                          </w:p>
                        </w:tc>
                        <w:tc>
                          <w:tcPr>
                            <w:tcW w:w="541" w:type="dxa"/>
                            <w:tcBorders>
                              <w:bottom w:val="single" w:sz="2" w:space="0" w:color="83AD40"/>
                            </w:tcBorders>
                            <w:tcMar>
                              <w:bottom w:w="80" w:type="dxa"/>
                            </w:tcMar>
                            <w:vAlign w:val="center"/>
                          </w:tcPr>
                          <w:p>
                            <w:pPr>
                              <w:pStyle w:val="TableContents"/>
                              <w:bidi w:val="0"/>
                              <w:spacing w:before="0" w:after="283"/>
                              <w:jc w:val="right"/>
                              <w:rPr/>
                            </w:pPr>
                            <w:hyperlink w:anchor="tACM">
                              <w:r>
                                <w:rPr>
                                  <w:rStyle w:val="InternetLink"/>
                                  <w:color w:val="83AD40"/>
                                  <w:spacing w:val="-2"/>
                                </w:rPr>
                                <w:t>82</w:t>
                              </w:r>
                            </w:hyperlink>
                            <w:r>
                              <w:rPr/>
                              <w:t xml:space="preserve"> </w:t>
                            </w:r>
                          </w:p>
                        </w:tc>
                        <w:tc>
                          <w:tcPr>
                            <w:tcW w:w="109" w:type="dxa"/>
                            <w:tcBorders>
                              <w:bottom w:val="single" w:sz="2" w:space="0" w:color="83AD40"/>
                            </w:tcBorders>
                            <w:vAlign w:val="center"/>
                          </w:tcPr>
                          <w:p>
                            <w:pPr>
                              <w:pStyle w:val="TableContents"/>
                              <w:bidi w:val="0"/>
                              <w:spacing w:before="0" w:after="283"/>
                              <w:jc w:val="left"/>
                              <w:rPr/>
                            </w:pPr>
                            <w:r>
                              <w:rPr/>
                              <w:t>​</w:t>
                            </w:r>
                          </w:p>
                        </w:tc>
                        <w:tc>
                          <w:tcPr>
                            <w:tcW w:w="154" w:type="dxa"/>
                            <w:tcBorders>
                              <w:bottom w:val="single" w:sz="2" w:space="0" w:color="83AD40"/>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687" w:type="dxa"/>
                            <w:gridSpan w:val="4"/>
                            <w:tcBorders/>
                            <w:tcMar>
                              <w:bottom w:w="0" w:type="dxa"/>
                            </w:tcMar>
                            <w:vAlign w:val="center"/>
                          </w:tcPr>
                          <w:p>
                            <w:pPr>
                              <w:pStyle w:val="TableContents"/>
                              <w:bidi w:val="0"/>
                              <w:spacing w:before="0" w:after="283"/>
                              <w:jc w:val="left"/>
                              <w:rPr/>
                            </w:pPr>
                            <w:hyperlink w:anchor="tACR">
                              <w:r>
                                <w:rPr>
                                  <w:rStyle w:val="InternetLink"/>
                                  <w:color w:val="1F2668"/>
                                  <w:spacing w:val="-2"/>
                                </w:rPr>
                                <w:t>Audit Committee Report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hyperlink w:anchor="tACR">
                              <w:r>
                                <w:rPr>
                                  <w:rStyle w:val="InternetLink"/>
                                  <w:color w:val="1F2668"/>
                                  <w:spacing w:val="-2"/>
                                </w:rPr>
                                <w:t>82</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E9F9D8" w:val="clear"/>
                            <w:tcMar>
                              <w:bottom w:w="0" w:type="dxa"/>
                            </w:tcMar>
                            <w:vAlign w:val="center"/>
                          </w:tcPr>
                          <w:p>
                            <w:pPr>
                              <w:pStyle w:val="TableContents"/>
                              <w:bidi w:val="0"/>
                              <w:spacing w:before="0" w:after="283"/>
                              <w:jc w:val="left"/>
                              <w:rPr/>
                            </w:pPr>
                            <w:r>
                              <w:rPr/>
                              <w:t>​</w:t>
                            </w:r>
                          </w:p>
                        </w:tc>
                        <w:tc>
                          <w:tcPr>
                            <w:tcW w:w="6512" w:type="dxa"/>
                            <w:tcBorders/>
                            <w:shd w:fill="E9F9D8" w:val="clear"/>
                            <w:tcMar>
                              <w:bottom w:w="0" w:type="dxa"/>
                            </w:tcMar>
                            <w:vAlign w:val="center"/>
                          </w:tcPr>
                          <w:p>
                            <w:pPr>
                              <w:pStyle w:val="TableContents"/>
                              <w:bidi w:val="0"/>
                              <w:spacing w:lineRule="atLeast" w:line="220" w:before="0" w:after="0"/>
                              <w:jc w:val="left"/>
                              <w:rPr/>
                            </w:pPr>
                            <w:hyperlink w:anchor="tPR3">
                              <w:r>
                                <w:rPr>
                                  <w:rStyle w:val="InternetLink"/>
                                  <w:color w:val="1F2668"/>
                                  <w:spacing w:val="-2"/>
                                </w:rPr>
                                <w:t xml:space="preserve">Proposal 3: Ratification of Appointment of </w:t>
                                <w:br/>
                                <w:t xml:space="preserve">Independent Registered Public Accounting </w:t>
                                <w:br/>
                                <w:t>Firm</w:t>
                              </w:r>
                            </w:hyperlink>
                            <w:r>
                              <w:rPr/>
                              <w:t xml:space="preserve"> </w:t>
                            </w:r>
                          </w:p>
                        </w:tc>
                        <w:tc>
                          <w:tcPr>
                            <w:tcW w:w="169" w:type="dxa"/>
                            <w:tcBorders/>
                            <w:shd w:fill="E9F9D8" w:val="clear"/>
                            <w:tcMar>
                              <w:bottom w:w="0" w:type="dxa"/>
                            </w:tcMar>
                            <w:vAlign w:val="center"/>
                          </w:tcPr>
                          <w:p>
                            <w:pPr>
                              <w:pStyle w:val="TableContents"/>
                              <w:bidi w:val="0"/>
                              <w:spacing w:before="0" w:after="283"/>
                              <w:jc w:val="left"/>
                              <w:rPr/>
                            </w:pPr>
                            <w:r>
                              <w:rPr/>
                              <w:t>​</w:t>
                            </w:r>
                          </w:p>
                        </w:tc>
                        <w:tc>
                          <w:tcPr>
                            <w:tcW w:w="169" w:type="dxa"/>
                            <w:tcBorders/>
                            <w:shd w:fill="E9F9D8" w:val="clear"/>
                            <w:tcMar>
                              <w:bottom w:w="0" w:type="dxa"/>
                            </w:tcMar>
                            <w:vAlign w:val="center"/>
                          </w:tcPr>
                          <w:p>
                            <w:pPr>
                              <w:pStyle w:val="TableContents"/>
                              <w:bidi w:val="0"/>
                              <w:spacing w:before="0" w:after="283"/>
                              <w:jc w:val="left"/>
                              <w:rPr/>
                            </w:pPr>
                            <w:r>
                              <w:rPr/>
                              <w:t>​</w:t>
                            </w:r>
                          </w:p>
                        </w:tc>
                        <w:tc>
                          <w:tcPr>
                            <w:tcW w:w="837" w:type="dxa"/>
                            <w:tcBorders/>
                            <w:shd w:fill="E9F9D8" w:val="clear"/>
                            <w:tcMar>
                              <w:bottom w:w="0" w:type="dxa"/>
                            </w:tcMar>
                            <w:vAlign w:val="center"/>
                          </w:tcPr>
                          <w:p>
                            <w:pPr>
                              <w:pStyle w:val="TableContents"/>
                              <w:bidi w:val="0"/>
                              <w:spacing w:before="0" w:after="0"/>
                              <w:jc w:val="center"/>
                              <w:rPr/>
                            </w:pPr>
                            <w:r>
                              <w:rPr/>
                              <w:drawing>
                                <wp:inline distT="0" distB="0" distL="0" distR="0">
                                  <wp:extent cx="247650" cy="247650"/>
                                  <wp:effectExtent l="0" t="0" r="0" b="0"/>
                                  <wp:docPr id="106" name="Image40" descr="">
                                    <a:hlinkClick xmlns:a="http://schemas.openxmlformats.org/drawingml/2006/main" r:id="rId5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40" descr="">
                                            <a:hlinkClick r:id="rId50"/>
                                          </pic:cNvPr>
                                          <pic:cNvPicPr>
                                            <a:picLocks noChangeAspect="1" noChangeArrowheads="1"/>
                                          </pic:cNvPicPr>
                                        </pic:nvPicPr>
                                        <pic:blipFill>
                                          <a:blip r:embed="rId49"/>
                                          <a:stretch>
                                            <a:fillRect/>
                                          </a:stretch>
                                        </pic:blipFill>
                                        <pic:spPr bwMode="auto">
                                          <a:xfrm>
                                            <a:off x="0" y="0"/>
                                            <a:ext cx="247650" cy="247650"/>
                                          </a:xfrm>
                                          <a:prstGeom prst="rect">
                                            <a:avLst/>
                                          </a:prstGeom>
                                          <a:ln w="9525">
                                            <a:solidFill>
                                              <a:srgbClr val="000080"/>
                                            </a:solidFill>
                                          </a:ln>
                                        </pic:spPr>
                                      </pic:pic>
                                    </a:graphicData>
                                  </a:graphic>
                                </wp:inline>
                              </w:drawing>
                            </w:r>
                            <w:hyperlink w:anchor="tPR3">
                              <w:r>
                                <w:rPr>
                                  <w:rStyle w:val="InternetLink"/>
                                </w:rPr>
                                <w:t xml:space="preserve"> </w:t>
                              </w:r>
                            </w:hyperlink>
                          </w:p>
                        </w:tc>
                        <w:tc>
                          <w:tcPr>
                            <w:tcW w:w="109" w:type="dxa"/>
                            <w:tcBorders/>
                            <w:shd w:fill="E9F9D8" w:val="clear"/>
                            <w:tcMar>
                              <w:bottom w:w="0" w:type="dxa"/>
                            </w:tcMar>
                            <w:vAlign w:val="center"/>
                          </w:tcPr>
                          <w:p>
                            <w:pPr>
                              <w:pStyle w:val="TableContents"/>
                              <w:bidi w:val="0"/>
                              <w:spacing w:before="0" w:after="283"/>
                              <w:jc w:val="left"/>
                              <w:rPr/>
                            </w:pPr>
                            <w:r>
                              <w:rPr/>
                              <w:t>​</w:t>
                            </w:r>
                          </w:p>
                        </w:tc>
                        <w:tc>
                          <w:tcPr>
                            <w:tcW w:w="109" w:type="dxa"/>
                            <w:tcBorders/>
                            <w:shd w:fill="E9F9D8" w:val="clear"/>
                            <w:tcMar>
                              <w:bottom w:w="0" w:type="dxa"/>
                            </w:tcMar>
                            <w:vAlign w:val="center"/>
                          </w:tcPr>
                          <w:p>
                            <w:pPr>
                              <w:pStyle w:val="TableContents"/>
                              <w:bidi w:val="0"/>
                              <w:spacing w:before="0" w:after="283"/>
                              <w:jc w:val="left"/>
                              <w:rPr/>
                            </w:pPr>
                            <w:r>
                              <w:rPr/>
                              <w:t>​</w:t>
                            </w:r>
                          </w:p>
                        </w:tc>
                        <w:tc>
                          <w:tcPr>
                            <w:tcW w:w="109" w:type="dxa"/>
                            <w:tcBorders/>
                            <w:shd w:fill="E9F9D8" w:val="clear"/>
                            <w:tcMar>
                              <w:bottom w:w="0" w:type="dxa"/>
                            </w:tcMar>
                            <w:vAlign w:val="center"/>
                          </w:tcPr>
                          <w:p>
                            <w:pPr>
                              <w:pStyle w:val="TableContents"/>
                              <w:bidi w:val="0"/>
                              <w:spacing w:before="0" w:after="283"/>
                              <w:jc w:val="left"/>
                              <w:rPr/>
                            </w:pPr>
                            <w:r>
                              <w:rPr/>
                              <w:t>​</w:t>
                            </w:r>
                          </w:p>
                        </w:tc>
                        <w:tc>
                          <w:tcPr>
                            <w:tcW w:w="109" w:type="dxa"/>
                            <w:tcBorders/>
                            <w:shd w:fill="E9F9D8" w:val="clear"/>
                            <w:tcMar>
                              <w:bottom w:w="0" w:type="dxa"/>
                            </w:tcMar>
                            <w:vAlign w:val="center"/>
                          </w:tcPr>
                          <w:p>
                            <w:pPr>
                              <w:pStyle w:val="TableContents"/>
                              <w:bidi w:val="0"/>
                              <w:spacing w:before="0" w:after="283"/>
                              <w:jc w:val="right"/>
                              <w:rPr/>
                            </w:pPr>
                            <w:r>
                              <w:rPr/>
                              <w:t>​</w:t>
                            </w:r>
                          </w:p>
                        </w:tc>
                        <w:tc>
                          <w:tcPr>
                            <w:tcW w:w="541" w:type="dxa"/>
                            <w:tcBorders/>
                            <w:shd w:fill="E9F9D8" w:val="clear"/>
                            <w:tcMar>
                              <w:bottom w:w="0" w:type="dxa"/>
                            </w:tcMar>
                            <w:vAlign w:val="center"/>
                          </w:tcPr>
                          <w:p>
                            <w:pPr>
                              <w:pStyle w:val="TableContents"/>
                              <w:bidi w:val="0"/>
                              <w:spacing w:before="0" w:after="283"/>
                              <w:jc w:val="right"/>
                              <w:rPr/>
                            </w:pPr>
                            <w:hyperlink w:anchor="tPR3">
                              <w:r>
                                <w:rPr>
                                  <w:rStyle w:val="InternetLink"/>
                                  <w:color w:val="1F2668"/>
                                  <w:spacing w:val="-2"/>
                                </w:rPr>
                                <w:t>83</w:t>
                              </w:r>
                            </w:hyperlink>
                            <w:r>
                              <w:rPr/>
                              <w:t xml:space="preserve"> </w:t>
                            </w:r>
                          </w:p>
                        </w:tc>
                        <w:tc>
                          <w:tcPr>
                            <w:tcW w:w="109" w:type="dxa"/>
                            <w:tcBorders/>
                            <w:shd w:fill="E9F9D8" w:val="clear"/>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687" w:type="dxa"/>
                            <w:gridSpan w:val="4"/>
                            <w:tcBorders/>
                            <w:tcMar>
                              <w:bottom w:w="0" w:type="dxa"/>
                            </w:tcMar>
                            <w:vAlign w:val="center"/>
                          </w:tcPr>
                          <w:p>
                            <w:pPr>
                              <w:pStyle w:val="TableContents"/>
                              <w:bidi w:val="0"/>
                              <w:spacing w:before="0" w:after="0"/>
                              <w:jc w:val="left"/>
                              <w:rPr/>
                            </w:pPr>
                            <w:hyperlink w:anchor="tPPAP">
                              <w:r>
                                <w:rPr>
                                  <w:rStyle w:val="InternetLink"/>
                                  <w:color w:val="1F2668"/>
                                  <w:spacing w:val="-2"/>
                                </w:rPr>
                                <w:t>Pre-Approval Policies and Procedures of our Audit Committee</w:t>
                              </w:r>
                            </w:hyperlink>
                            <w:r>
                              <w:rPr>
                                <w:color w:val="1F2668"/>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hyperlink w:anchor="tPPAP">
                              <w:r>
                                <w:rPr>
                                  <w:rStyle w:val="InternetLink"/>
                                  <w:color w:val="1F2668"/>
                                  <w:spacing w:val="-2"/>
                                </w:rPr>
                                <w:t>84</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687" w:type="dxa"/>
                            <w:gridSpan w:val="4"/>
                            <w:tcBorders/>
                            <w:tcMar>
                              <w:bottom w:w="0" w:type="dxa"/>
                            </w:tcMar>
                            <w:vAlign w:val="center"/>
                          </w:tcPr>
                          <w:p>
                            <w:pPr>
                              <w:pStyle w:val="TableContents"/>
                              <w:bidi w:val="0"/>
                              <w:spacing w:before="0" w:after="283"/>
                              <w:jc w:val="left"/>
                              <w:rPr/>
                            </w:pPr>
                            <w:hyperlink w:anchor="tFEDI">
                              <w:r>
                                <w:rPr>
                                  <w:rStyle w:val="InternetLink"/>
                                  <w:color w:val="1F2668"/>
                                  <w:spacing w:val="-2"/>
                                </w:rPr>
                                <w:t>Fee Disclosure</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hyperlink w:anchor="tFEDI">
                              <w:r>
                                <w:rPr>
                                  <w:rStyle w:val="InternetLink"/>
                                  <w:color w:val="1F2668"/>
                                  <w:spacing w:val="-2"/>
                                </w:rPr>
                                <w:t>84</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83AD40"/>
                            </w:tcBorders>
                            <w:vAlign w:val="center"/>
                          </w:tcPr>
                          <w:p>
                            <w:pPr>
                              <w:pStyle w:val="TableContents"/>
                              <w:bidi w:val="0"/>
                              <w:spacing w:before="0" w:after="283"/>
                              <w:jc w:val="left"/>
                              <w:rPr/>
                            </w:pPr>
                            <w:r>
                              <w:rPr/>
                              <w:t>​</w:t>
                            </w:r>
                          </w:p>
                        </w:tc>
                        <w:tc>
                          <w:tcPr>
                            <w:tcW w:w="7687" w:type="dxa"/>
                            <w:gridSpan w:val="4"/>
                            <w:tcBorders>
                              <w:bottom w:val="single" w:sz="2" w:space="0" w:color="83AD40"/>
                            </w:tcBorders>
                            <w:tcMar>
                              <w:bottom w:w="67" w:type="dxa"/>
                            </w:tcMar>
                            <w:vAlign w:val="center"/>
                          </w:tcPr>
                          <w:p>
                            <w:pPr>
                              <w:pStyle w:val="TableContents"/>
                              <w:bidi w:val="0"/>
                              <w:spacing w:before="0" w:after="283"/>
                              <w:jc w:val="left"/>
                              <w:rPr/>
                            </w:pPr>
                            <w:hyperlink w:anchor="tSOI">
                              <w:r>
                                <w:rPr>
                                  <w:rStyle w:val="InternetLink"/>
                                  <w:color w:val="83AD40"/>
                                  <w:spacing w:val="-2"/>
                                </w:rPr>
                                <w:t>STOCK OWNERSHIP INFORMATION</w:t>
                              </w:r>
                            </w:hyperlink>
                            <w:r>
                              <w:rPr/>
                              <w:t xml:space="preserve"> </w:t>
                            </w:r>
                          </w:p>
                        </w:tc>
                        <w:tc>
                          <w:tcPr>
                            <w:tcW w:w="109" w:type="dxa"/>
                            <w:tcBorders>
                              <w:bottom w:val="single" w:sz="2" w:space="0" w:color="83AD40"/>
                            </w:tcBorders>
                            <w:vAlign w:val="center"/>
                          </w:tcPr>
                          <w:p>
                            <w:pPr>
                              <w:pStyle w:val="TableContents"/>
                              <w:bidi w:val="0"/>
                              <w:spacing w:before="0" w:after="283"/>
                              <w:jc w:val="left"/>
                              <w:rPr/>
                            </w:pPr>
                            <w:r>
                              <w:rPr/>
                              <w:t>​</w:t>
                            </w:r>
                          </w:p>
                        </w:tc>
                        <w:tc>
                          <w:tcPr>
                            <w:tcW w:w="109" w:type="dxa"/>
                            <w:tcBorders>
                              <w:bottom w:val="single" w:sz="2" w:space="0" w:color="83AD40"/>
                            </w:tcBorders>
                            <w:vAlign w:val="center"/>
                          </w:tcPr>
                          <w:p>
                            <w:pPr>
                              <w:pStyle w:val="TableContents"/>
                              <w:bidi w:val="0"/>
                              <w:spacing w:before="0" w:after="283"/>
                              <w:jc w:val="left"/>
                              <w:rPr/>
                            </w:pPr>
                            <w:r>
                              <w:rPr/>
                              <w:t>​</w:t>
                            </w:r>
                          </w:p>
                        </w:tc>
                        <w:tc>
                          <w:tcPr>
                            <w:tcW w:w="109" w:type="dxa"/>
                            <w:tcBorders>
                              <w:bottom w:val="single" w:sz="2" w:space="0" w:color="83AD40"/>
                            </w:tcBorders>
                            <w:vAlign w:val="center"/>
                          </w:tcPr>
                          <w:p>
                            <w:pPr>
                              <w:pStyle w:val="TableContents"/>
                              <w:bidi w:val="0"/>
                              <w:spacing w:before="0" w:after="283"/>
                              <w:jc w:val="left"/>
                              <w:rPr/>
                            </w:pPr>
                            <w:r>
                              <w:rPr/>
                              <w:t>​</w:t>
                            </w:r>
                          </w:p>
                        </w:tc>
                        <w:tc>
                          <w:tcPr>
                            <w:tcW w:w="109" w:type="dxa"/>
                            <w:tcBorders>
                              <w:bottom w:val="single" w:sz="2" w:space="0" w:color="83AD40"/>
                            </w:tcBorders>
                            <w:tcMar>
                              <w:bottom w:w="67" w:type="dxa"/>
                            </w:tcMar>
                            <w:vAlign w:val="center"/>
                          </w:tcPr>
                          <w:p>
                            <w:pPr>
                              <w:pStyle w:val="TableContents"/>
                              <w:bidi w:val="0"/>
                              <w:spacing w:before="0" w:after="0"/>
                              <w:jc w:val="right"/>
                              <w:rPr>
                                <w:color w:val="83AD40"/>
                              </w:rPr>
                            </w:pPr>
                            <w:r>
                              <w:rPr>
                                <w:color w:val="83AD40"/>
                              </w:rPr>
                              <w:t>​</w:t>
                            </w:r>
                          </w:p>
                        </w:tc>
                        <w:tc>
                          <w:tcPr>
                            <w:tcW w:w="541" w:type="dxa"/>
                            <w:tcBorders>
                              <w:bottom w:val="single" w:sz="2" w:space="0" w:color="83AD40"/>
                            </w:tcBorders>
                            <w:tcMar>
                              <w:bottom w:w="67" w:type="dxa"/>
                            </w:tcMar>
                            <w:vAlign w:val="center"/>
                          </w:tcPr>
                          <w:p>
                            <w:pPr>
                              <w:pStyle w:val="TableContents"/>
                              <w:bidi w:val="0"/>
                              <w:spacing w:before="0" w:after="0"/>
                              <w:jc w:val="right"/>
                              <w:rPr/>
                            </w:pPr>
                            <w:hyperlink w:anchor="tSOI">
                              <w:r>
                                <w:rPr>
                                  <w:rStyle w:val="InternetLink"/>
                                  <w:color w:val="83AD40"/>
                                  <w:spacing w:val="-2"/>
                                </w:rPr>
                                <w:t>85</w:t>
                              </w:r>
                            </w:hyperlink>
                            <w:r>
                              <w:rPr>
                                <w:color w:val="83AD40"/>
                              </w:rPr>
                              <w:t xml:space="preserve"> </w:t>
                            </w:r>
                          </w:p>
                        </w:tc>
                        <w:tc>
                          <w:tcPr>
                            <w:tcW w:w="109" w:type="dxa"/>
                            <w:tcBorders>
                              <w:bottom w:val="single" w:sz="2" w:space="0" w:color="83AD40"/>
                            </w:tcBorders>
                            <w:vAlign w:val="center"/>
                          </w:tcPr>
                          <w:p>
                            <w:pPr>
                              <w:pStyle w:val="TableContents"/>
                              <w:bidi w:val="0"/>
                              <w:spacing w:before="0" w:after="283"/>
                              <w:jc w:val="left"/>
                              <w:rPr/>
                            </w:pPr>
                            <w:r>
                              <w:rPr/>
                              <w:t>​</w:t>
                            </w:r>
                          </w:p>
                        </w:tc>
                        <w:tc>
                          <w:tcPr>
                            <w:tcW w:w="154" w:type="dxa"/>
                            <w:tcBorders>
                              <w:bottom w:val="single" w:sz="2" w:space="0" w:color="83AD40"/>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687" w:type="dxa"/>
                            <w:gridSpan w:val="4"/>
                            <w:tcBorders/>
                            <w:tcMar>
                              <w:bottom w:w="0" w:type="dxa"/>
                            </w:tcMar>
                            <w:vAlign w:val="center"/>
                          </w:tcPr>
                          <w:p>
                            <w:pPr>
                              <w:pStyle w:val="TableContents"/>
                              <w:bidi w:val="0"/>
                              <w:spacing w:before="0" w:after="283"/>
                              <w:jc w:val="left"/>
                              <w:rPr/>
                            </w:pPr>
                            <w:hyperlink w:anchor="tSOOC">
                              <w:r>
                                <w:rPr>
                                  <w:rStyle w:val="InternetLink"/>
                                  <w:color w:val="1F2668"/>
                                  <w:spacing w:val="-2"/>
                                </w:rPr>
                                <w:t>Security Ownership of Certain Beneficial Owners and Management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hyperlink w:anchor="tSOOC">
                              <w:r>
                                <w:rPr>
                                  <w:rStyle w:val="InternetLink"/>
                                  <w:color w:val="1F2668"/>
                                  <w:spacing w:val="-2"/>
                                </w:rPr>
                                <w:t>85</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687" w:type="dxa"/>
                            <w:gridSpan w:val="4"/>
                            <w:tcBorders/>
                            <w:tcMar>
                              <w:bottom w:w="0" w:type="dxa"/>
                            </w:tcMar>
                            <w:vAlign w:val="center"/>
                          </w:tcPr>
                          <w:p>
                            <w:pPr>
                              <w:pStyle w:val="TableContents"/>
                              <w:bidi w:val="0"/>
                              <w:spacing w:before="0" w:after="283"/>
                              <w:jc w:val="left"/>
                              <w:rPr/>
                            </w:pPr>
                            <w:hyperlink w:anchor="tDS1R">
                              <w:r>
                                <w:rPr>
                                  <w:rStyle w:val="InternetLink"/>
                                  <w:color w:val="1F2668"/>
                                  <w:spacing w:val="-2"/>
                                </w:rPr>
                                <w:t>Delinquent Section 16(a) Reports</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hyperlink w:anchor="tDS1R">
                              <w:r>
                                <w:rPr>
                                  <w:rStyle w:val="InternetLink"/>
                                  <w:color w:val="1F2668"/>
                                  <w:spacing w:val="-2"/>
                                </w:rPr>
                                <w:t>87</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83AD40"/>
                            </w:tcBorders>
                            <w:vAlign w:val="center"/>
                          </w:tcPr>
                          <w:p>
                            <w:pPr>
                              <w:pStyle w:val="TableContents"/>
                              <w:bidi w:val="0"/>
                              <w:spacing w:before="0" w:after="283"/>
                              <w:jc w:val="left"/>
                              <w:rPr/>
                            </w:pPr>
                            <w:r>
                              <w:rPr/>
                              <w:t>​</w:t>
                            </w:r>
                          </w:p>
                        </w:tc>
                        <w:tc>
                          <w:tcPr>
                            <w:tcW w:w="7687" w:type="dxa"/>
                            <w:gridSpan w:val="4"/>
                            <w:tcBorders>
                              <w:bottom w:val="single" w:sz="2" w:space="0" w:color="83AD40"/>
                            </w:tcBorders>
                            <w:tcMar>
                              <w:bottom w:w="67" w:type="dxa"/>
                            </w:tcMar>
                            <w:vAlign w:val="center"/>
                          </w:tcPr>
                          <w:p>
                            <w:pPr>
                              <w:pStyle w:val="TableContents"/>
                              <w:bidi w:val="0"/>
                              <w:spacing w:before="0" w:after="283"/>
                              <w:jc w:val="left"/>
                              <w:rPr/>
                            </w:pPr>
                            <w:hyperlink w:anchor="tCRAR">
                              <w:r>
                                <w:rPr>
                                  <w:rStyle w:val="InternetLink"/>
                                  <w:color w:val="83AD40"/>
                                  <w:spacing w:val="-2"/>
                                  <w:sz w:val="24"/>
                                </w:rPr>
                                <w:t>CERTAIN RELATIONSHIPS AND RELATED PARTY TRANSACTIONS</w:t>
                              </w:r>
                            </w:hyperlink>
                            <w:r>
                              <w:rPr/>
                              <w:t xml:space="preserve"> </w:t>
                            </w:r>
                          </w:p>
                        </w:tc>
                        <w:tc>
                          <w:tcPr>
                            <w:tcW w:w="109" w:type="dxa"/>
                            <w:tcBorders>
                              <w:bottom w:val="single" w:sz="2" w:space="0" w:color="83AD40"/>
                            </w:tcBorders>
                            <w:vAlign w:val="center"/>
                          </w:tcPr>
                          <w:p>
                            <w:pPr>
                              <w:pStyle w:val="TableContents"/>
                              <w:bidi w:val="0"/>
                              <w:spacing w:before="0" w:after="283"/>
                              <w:jc w:val="left"/>
                              <w:rPr/>
                            </w:pPr>
                            <w:r>
                              <w:rPr/>
                              <w:t>​</w:t>
                            </w:r>
                          </w:p>
                        </w:tc>
                        <w:tc>
                          <w:tcPr>
                            <w:tcW w:w="109" w:type="dxa"/>
                            <w:tcBorders>
                              <w:bottom w:val="single" w:sz="2" w:space="0" w:color="83AD40"/>
                            </w:tcBorders>
                            <w:vAlign w:val="center"/>
                          </w:tcPr>
                          <w:p>
                            <w:pPr>
                              <w:pStyle w:val="TableContents"/>
                              <w:bidi w:val="0"/>
                              <w:spacing w:before="0" w:after="283"/>
                              <w:jc w:val="left"/>
                              <w:rPr/>
                            </w:pPr>
                            <w:r>
                              <w:rPr/>
                              <w:t>​</w:t>
                            </w:r>
                          </w:p>
                        </w:tc>
                        <w:tc>
                          <w:tcPr>
                            <w:tcW w:w="109" w:type="dxa"/>
                            <w:tcBorders>
                              <w:bottom w:val="single" w:sz="2" w:space="0" w:color="83AD40"/>
                            </w:tcBorders>
                            <w:vAlign w:val="center"/>
                          </w:tcPr>
                          <w:p>
                            <w:pPr>
                              <w:pStyle w:val="TableContents"/>
                              <w:bidi w:val="0"/>
                              <w:spacing w:before="0" w:after="283"/>
                              <w:jc w:val="left"/>
                              <w:rPr/>
                            </w:pPr>
                            <w:r>
                              <w:rPr/>
                              <w:t>​</w:t>
                            </w:r>
                          </w:p>
                        </w:tc>
                        <w:tc>
                          <w:tcPr>
                            <w:tcW w:w="109" w:type="dxa"/>
                            <w:tcBorders>
                              <w:bottom w:val="single" w:sz="2" w:space="0" w:color="83AD40"/>
                            </w:tcBorders>
                            <w:tcMar>
                              <w:bottom w:w="67" w:type="dxa"/>
                            </w:tcMar>
                            <w:vAlign w:val="center"/>
                          </w:tcPr>
                          <w:p>
                            <w:pPr>
                              <w:pStyle w:val="TableContents"/>
                              <w:bidi w:val="0"/>
                              <w:spacing w:before="0" w:after="0"/>
                              <w:jc w:val="right"/>
                              <w:rPr/>
                            </w:pPr>
                            <w:r>
                              <w:rPr/>
                              <w:t>​</w:t>
                            </w:r>
                          </w:p>
                        </w:tc>
                        <w:tc>
                          <w:tcPr>
                            <w:tcW w:w="541" w:type="dxa"/>
                            <w:tcBorders>
                              <w:bottom w:val="single" w:sz="2" w:space="0" w:color="83AD40"/>
                            </w:tcBorders>
                            <w:tcMar>
                              <w:bottom w:w="67" w:type="dxa"/>
                            </w:tcMar>
                            <w:vAlign w:val="center"/>
                          </w:tcPr>
                          <w:p>
                            <w:pPr>
                              <w:pStyle w:val="TableContents"/>
                              <w:bidi w:val="0"/>
                              <w:spacing w:before="0" w:after="0"/>
                              <w:jc w:val="right"/>
                              <w:rPr/>
                            </w:pPr>
                            <w:hyperlink w:anchor="tCRAR">
                              <w:r>
                                <w:rPr>
                                  <w:rStyle w:val="InternetLink"/>
                                  <w:color w:val="83AD40"/>
                                  <w:spacing w:val="-2"/>
                                  <w:sz w:val="24"/>
                                </w:rPr>
                                <w:t>88</w:t>
                              </w:r>
                            </w:hyperlink>
                            <w:r>
                              <w:rPr>
                                <w:sz w:val="24"/>
                              </w:rPr>
                              <w:t xml:space="preserve"> </w:t>
                            </w:r>
                          </w:p>
                        </w:tc>
                        <w:tc>
                          <w:tcPr>
                            <w:tcW w:w="109" w:type="dxa"/>
                            <w:tcBorders>
                              <w:bottom w:val="single" w:sz="2" w:space="0" w:color="83AD40"/>
                            </w:tcBorders>
                            <w:vAlign w:val="center"/>
                          </w:tcPr>
                          <w:p>
                            <w:pPr>
                              <w:pStyle w:val="TableContents"/>
                              <w:bidi w:val="0"/>
                              <w:spacing w:before="0" w:after="283"/>
                              <w:jc w:val="left"/>
                              <w:rPr/>
                            </w:pPr>
                            <w:r>
                              <w:rPr/>
                              <w:t>​</w:t>
                            </w:r>
                          </w:p>
                        </w:tc>
                        <w:tc>
                          <w:tcPr>
                            <w:tcW w:w="154" w:type="dxa"/>
                            <w:tcBorders>
                              <w:bottom w:val="single" w:sz="2" w:space="0" w:color="83AD40"/>
                            </w:tcBorders>
                            <w:vAlign w:val="center"/>
                          </w:tcPr>
                          <w:p>
                            <w:pPr>
                              <w:pStyle w:val="TableContents"/>
                              <w:bidi w:val="0"/>
                              <w:spacing w:before="0" w:after="283"/>
                              <w:jc w:val="left"/>
                              <w:rPr/>
                            </w:pPr>
                            <w:r>
                              <w:rPr/>
                              <w:t>​</w:t>
                            </w:r>
                          </w:p>
                        </w:tc>
                      </w:tr>
                      <w:tr>
                        <w:trPr/>
                        <w:tc>
                          <w:tcPr>
                            <w:tcW w:w="124" w:type="dxa"/>
                            <w:tcBorders>
                              <w:bottom w:val="single" w:sz="2" w:space="0" w:color="83AD40"/>
                            </w:tcBorders>
                            <w:vAlign w:val="center"/>
                          </w:tcPr>
                          <w:p>
                            <w:pPr>
                              <w:pStyle w:val="TableContents"/>
                              <w:bidi w:val="0"/>
                              <w:spacing w:before="0" w:after="283"/>
                              <w:jc w:val="left"/>
                              <w:rPr/>
                            </w:pPr>
                            <w:r>
                              <w:rPr/>
                              <w:t>​</w:t>
                            </w:r>
                          </w:p>
                        </w:tc>
                        <w:tc>
                          <w:tcPr>
                            <w:tcW w:w="7687" w:type="dxa"/>
                            <w:gridSpan w:val="4"/>
                            <w:tcBorders>
                              <w:bottom w:val="single" w:sz="2" w:space="0" w:color="83AD40"/>
                            </w:tcBorders>
                            <w:tcMar>
                              <w:bottom w:w="80" w:type="dxa"/>
                            </w:tcMar>
                            <w:vAlign w:val="center"/>
                          </w:tcPr>
                          <w:p>
                            <w:pPr>
                              <w:pStyle w:val="TableContents"/>
                              <w:bidi w:val="0"/>
                              <w:spacing w:before="0" w:after="283"/>
                              <w:jc w:val="left"/>
                              <w:rPr/>
                            </w:pPr>
                            <w:hyperlink w:anchor="tOTIN">
                              <w:r>
                                <w:rPr>
                                  <w:rStyle w:val="InternetLink"/>
                                  <w:color w:val="83AD40"/>
                                  <w:spacing w:val="-2"/>
                                </w:rPr>
                                <w:t>OTHER INFORMATION</w:t>
                              </w:r>
                            </w:hyperlink>
                            <w:hyperlink w:anchor="tOTIN">
                              <w:r>
                                <w:rPr>
                                  <w:rStyle w:val="InternetLink"/>
                                  <w:color w:val="1F2668"/>
                                </w:rPr>
                                <w:t>​</w:t>
                              </w:r>
                            </w:hyperlink>
                            <w:r>
                              <w:rPr/>
                              <w:t xml:space="preserve"> </w:t>
                            </w:r>
                          </w:p>
                        </w:tc>
                        <w:tc>
                          <w:tcPr>
                            <w:tcW w:w="109" w:type="dxa"/>
                            <w:tcBorders>
                              <w:bottom w:val="single" w:sz="2" w:space="0" w:color="83AD40"/>
                            </w:tcBorders>
                            <w:vAlign w:val="center"/>
                          </w:tcPr>
                          <w:p>
                            <w:pPr>
                              <w:pStyle w:val="TableContents"/>
                              <w:bidi w:val="0"/>
                              <w:spacing w:before="0" w:after="283"/>
                              <w:jc w:val="left"/>
                              <w:rPr/>
                            </w:pPr>
                            <w:r>
                              <w:rPr/>
                              <w:t>​</w:t>
                            </w:r>
                          </w:p>
                        </w:tc>
                        <w:tc>
                          <w:tcPr>
                            <w:tcW w:w="109" w:type="dxa"/>
                            <w:tcBorders>
                              <w:bottom w:val="single" w:sz="2" w:space="0" w:color="83AD40"/>
                            </w:tcBorders>
                            <w:vAlign w:val="center"/>
                          </w:tcPr>
                          <w:p>
                            <w:pPr>
                              <w:pStyle w:val="TableContents"/>
                              <w:bidi w:val="0"/>
                              <w:spacing w:before="0" w:after="283"/>
                              <w:jc w:val="left"/>
                              <w:rPr/>
                            </w:pPr>
                            <w:r>
                              <w:rPr/>
                              <w:t>​</w:t>
                            </w:r>
                          </w:p>
                        </w:tc>
                        <w:tc>
                          <w:tcPr>
                            <w:tcW w:w="109" w:type="dxa"/>
                            <w:tcBorders>
                              <w:bottom w:val="single" w:sz="2" w:space="0" w:color="83AD40"/>
                            </w:tcBorders>
                            <w:vAlign w:val="center"/>
                          </w:tcPr>
                          <w:p>
                            <w:pPr>
                              <w:pStyle w:val="TableContents"/>
                              <w:bidi w:val="0"/>
                              <w:spacing w:before="0" w:after="283"/>
                              <w:jc w:val="left"/>
                              <w:rPr/>
                            </w:pPr>
                            <w:r>
                              <w:rPr/>
                              <w:t>​</w:t>
                            </w:r>
                          </w:p>
                        </w:tc>
                        <w:tc>
                          <w:tcPr>
                            <w:tcW w:w="109" w:type="dxa"/>
                            <w:tcBorders>
                              <w:bottom w:val="single" w:sz="2" w:space="0" w:color="83AD40"/>
                            </w:tcBorders>
                            <w:tcMar>
                              <w:bottom w:w="80" w:type="dxa"/>
                            </w:tcMar>
                            <w:vAlign w:val="center"/>
                          </w:tcPr>
                          <w:p>
                            <w:pPr>
                              <w:pStyle w:val="TableContents"/>
                              <w:bidi w:val="0"/>
                              <w:spacing w:before="0" w:after="283"/>
                              <w:jc w:val="right"/>
                              <w:rPr/>
                            </w:pPr>
                            <w:r>
                              <w:rPr/>
                              <w:t>​</w:t>
                            </w:r>
                          </w:p>
                        </w:tc>
                        <w:tc>
                          <w:tcPr>
                            <w:tcW w:w="541" w:type="dxa"/>
                            <w:tcBorders>
                              <w:bottom w:val="single" w:sz="2" w:space="0" w:color="83AD40"/>
                            </w:tcBorders>
                            <w:tcMar>
                              <w:bottom w:w="80" w:type="dxa"/>
                            </w:tcMar>
                            <w:vAlign w:val="center"/>
                          </w:tcPr>
                          <w:p>
                            <w:pPr>
                              <w:pStyle w:val="TableContents"/>
                              <w:bidi w:val="0"/>
                              <w:spacing w:before="0" w:after="283"/>
                              <w:jc w:val="right"/>
                              <w:rPr/>
                            </w:pPr>
                            <w:hyperlink w:anchor="tOTIN">
                              <w:r>
                                <w:rPr>
                                  <w:rStyle w:val="InternetLink"/>
                                  <w:color w:val="83AD40"/>
                                  <w:spacing w:val="-2"/>
                                </w:rPr>
                                <w:t>90</w:t>
                              </w:r>
                            </w:hyperlink>
                            <w:r>
                              <w:rPr/>
                              <w:t xml:space="preserve"> </w:t>
                            </w:r>
                          </w:p>
                        </w:tc>
                        <w:tc>
                          <w:tcPr>
                            <w:tcW w:w="109" w:type="dxa"/>
                            <w:tcBorders>
                              <w:bottom w:val="single" w:sz="2" w:space="0" w:color="83AD40"/>
                            </w:tcBorders>
                            <w:vAlign w:val="center"/>
                          </w:tcPr>
                          <w:p>
                            <w:pPr>
                              <w:pStyle w:val="TableContents"/>
                              <w:bidi w:val="0"/>
                              <w:spacing w:before="0" w:after="283"/>
                              <w:jc w:val="left"/>
                              <w:rPr/>
                            </w:pPr>
                            <w:r>
                              <w:rPr/>
                              <w:t>​</w:t>
                            </w:r>
                          </w:p>
                        </w:tc>
                        <w:tc>
                          <w:tcPr>
                            <w:tcW w:w="154" w:type="dxa"/>
                            <w:tcBorders>
                              <w:bottom w:val="single" w:sz="2" w:space="0" w:color="83AD40"/>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687" w:type="dxa"/>
                            <w:gridSpan w:val="4"/>
                            <w:tcBorders/>
                            <w:tcMar>
                              <w:bottom w:w="0" w:type="dxa"/>
                            </w:tcMar>
                            <w:vAlign w:val="center"/>
                          </w:tcPr>
                          <w:p>
                            <w:pPr>
                              <w:pStyle w:val="TableContents"/>
                              <w:bidi w:val="0"/>
                              <w:spacing w:before="0" w:after="283"/>
                              <w:jc w:val="left"/>
                              <w:rPr/>
                            </w:pPr>
                            <w:hyperlink w:anchor="tQAAA">
                              <w:r>
                                <w:rPr>
                                  <w:rStyle w:val="InternetLink"/>
                                  <w:color w:val="1F2668"/>
                                  <w:spacing w:val="-2"/>
                                </w:rPr>
                                <w:t>Questions and Answers about the Annual Meeting</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hyperlink w:anchor="tQAAA">
                              <w:r>
                                <w:rPr>
                                  <w:rStyle w:val="InternetLink"/>
                                  <w:color w:val="1F2668"/>
                                  <w:spacing w:val="-2"/>
                                </w:rPr>
                                <w:t>90</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687" w:type="dxa"/>
                            <w:gridSpan w:val="4"/>
                            <w:tcBorders/>
                            <w:tcMar>
                              <w:bottom w:w="0" w:type="dxa"/>
                            </w:tcMar>
                            <w:vAlign w:val="center"/>
                          </w:tcPr>
                          <w:p>
                            <w:pPr>
                              <w:pStyle w:val="TableContents"/>
                              <w:bidi w:val="0"/>
                              <w:spacing w:before="0" w:after="283"/>
                              <w:jc w:val="left"/>
                              <w:rPr/>
                            </w:pPr>
                            <w:hyperlink w:anchor="tOTMA">
                              <w:r>
                                <w:rPr>
                                  <w:rStyle w:val="InternetLink"/>
                                  <w:color w:val="1F2668"/>
                                  <w:spacing w:val="-2"/>
                                </w:rPr>
                                <w:t>Other Matters</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hyperlink w:anchor="tOTMA">
                              <w:r>
                                <w:rPr>
                                  <w:rStyle w:val="InternetLink"/>
                                  <w:color w:val="1F2668"/>
                                  <w:spacing w:val="-2"/>
                                </w:rPr>
                                <w:t>93</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83AD40"/>
                            </w:tcBorders>
                            <w:vAlign w:val="center"/>
                          </w:tcPr>
                          <w:p>
                            <w:pPr>
                              <w:pStyle w:val="TableContents"/>
                              <w:bidi w:val="0"/>
                              <w:spacing w:before="0" w:after="283"/>
                              <w:jc w:val="left"/>
                              <w:rPr/>
                            </w:pPr>
                            <w:r>
                              <w:rPr/>
                              <w:t>​</w:t>
                            </w:r>
                          </w:p>
                        </w:tc>
                        <w:tc>
                          <w:tcPr>
                            <w:tcW w:w="7687" w:type="dxa"/>
                            <w:gridSpan w:val="4"/>
                            <w:tcBorders>
                              <w:bottom w:val="single" w:sz="2" w:space="0" w:color="83AD40"/>
                            </w:tcBorders>
                            <w:tcMar>
                              <w:bottom w:w="80" w:type="dxa"/>
                            </w:tcMar>
                            <w:vAlign w:val="center"/>
                          </w:tcPr>
                          <w:p>
                            <w:pPr>
                              <w:pStyle w:val="TableContents"/>
                              <w:bidi w:val="0"/>
                              <w:spacing w:before="0" w:after="283"/>
                              <w:jc w:val="left"/>
                              <w:rPr/>
                            </w:pPr>
                            <w:hyperlink w:anchor="tAAF">
                              <w:r>
                                <w:rPr>
                                  <w:rStyle w:val="InternetLink"/>
                                  <w:color w:val="83AD40"/>
                                  <w:spacing w:val="-2"/>
                                </w:rPr>
                                <w:t>APPENDIX A:</w:t>
                              </w:r>
                            </w:hyperlink>
                            <w:hyperlink w:anchor="tAAF">
                              <w:r>
                                <w:rPr>
                                  <w:rStyle w:val="InternetLink"/>
                                  <w:color w:val="1F2668"/>
                                </w:rPr>
                                <w:t>​</w:t>
                              </w:r>
                            </w:hyperlink>
                            <w:r>
                              <w:rPr/>
                              <w:t xml:space="preserve"> </w:t>
                            </w:r>
                          </w:p>
                        </w:tc>
                        <w:tc>
                          <w:tcPr>
                            <w:tcW w:w="109" w:type="dxa"/>
                            <w:tcBorders>
                              <w:bottom w:val="single" w:sz="2" w:space="0" w:color="83AD40"/>
                            </w:tcBorders>
                            <w:vAlign w:val="center"/>
                          </w:tcPr>
                          <w:p>
                            <w:pPr>
                              <w:pStyle w:val="TableContents"/>
                              <w:bidi w:val="0"/>
                              <w:spacing w:before="0" w:after="283"/>
                              <w:jc w:val="left"/>
                              <w:rPr/>
                            </w:pPr>
                            <w:r>
                              <w:rPr/>
                              <w:t>​</w:t>
                            </w:r>
                          </w:p>
                        </w:tc>
                        <w:tc>
                          <w:tcPr>
                            <w:tcW w:w="109" w:type="dxa"/>
                            <w:tcBorders>
                              <w:bottom w:val="single" w:sz="2" w:space="0" w:color="83AD40"/>
                            </w:tcBorders>
                            <w:vAlign w:val="center"/>
                          </w:tcPr>
                          <w:p>
                            <w:pPr>
                              <w:pStyle w:val="TableContents"/>
                              <w:bidi w:val="0"/>
                              <w:spacing w:before="0" w:after="283"/>
                              <w:jc w:val="left"/>
                              <w:rPr/>
                            </w:pPr>
                            <w:r>
                              <w:rPr/>
                              <w:t>​</w:t>
                            </w:r>
                          </w:p>
                        </w:tc>
                        <w:tc>
                          <w:tcPr>
                            <w:tcW w:w="109" w:type="dxa"/>
                            <w:tcBorders>
                              <w:bottom w:val="single" w:sz="2" w:space="0" w:color="83AD40"/>
                            </w:tcBorders>
                            <w:vAlign w:val="center"/>
                          </w:tcPr>
                          <w:p>
                            <w:pPr>
                              <w:pStyle w:val="TableContents"/>
                              <w:bidi w:val="0"/>
                              <w:spacing w:before="0" w:after="283"/>
                              <w:jc w:val="left"/>
                              <w:rPr/>
                            </w:pPr>
                            <w:r>
                              <w:rPr/>
                              <w:t>​</w:t>
                            </w:r>
                          </w:p>
                        </w:tc>
                        <w:tc>
                          <w:tcPr>
                            <w:tcW w:w="109" w:type="dxa"/>
                            <w:tcBorders>
                              <w:bottom w:val="single" w:sz="2" w:space="0" w:color="83AD40"/>
                            </w:tcBorders>
                            <w:tcMar>
                              <w:bottom w:w="80" w:type="dxa"/>
                            </w:tcMar>
                            <w:vAlign w:val="center"/>
                          </w:tcPr>
                          <w:p>
                            <w:pPr>
                              <w:pStyle w:val="TableContents"/>
                              <w:bidi w:val="0"/>
                              <w:spacing w:before="0" w:after="283"/>
                              <w:jc w:val="right"/>
                              <w:rPr/>
                            </w:pPr>
                            <w:r>
                              <w:rPr/>
                              <w:t>​</w:t>
                            </w:r>
                          </w:p>
                        </w:tc>
                        <w:tc>
                          <w:tcPr>
                            <w:tcW w:w="541" w:type="dxa"/>
                            <w:tcBorders>
                              <w:bottom w:val="single" w:sz="2" w:space="0" w:color="83AD40"/>
                            </w:tcBorders>
                            <w:tcMar>
                              <w:bottom w:w="80" w:type="dxa"/>
                            </w:tcMar>
                            <w:vAlign w:val="center"/>
                          </w:tcPr>
                          <w:p>
                            <w:pPr>
                              <w:pStyle w:val="TableContents"/>
                              <w:bidi w:val="0"/>
                              <w:spacing w:before="0" w:after="283"/>
                              <w:jc w:val="right"/>
                              <w:rPr/>
                            </w:pPr>
                            <w:hyperlink w:anchor="tAAF">
                              <w:r>
                                <w:rPr>
                                  <w:rStyle w:val="InternetLink"/>
                                  <w:color w:val="83AD40"/>
                                  <w:spacing w:val="-2"/>
                                </w:rPr>
                                <w:t>A-1</w:t>
                              </w:r>
                            </w:hyperlink>
                            <w:r>
                              <w:rPr/>
                              <w:t xml:space="preserve"> </w:t>
                            </w:r>
                          </w:p>
                        </w:tc>
                        <w:tc>
                          <w:tcPr>
                            <w:tcW w:w="109" w:type="dxa"/>
                            <w:tcBorders>
                              <w:bottom w:val="single" w:sz="2" w:space="0" w:color="83AD40"/>
                            </w:tcBorders>
                            <w:vAlign w:val="center"/>
                          </w:tcPr>
                          <w:p>
                            <w:pPr>
                              <w:pStyle w:val="TableContents"/>
                              <w:bidi w:val="0"/>
                              <w:spacing w:before="0" w:after="283"/>
                              <w:jc w:val="left"/>
                              <w:rPr/>
                            </w:pPr>
                            <w:r>
                              <w:rPr/>
                              <w:t>​</w:t>
                            </w:r>
                          </w:p>
                        </w:tc>
                        <w:tc>
                          <w:tcPr>
                            <w:tcW w:w="154" w:type="dxa"/>
                            <w:tcBorders>
                              <w:bottom w:val="single" w:sz="2" w:space="0" w:color="83AD40"/>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571500" distR="0" simplePos="0" locked="0" layoutInCell="1" allowOverlap="1" relativeHeight="300">
                <wp:simplePos x="0" y="0"/>
                <wp:positionH relativeFrom="column">
                  <wp:align>left</wp:align>
                </wp:positionH>
                <wp:positionV relativeFrom="line">
                  <wp:posOffset>635</wp:posOffset>
                </wp:positionV>
                <wp:extent cx="3048000" cy="6313805"/>
                <wp:effectExtent l="0" t="0" r="0" b="0"/>
                <wp:wrapSquare wrapText="right"/>
                <wp:docPr id="107" name="Frame59"/>
                <a:graphic xmlns:a="http://schemas.openxmlformats.org/drawingml/2006/main">
                  <a:graphicData uri="http://schemas.microsoft.com/office/word/2010/wordprocessingShape">
                    <wps:wsp>
                      <wps:cNvSpPr txBox="1"/>
                      <wps:spPr>
                        <a:xfrm>
                          <a:off x="0" y="0"/>
                          <a:ext cx="3048000" cy="6313805"/>
                        </a:xfrm>
                        <a:prstGeom prst="rect"/>
                        <a:solidFill>
                          <a:srgbClr val="FFFFFF"/>
                        </a:solidFill>
                      </wps:spPr>
                      <wps:txbx>
                        <w:txbxContent>
                          <w:tbl>
                            <w:tblPr>
                              <w:tblW w:w="9854" w:type="dxa"/>
                              <w:jc w:val="left"/>
                              <w:tblInd w:w="0" w:type="dxa"/>
                              <w:tblLayout w:type="fixed"/>
                              <w:tblCellMar>
                                <w:top w:w="0" w:type="dxa"/>
                                <w:left w:w="0" w:type="dxa"/>
                                <w:bottom w:w="28" w:type="dxa"/>
                                <w:right w:w="0" w:type="dxa"/>
                              </w:tblCellMar>
                            </w:tblPr>
                            <w:tblGrid>
                              <w:gridCol w:w="124"/>
                              <w:gridCol w:w="7873"/>
                              <w:gridCol w:w="109"/>
                              <w:gridCol w:w="109"/>
                              <w:gridCol w:w="536"/>
                              <w:gridCol w:w="109"/>
                              <w:gridCol w:w="109"/>
                              <w:gridCol w:w="109"/>
                              <w:gridCol w:w="109"/>
                              <w:gridCol w:w="404"/>
                              <w:gridCol w:w="109"/>
                              <w:gridCol w:w="154"/>
                            </w:tblGrid>
                            <w:tr>
                              <w:trPr/>
                              <w:tc>
                                <w:tcPr>
                                  <w:tcW w:w="124" w:type="dxa"/>
                                  <w:tcBorders>
                                    <w:bottom w:val="single" w:sz="2" w:space="0" w:color="83AD40"/>
                                  </w:tcBorders>
                                  <w:vAlign w:val="center"/>
                                </w:tcPr>
                                <w:p>
                                  <w:pPr>
                                    <w:pStyle w:val="TableContents"/>
                                    <w:bidi w:val="0"/>
                                    <w:spacing w:before="0" w:after="283"/>
                                    <w:jc w:val="left"/>
                                    <w:rPr/>
                                  </w:pPr>
                                  <w:r>
                                    <w:rPr/>
                                    <w:t>​</w:t>
                                  </w:r>
                                </w:p>
                              </w:tc>
                              <w:tc>
                                <w:tcPr>
                                  <w:tcW w:w="8627" w:type="dxa"/>
                                  <w:gridSpan w:val="4"/>
                                  <w:tcBorders>
                                    <w:bottom w:val="single" w:sz="2" w:space="0" w:color="83AD40"/>
                                  </w:tcBorders>
                                  <w:tcMar>
                                    <w:bottom w:w="80" w:type="dxa"/>
                                  </w:tcMar>
                                  <w:vAlign w:val="center"/>
                                </w:tcPr>
                                <w:p>
                                  <w:pPr>
                                    <w:pStyle w:val="TableContents"/>
                                    <w:bidi w:val="0"/>
                                    <w:spacing w:before="0" w:after="283"/>
                                    <w:jc w:val="left"/>
                                    <w:rPr/>
                                  </w:pPr>
                                  <w:r>
                                    <w:rPr>
                                      <w:spacing w:val="-2"/>
                                    </w:rPr>
                                    <w:t>LETTER TO STOCKHOLDERS</w:t>
                                  </w:r>
                                  <w:r>
                                    <w:rPr>
                                      <w:color w:val="1F2668"/>
                                    </w:rPr>
                                    <w:t>​</w:t>
                                  </w:r>
                                  <w:r>
                                    <w:rPr/>
                                    <w:t xml:space="preserve"> </w:t>
                                  </w:r>
                                </w:p>
                              </w:tc>
                              <w:tc>
                                <w:tcPr>
                                  <w:tcW w:w="109" w:type="dxa"/>
                                  <w:tcBorders>
                                    <w:bottom w:val="single" w:sz="2" w:space="0" w:color="83AD40"/>
                                  </w:tcBorders>
                                  <w:vAlign w:val="center"/>
                                </w:tcPr>
                                <w:p>
                                  <w:pPr>
                                    <w:pStyle w:val="TableContents"/>
                                    <w:bidi w:val="0"/>
                                    <w:spacing w:before="0" w:after="283"/>
                                    <w:jc w:val="left"/>
                                    <w:rPr/>
                                  </w:pPr>
                                  <w:r>
                                    <w:rPr/>
                                    <w:t>​</w:t>
                                  </w:r>
                                </w:p>
                              </w:tc>
                              <w:tc>
                                <w:tcPr>
                                  <w:tcW w:w="109" w:type="dxa"/>
                                  <w:tcBorders>
                                    <w:bottom w:val="single" w:sz="2" w:space="0" w:color="83AD40"/>
                                  </w:tcBorders>
                                  <w:vAlign w:val="center"/>
                                </w:tcPr>
                                <w:p>
                                  <w:pPr>
                                    <w:pStyle w:val="TableContents"/>
                                    <w:bidi w:val="0"/>
                                    <w:spacing w:before="0" w:after="283"/>
                                    <w:jc w:val="left"/>
                                    <w:rPr/>
                                  </w:pPr>
                                  <w:r>
                                    <w:rPr/>
                                    <w:t>​</w:t>
                                  </w:r>
                                </w:p>
                              </w:tc>
                              <w:tc>
                                <w:tcPr>
                                  <w:tcW w:w="109" w:type="dxa"/>
                                  <w:tcBorders>
                                    <w:bottom w:val="single" w:sz="2" w:space="0" w:color="83AD40"/>
                                  </w:tcBorders>
                                  <w:vAlign w:val="center"/>
                                </w:tcPr>
                                <w:p>
                                  <w:pPr>
                                    <w:pStyle w:val="TableContents"/>
                                    <w:bidi w:val="0"/>
                                    <w:spacing w:before="0" w:after="283"/>
                                    <w:jc w:val="left"/>
                                    <w:rPr/>
                                  </w:pPr>
                                  <w:r>
                                    <w:rPr/>
                                    <w:t>​</w:t>
                                  </w:r>
                                </w:p>
                              </w:tc>
                              <w:tc>
                                <w:tcPr>
                                  <w:tcW w:w="109" w:type="dxa"/>
                                  <w:tcBorders>
                                    <w:bottom w:val="single" w:sz="2" w:space="0" w:color="83AD40"/>
                                  </w:tcBorders>
                                  <w:vAlign w:val="center"/>
                                </w:tcPr>
                                <w:p>
                                  <w:pPr>
                                    <w:pStyle w:val="TableContents"/>
                                    <w:bidi w:val="0"/>
                                    <w:spacing w:before="0" w:after="283"/>
                                    <w:jc w:val="right"/>
                                    <w:rPr/>
                                  </w:pPr>
                                  <w:r>
                                    <w:rPr/>
                                    <w:t>​</w:t>
                                  </w:r>
                                </w:p>
                              </w:tc>
                              <w:tc>
                                <w:tcPr>
                                  <w:tcW w:w="404" w:type="dxa"/>
                                  <w:tcBorders>
                                    <w:bottom w:val="single" w:sz="2" w:space="0" w:color="83AD40"/>
                                  </w:tcBorders>
                                  <w:vAlign w:val="center"/>
                                </w:tcPr>
                                <w:p>
                                  <w:pPr>
                                    <w:pStyle w:val="TableContents"/>
                                    <w:bidi w:val="0"/>
                                    <w:spacing w:before="0" w:after="283"/>
                                    <w:jc w:val="right"/>
                                    <w:rPr/>
                                  </w:pPr>
                                  <w:r>
                                    <w:rPr/>
                                    <w:t>​</w:t>
                                  </w:r>
                                </w:p>
                              </w:tc>
                              <w:tc>
                                <w:tcPr>
                                  <w:tcW w:w="109" w:type="dxa"/>
                                  <w:tcBorders>
                                    <w:bottom w:val="single" w:sz="2" w:space="0" w:color="83AD40"/>
                                  </w:tcBorders>
                                  <w:vAlign w:val="center"/>
                                </w:tcPr>
                                <w:p>
                                  <w:pPr>
                                    <w:pStyle w:val="TableContents"/>
                                    <w:bidi w:val="0"/>
                                    <w:spacing w:before="0" w:after="283"/>
                                    <w:jc w:val="left"/>
                                    <w:rPr/>
                                  </w:pPr>
                                  <w:r>
                                    <w:rPr/>
                                    <w:t>​</w:t>
                                  </w:r>
                                </w:p>
                              </w:tc>
                              <w:tc>
                                <w:tcPr>
                                  <w:tcW w:w="154" w:type="dxa"/>
                                  <w:tcBorders>
                                    <w:bottom w:val="single" w:sz="2" w:space="0" w:color="83AD40"/>
                                  </w:tcBorders>
                                  <w:vAlign w:val="center"/>
                                </w:tcPr>
                                <w:p>
                                  <w:pPr>
                                    <w:pStyle w:val="TableContents"/>
                                    <w:bidi w:val="0"/>
                                    <w:spacing w:before="0" w:after="283"/>
                                    <w:jc w:val="left"/>
                                    <w:rPr/>
                                  </w:pPr>
                                  <w:r>
                                    <w:rPr/>
                                    <w:t>​</w:t>
                                  </w:r>
                                </w:p>
                              </w:tc>
                            </w:tr>
                            <w:tr>
                              <w:trPr/>
                              <w:tc>
                                <w:tcPr>
                                  <w:tcW w:w="124" w:type="dxa"/>
                                  <w:tcBorders>
                                    <w:bottom w:val="single" w:sz="2" w:space="0" w:color="83AD40"/>
                                  </w:tcBorders>
                                  <w:vAlign w:val="center"/>
                                </w:tcPr>
                                <w:p>
                                  <w:pPr>
                                    <w:pStyle w:val="TableContents"/>
                                    <w:bidi w:val="0"/>
                                    <w:spacing w:before="0" w:after="283"/>
                                    <w:jc w:val="left"/>
                                    <w:rPr/>
                                  </w:pPr>
                                  <w:r>
                                    <w:rPr/>
                                    <w:t>​</w:t>
                                  </w:r>
                                </w:p>
                              </w:tc>
                              <w:tc>
                                <w:tcPr>
                                  <w:tcW w:w="8627" w:type="dxa"/>
                                  <w:gridSpan w:val="4"/>
                                  <w:tcBorders>
                                    <w:bottom w:val="single" w:sz="2" w:space="0" w:color="83AD40"/>
                                  </w:tcBorders>
                                  <w:tcMar>
                                    <w:bottom w:w="67" w:type="dxa"/>
                                  </w:tcMar>
                                  <w:vAlign w:val="center"/>
                                </w:tcPr>
                                <w:p>
                                  <w:pPr>
                                    <w:pStyle w:val="TableContents"/>
                                    <w:bidi w:val="0"/>
                                    <w:spacing w:before="0" w:after="283"/>
                                    <w:jc w:val="left"/>
                                    <w:rPr/>
                                  </w:pPr>
                                  <w:hyperlink w:anchor="t2PSH">
                                    <w:r>
                                      <w:rPr>
                                        <w:rStyle w:val="InternetLink"/>
                                        <w:color w:val="83AD40"/>
                                        <w:spacing w:val="-2"/>
                                      </w:rPr>
                                      <w:t xml:space="preserve">2026 PROXY STATEMENT </w:t>
                                      <w:br/>
                                      <w:t>HIGHLIGHTS</w:t>
                                    </w:r>
                                  </w:hyperlink>
                                  <w:hyperlink w:anchor="t2PSH">
                                    <w:r>
                                      <w:rPr>
                                        <w:rStyle w:val="InternetLink"/>
                                        <w:color w:val="1F2668"/>
                                      </w:rPr>
                                      <w:t>​</w:t>
                                    </w:r>
                                  </w:hyperlink>
                                  <w:r>
                                    <w:rPr/>
                                    <w:t xml:space="preserve"> </w:t>
                                  </w:r>
                                </w:p>
                              </w:tc>
                              <w:tc>
                                <w:tcPr>
                                  <w:tcW w:w="109" w:type="dxa"/>
                                  <w:tcBorders>
                                    <w:bottom w:val="single" w:sz="2" w:space="0" w:color="83AD40"/>
                                  </w:tcBorders>
                                  <w:vAlign w:val="center"/>
                                </w:tcPr>
                                <w:p>
                                  <w:pPr>
                                    <w:pStyle w:val="TableContents"/>
                                    <w:bidi w:val="0"/>
                                    <w:spacing w:before="0" w:after="283"/>
                                    <w:jc w:val="left"/>
                                    <w:rPr/>
                                  </w:pPr>
                                  <w:r>
                                    <w:rPr/>
                                    <w:t>​</w:t>
                                  </w:r>
                                </w:p>
                              </w:tc>
                              <w:tc>
                                <w:tcPr>
                                  <w:tcW w:w="109" w:type="dxa"/>
                                  <w:tcBorders>
                                    <w:bottom w:val="single" w:sz="2" w:space="0" w:color="83AD40"/>
                                  </w:tcBorders>
                                  <w:vAlign w:val="center"/>
                                </w:tcPr>
                                <w:p>
                                  <w:pPr>
                                    <w:pStyle w:val="TableContents"/>
                                    <w:bidi w:val="0"/>
                                    <w:spacing w:before="0" w:after="283"/>
                                    <w:jc w:val="left"/>
                                    <w:rPr/>
                                  </w:pPr>
                                  <w:r>
                                    <w:rPr/>
                                    <w:t>​</w:t>
                                  </w:r>
                                </w:p>
                              </w:tc>
                              <w:tc>
                                <w:tcPr>
                                  <w:tcW w:w="109" w:type="dxa"/>
                                  <w:tcBorders>
                                    <w:bottom w:val="single" w:sz="2" w:space="0" w:color="83AD40"/>
                                  </w:tcBorders>
                                  <w:vAlign w:val="center"/>
                                </w:tcPr>
                                <w:p>
                                  <w:pPr>
                                    <w:pStyle w:val="TableContents"/>
                                    <w:bidi w:val="0"/>
                                    <w:spacing w:before="0" w:after="283"/>
                                    <w:jc w:val="left"/>
                                    <w:rPr/>
                                  </w:pPr>
                                  <w:r>
                                    <w:rPr/>
                                    <w:t>​</w:t>
                                  </w:r>
                                </w:p>
                              </w:tc>
                              <w:tc>
                                <w:tcPr>
                                  <w:tcW w:w="109" w:type="dxa"/>
                                  <w:tcBorders>
                                    <w:bottom w:val="single" w:sz="2" w:space="0" w:color="83AD40"/>
                                  </w:tcBorders>
                                  <w:tcMar>
                                    <w:bottom w:w="67" w:type="dxa"/>
                                  </w:tcMar>
                                  <w:vAlign w:val="center"/>
                                </w:tcPr>
                                <w:p>
                                  <w:pPr>
                                    <w:pStyle w:val="TableContents"/>
                                    <w:bidi w:val="0"/>
                                    <w:spacing w:before="0" w:after="283"/>
                                    <w:jc w:val="right"/>
                                    <w:rPr/>
                                  </w:pPr>
                                  <w:r>
                                    <w:rPr/>
                                    <w:t>​</w:t>
                                  </w:r>
                                </w:p>
                              </w:tc>
                              <w:tc>
                                <w:tcPr>
                                  <w:tcW w:w="404" w:type="dxa"/>
                                  <w:tcBorders>
                                    <w:bottom w:val="single" w:sz="2" w:space="0" w:color="83AD40"/>
                                  </w:tcBorders>
                                  <w:tcMar>
                                    <w:bottom w:w="67" w:type="dxa"/>
                                  </w:tcMar>
                                  <w:vAlign w:val="center"/>
                                </w:tcPr>
                                <w:p>
                                  <w:pPr>
                                    <w:pStyle w:val="TableContents"/>
                                    <w:bidi w:val="0"/>
                                    <w:spacing w:before="0" w:after="283"/>
                                    <w:jc w:val="right"/>
                                    <w:rPr/>
                                  </w:pPr>
                                  <w:hyperlink w:anchor="t2PSH">
                                    <w:r>
                                      <w:rPr>
                                        <w:rStyle w:val="InternetLink"/>
                                        <w:color w:val="83AD40"/>
                                        <w:spacing w:val="-2"/>
                                      </w:rPr>
                                      <w:t>4</w:t>
                                    </w:r>
                                  </w:hyperlink>
                                  <w:r>
                                    <w:rPr/>
                                    <w:t xml:space="preserve"> </w:t>
                                  </w:r>
                                </w:p>
                              </w:tc>
                              <w:tc>
                                <w:tcPr>
                                  <w:tcW w:w="109" w:type="dxa"/>
                                  <w:tcBorders>
                                    <w:bottom w:val="single" w:sz="2" w:space="0" w:color="83AD40"/>
                                  </w:tcBorders>
                                  <w:vAlign w:val="center"/>
                                </w:tcPr>
                                <w:p>
                                  <w:pPr>
                                    <w:pStyle w:val="TableContents"/>
                                    <w:bidi w:val="0"/>
                                    <w:spacing w:before="0" w:after="283"/>
                                    <w:jc w:val="left"/>
                                    <w:rPr/>
                                  </w:pPr>
                                  <w:r>
                                    <w:rPr/>
                                    <w:t>​</w:t>
                                  </w:r>
                                </w:p>
                              </w:tc>
                              <w:tc>
                                <w:tcPr>
                                  <w:tcW w:w="154" w:type="dxa"/>
                                  <w:tcBorders>
                                    <w:bottom w:val="single" w:sz="2" w:space="0" w:color="83AD40"/>
                                  </w:tcBorders>
                                  <w:vAlign w:val="center"/>
                                </w:tcPr>
                                <w:p>
                                  <w:pPr>
                                    <w:pStyle w:val="TableContents"/>
                                    <w:bidi w:val="0"/>
                                    <w:spacing w:before="0" w:after="283"/>
                                    <w:jc w:val="left"/>
                                    <w:rPr/>
                                  </w:pPr>
                                  <w:r>
                                    <w:rPr/>
                                    <w:t>​</w:t>
                                  </w:r>
                                </w:p>
                              </w:tc>
                            </w:tr>
                            <w:tr>
                              <w:trPr/>
                              <w:tc>
                                <w:tcPr>
                                  <w:tcW w:w="124" w:type="dxa"/>
                                  <w:tcBorders>
                                    <w:bottom w:val="single" w:sz="2" w:space="0" w:color="83AD40"/>
                                  </w:tcBorders>
                                  <w:vAlign w:val="center"/>
                                </w:tcPr>
                                <w:p>
                                  <w:pPr>
                                    <w:pStyle w:val="TableContents"/>
                                    <w:bidi w:val="0"/>
                                    <w:spacing w:before="0" w:after="283"/>
                                    <w:jc w:val="left"/>
                                    <w:rPr/>
                                  </w:pPr>
                                  <w:r>
                                    <w:rPr/>
                                    <w:t>​</w:t>
                                  </w:r>
                                </w:p>
                              </w:tc>
                              <w:tc>
                                <w:tcPr>
                                  <w:tcW w:w="8627" w:type="dxa"/>
                                  <w:gridSpan w:val="4"/>
                                  <w:tcBorders>
                                    <w:bottom w:val="single" w:sz="2" w:space="0" w:color="83AD40"/>
                                  </w:tcBorders>
                                  <w:tcMar>
                                    <w:bottom w:w="67" w:type="dxa"/>
                                  </w:tcMar>
                                  <w:vAlign w:val="center"/>
                                </w:tcPr>
                                <w:p>
                                  <w:pPr>
                                    <w:pStyle w:val="TableContents"/>
                                    <w:bidi w:val="0"/>
                                    <w:spacing w:before="0" w:after="283"/>
                                    <w:jc w:val="left"/>
                                    <w:rPr/>
                                  </w:pPr>
                                  <w:hyperlink w:anchor="tNOAM">
                                    <w:r>
                                      <w:rPr>
                                        <w:rStyle w:val="InternetLink"/>
                                        <w:color w:val="83AD40"/>
                                        <w:spacing w:val="-2"/>
                                      </w:rPr>
                                      <w:t>NOTICE OF ANNUAL MEETING OF STOCKHOLDERS</w:t>
                                    </w:r>
                                  </w:hyperlink>
                                  <w:hyperlink w:anchor="tNOAM">
                                    <w:r>
                                      <w:rPr>
                                        <w:rStyle w:val="InternetLink"/>
                                        <w:color w:val="1F2668"/>
                                      </w:rPr>
                                      <w:t>​</w:t>
                                    </w:r>
                                  </w:hyperlink>
                                  <w:r>
                                    <w:rPr/>
                                    <w:t xml:space="preserve"> </w:t>
                                  </w:r>
                                </w:p>
                              </w:tc>
                              <w:tc>
                                <w:tcPr>
                                  <w:tcW w:w="109" w:type="dxa"/>
                                  <w:tcBorders>
                                    <w:bottom w:val="single" w:sz="2" w:space="0" w:color="83AD40"/>
                                  </w:tcBorders>
                                  <w:vAlign w:val="center"/>
                                </w:tcPr>
                                <w:p>
                                  <w:pPr>
                                    <w:pStyle w:val="TableContents"/>
                                    <w:bidi w:val="0"/>
                                    <w:spacing w:before="0" w:after="283"/>
                                    <w:jc w:val="left"/>
                                    <w:rPr/>
                                  </w:pPr>
                                  <w:r>
                                    <w:rPr/>
                                    <w:t>​</w:t>
                                  </w:r>
                                </w:p>
                              </w:tc>
                              <w:tc>
                                <w:tcPr>
                                  <w:tcW w:w="109" w:type="dxa"/>
                                  <w:tcBorders>
                                    <w:bottom w:val="single" w:sz="2" w:space="0" w:color="83AD40"/>
                                  </w:tcBorders>
                                  <w:vAlign w:val="center"/>
                                </w:tcPr>
                                <w:p>
                                  <w:pPr>
                                    <w:pStyle w:val="TableContents"/>
                                    <w:bidi w:val="0"/>
                                    <w:spacing w:before="0" w:after="283"/>
                                    <w:jc w:val="left"/>
                                    <w:rPr/>
                                  </w:pPr>
                                  <w:r>
                                    <w:rPr/>
                                    <w:t>​</w:t>
                                  </w:r>
                                </w:p>
                              </w:tc>
                              <w:tc>
                                <w:tcPr>
                                  <w:tcW w:w="109" w:type="dxa"/>
                                  <w:tcBorders>
                                    <w:bottom w:val="single" w:sz="2" w:space="0" w:color="83AD40"/>
                                  </w:tcBorders>
                                  <w:vAlign w:val="center"/>
                                </w:tcPr>
                                <w:p>
                                  <w:pPr>
                                    <w:pStyle w:val="TableContents"/>
                                    <w:bidi w:val="0"/>
                                    <w:spacing w:before="0" w:after="283"/>
                                    <w:jc w:val="left"/>
                                    <w:rPr/>
                                  </w:pPr>
                                  <w:r>
                                    <w:rPr/>
                                    <w:t>​</w:t>
                                  </w:r>
                                </w:p>
                              </w:tc>
                              <w:tc>
                                <w:tcPr>
                                  <w:tcW w:w="109" w:type="dxa"/>
                                  <w:tcBorders>
                                    <w:bottom w:val="single" w:sz="2" w:space="0" w:color="83AD40"/>
                                  </w:tcBorders>
                                  <w:tcMar>
                                    <w:bottom w:w="67" w:type="dxa"/>
                                  </w:tcMar>
                                  <w:vAlign w:val="center"/>
                                </w:tcPr>
                                <w:p>
                                  <w:pPr>
                                    <w:pStyle w:val="TableContents"/>
                                    <w:bidi w:val="0"/>
                                    <w:spacing w:before="0" w:after="283"/>
                                    <w:jc w:val="right"/>
                                    <w:rPr/>
                                  </w:pPr>
                                  <w:r>
                                    <w:rPr/>
                                    <w:t>​</w:t>
                                  </w:r>
                                </w:p>
                              </w:tc>
                              <w:tc>
                                <w:tcPr>
                                  <w:tcW w:w="404" w:type="dxa"/>
                                  <w:tcBorders>
                                    <w:bottom w:val="single" w:sz="2" w:space="0" w:color="83AD40"/>
                                  </w:tcBorders>
                                  <w:tcMar>
                                    <w:bottom w:w="67" w:type="dxa"/>
                                  </w:tcMar>
                                  <w:vAlign w:val="center"/>
                                </w:tcPr>
                                <w:p>
                                  <w:pPr>
                                    <w:pStyle w:val="TableContents"/>
                                    <w:bidi w:val="0"/>
                                    <w:spacing w:before="0" w:after="283"/>
                                    <w:jc w:val="right"/>
                                    <w:rPr/>
                                  </w:pPr>
                                  <w:hyperlink w:anchor="tNOAM">
                                    <w:r>
                                      <w:rPr>
                                        <w:rStyle w:val="InternetLink"/>
                                        <w:color w:val="83AD40"/>
                                        <w:spacing w:val="-2"/>
                                      </w:rPr>
                                      <w:t>8</w:t>
                                    </w:r>
                                  </w:hyperlink>
                                  <w:r>
                                    <w:rPr/>
                                    <w:t xml:space="preserve"> </w:t>
                                  </w:r>
                                </w:p>
                              </w:tc>
                              <w:tc>
                                <w:tcPr>
                                  <w:tcW w:w="109" w:type="dxa"/>
                                  <w:tcBorders>
                                    <w:bottom w:val="single" w:sz="2" w:space="0" w:color="83AD40"/>
                                  </w:tcBorders>
                                  <w:vAlign w:val="center"/>
                                </w:tcPr>
                                <w:p>
                                  <w:pPr>
                                    <w:pStyle w:val="TableContents"/>
                                    <w:bidi w:val="0"/>
                                    <w:spacing w:before="0" w:after="283"/>
                                    <w:jc w:val="left"/>
                                    <w:rPr/>
                                  </w:pPr>
                                  <w:r>
                                    <w:rPr/>
                                    <w:t>​</w:t>
                                  </w:r>
                                </w:p>
                              </w:tc>
                              <w:tc>
                                <w:tcPr>
                                  <w:tcW w:w="154" w:type="dxa"/>
                                  <w:tcBorders>
                                    <w:bottom w:val="single" w:sz="2" w:space="0" w:color="83AD40"/>
                                  </w:tcBorders>
                                  <w:vAlign w:val="center"/>
                                </w:tcPr>
                                <w:p>
                                  <w:pPr>
                                    <w:pStyle w:val="TableContents"/>
                                    <w:bidi w:val="0"/>
                                    <w:spacing w:before="0" w:after="283"/>
                                    <w:jc w:val="left"/>
                                    <w:rPr/>
                                  </w:pPr>
                                  <w:r>
                                    <w:rPr/>
                                    <w:t>​</w:t>
                                  </w:r>
                                </w:p>
                              </w:tc>
                            </w:tr>
                            <w:tr>
                              <w:trPr/>
                              <w:tc>
                                <w:tcPr>
                                  <w:tcW w:w="124" w:type="dxa"/>
                                  <w:tcBorders>
                                    <w:bottom w:val="single" w:sz="2" w:space="0" w:color="83AD40"/>
                                  </w:tcBorders>
                                  <w:vAlign w:val="center"/>
                                </w:tcPr>
                                <w:p>
                                  <w:pPr>
                                    <w:pStyle w:val="TableContents"/>
                                    <w:bidi w:val="0"/>
                                    <w:spacing w:before="0" w:after="283"/>
                                    <w:jc w:val="left"/>
                                    <w:rPr/>
                                  </w:pPr>
                                  <w:r>
                                    <w:rPr/>
                                    <w:t>​</w:t>
                                  </w:r>
                                </w:p>
                              </w:tc>
                              <w:tc>
                                <w:tcPr>
                                  <w:tcW w:w="8627" w:type="dxa"/>
                                  <w:gridSpan w:val="4"/>
                                  <w:tcBorders>
                                    <w:bottom w:val="single" w:sz="2" w:space="0" w:color="83AD40"/>
                                  </w:tcBorders>
                                  <w:tcMar>
                                    <w:bottom w:w="67" w:type="dxa"/>
                                  </w:tcMar>
                                  <w:vAlign w:val="center"/>
                                </w:tcPr>
                                <w:p>
                                  <w:pPr>
                                    <w:pStyle w:val="TableContents"/>
                                    <w:bidi w:val="0"/>
                                    <w:spacing w:before="0" w:after="283"/>
                                    <w:jc w:val="left"/>
                                    <w:rPr/>
                                  </w:pPr>
                                  <w:hyperlink w:anchor="tOBOD">
                                    <w:r>
                                      <w:rPr>
                                        <w:rStyle w:val="InternetLink"/>
                                        <w:color w:val="83AD40"/>
                                        <w:spacing w:val="-2"/>
                                        <w:sz w:val="24"/>
                                      </w:rPr>
                                      <w:t>OUR BOARD OF DIRECTORS AND CORPORATE GOVERNANCE</w:t>
                                    </w:r>
                                  </w:hyperlink>
                                  <w:hyperlink w:anchor="tOBOD">
                                    <w:r>
                                      <w:rPr>
                                        <w:rStyle w:val="InternetLink"/>
                                        <w:color w:val="1F2668"/>
                                      </w:rPr>
                                      <w:t>​</w:t>
                                    </w:r>
                                  </w:hyperlink>
                                  <w:r>
                                    <w:rPr/>
                                    <w:t xml:space="preserve"> </w:t>
                                  </w:r>
                                </w:p>
                              </w:tc>
                              <w:tc>
                                <w:tcPr>
                                  <w:tcW w:w="109" w:type="dxa"/>
                                  <w:tcBorders>
                                    <w:bottom w:val="single" w:sz="2" w:space="0" w:color="83AD40"/>
                                  </w:tcBorders>
                                  <w:vAlign w:val="center"/>
                                </w:tcPr>
                                <w:p>
                                  <w:pPr>
                                    <w:pStyle w:val="TableContents"/>
                                    <w:bidi w:val="0"/>
                                    <w:spacing w:before="0" w:after="283"/>
                                    <w:jc w:val="left"/>
                                    <w:rPr/>
                                  </w:pPr>
                                  <w:r>
                                    <w:rPr/>
                                    <w:t>​</w:t>
                                  </w:r>
                                </w:p>
                              </w:tc>
                              <w:tc>
                                <w:tcPr>
                                  <w:tcW w:w="109" w:type="dxa"/>
                                  <w:tcBorders>
                                    <w:bottom w:val="single" w:sz="2" w:space="0" w:color="83AD40"/>
                                  </w:tcBorders>
                                  <w:vAlign w:val="center"/>
                                </w:tcPr>
                                <w:p>
                                  <w:pPr>
                                    <w:pStyle w:val="TableContents"/>
                                    <w:bidi w:val="0"/>
                                    <w:spacing w:before="0" w:after="283"/>
                                    <w:jc w:val="left"/>
                                    <w:rPr/>
                                  </w:pPr>
                                  <w:r>
                                    <w:rPr/>
                                    <w:t>​</w:t>
                                  </w:r>
                                </w:p>
                              </w:tc>
                              <w:tc>
                                <w:tcPr>
                                  <w:tcW w:w="109" w:type="dxa"/>
                                  <w:tcBorders>
                                    <w:bottom w:val="single" w:sz="2" w:space="0" w:color="83AD40"/>
                                  </w:tcBorders>
                                  <w:vAlign w:val="center"/>
                                </w:tcPr>
                                <w:p>
                                  <w:pPr>
                                    <w:pStyle w:val="TableContents"/>
                                    <w:bidi w:val="0"/>
                                    <w:spacing w:before="0" w:after="283"/>
                                    <w:jc w:val="left"/>
                                    <w:rPr/>
                                  </w:pPr>
                                  <w:r>
                                    <w:rPr/>
                                    <w:t>​</w:t>
                                  </w:r>
                                </w:p>
                              </w:tc>
                              <w:tc>
                                <w:tcPr>
                                  <w:tcW w:w="109" w:type="dxa"/>
                                  <w:tcBorders>
                                    <w:bottom w:val="single" w:sz="2" w:space="0" w:color="83AD40"/>
                                  </w:tcBorders>
                                  <w:tcMar>
                                    <w:bottom w:w="67" w:type="dxa"/>
                                  </w:tcMar>
                                  <w:vAlign w:val="center"/>
                                </w:tcPr>
                                <w:p>
                                  <w:pPr>
                                    <w:pStyle w:val="TableContents"/>
                                    <w:bidi w:val="0"/>
                                    <w:spacing w:before="0" w:after="0"/>
                                    <w:jc w:val="right"/>
                                    <w:rPr/>
                                  </w:pPr>
                                  <w:r>
                                    <w:rPr/>
                                    <w:t>​</w:t>
                                  </w:r>
                                </w:p>
                              </w:tc>
                              <w:tc>
                                <w:tcPr>
                                  <w:tcW w:w="404" w:type="dxa"/>
                                  <w:tcBorders>
                                    <w:bottom w:val="single" w:sz="2" w:space="0" w:color="83AD40"/>
                                  </w:tcBorders>
                                  <w:tcMar>
                                    <w:bottom w:w="67" w:type="dxa"/>
                                  </w:tcMar>
                                  <w:vAlign w:val="center"/>
                                </w:tcPr>
                                <w:p>
                                  <w:pPr>
                                    <w:pStyle w:val="TableContents"/>
                                    <w:bidi w:val="0"/>
                                    <w:spacing w:before="0" w:after="0"/>
                                    <w:jc w:val="right"/>
                                    <w:rPr/>
                                  </w:pPr>
                                  <w:hyperlink w:anchor="tOBOD">
                                    <w:r>
                                      <w:rPr>
                                        <w:rStyle w:val="InternetLink"/>
                                        <w:color w:val="83AD40"/>
                                        <w:spacing w:val="-2"/>
                                        <w:sz w:val="24"/>
                                      </w:rPr>
                                      <w:t>10</w:t>
                                    </w:r>
                                  </w:hyperlink>
                                  <w:r>
                                    <w:rPr>
                                      <w:sz w:val="24"/>
                                    </w:rPr>
                                    <w:t xml:space="preserve"> </w:t>
                                  </w:r>
                                </w:p>
                              </w:tc>
                              <w:tc>
                                <w:tcPr>
                                  <w:tcW w:w="109" w:type="dxa"/>
                                  <w:tcBorders>
                                    <w:bottom w:val="single" w:sz="2" w:space="0" w:color="83AD40"/>
                                  </w:tcBorders>
                                  <w:vAlign w:val="center"/>
                                </w:tcPr>
                                <w:p>
                                  <w:pPr>
                                    <w:pStyle w:val="TableContents"/>
                                    <w:bidi w:val="0"/>
                                    <w:spacing w:before="0" w:after="283"/>
                                    <w:jc w:val="left"/>
                                    <w:rPr/>
                                  </w:pPr>
                                  <w:r>
                                    <w:rPr/>
                                    <w:t>​</w:t>
                                  </w:r>
                                </w:p>
                              </w:tc>
                              <w:tc>
                                <w:tcPr>
                                  <w:tcW w:w="154" w:type="dxa"/>
                                  <w:tcBorders>
                                    <w:bottom w:val="single" w:sz="2" w:space="0" w:color="83AD40"/>
                                  </w:tcBorders>
                                  <w:vAlign w:val="center"/>
                                </w:tcPr>
                                <w:p>
                                  <w:pPr>
                                    <w:pStyle w:val="TableContents"/>
                                    <w:bidi w:val="0"/>
                                    <w:spacing w:before="0" w:after="283"/>
                                    <w:jc w:val="left"/>
                                    <w:rPr/>
                                  </w:pPr>
                                  <w:r>
                                    <w:rPr/>
                                    <w:t>​</w:t>
                                  </w:r>
                                </w:p>
                              </w:tc>
                            </w:tr>
                            <w:tr>
                              <w:trPr/>
                              <w:tc>
                                <w:tcPr>
                                  <w:tcW w:w="124" w:type="dxa"/>
                                  <w:tcBorders/>
                                  <w:shd w:fill="E9F9D8" w:val="clear"/>
                                  <w:tcMar>
                                    <w:bottom w:w="0" w:type="dxa"/>
                                  </w:tcMar>
                                  <w:vAlign w:val="center"/>
                                </w:tcPr>
                                <w:p>
                                  <w:pPr>
                                    <w:pStyle w:val="TableContents"/>
                                    <w:bidi w:val="0"/>
                                    <w:spacing w:before="0" w:after="283"/>
                                    <w:jc w:val="left"/>
                                    <w:rPr/>
                                  </w:pPr>
                                  <w:r>
                                    <w:rPr/>
                                    <w:t>​</w:t>
                                  </w:r>
                                </w:p>
                              </w:tc>
                              <w:tc>
                                <w:tcPr>
                                  <w:tcW w:w="7873" w:type="dxa"/>
                                  <w:tcBorders/>
                                  <w:shd w:fill="E9F9D8" w:val="clear"/>
                                  <w:tcMar>
                                    <w:bottom w:w="0" w:type="dxa"/>
                                  </w:tcMar>
                                  <w:vAlign w:val="center"/>
                                </w:tcPr>
                                <w:p>
                                  <w:pPr>
                                    <w:pStyle w:val="TableContents"/>
                                    <w:bidi w:val="0"/>
                                    <w:spacing w:lineRule="atLeast" w:line="220" w:before="0" w:after="0"/>
                                    <w:jc w:val="left"/>
                                    <w:rPr/>
                                  </w:pPr>
                                  <w:hyperlink w:anchor="tEOD">
                                    <w:r>
                                      <w:rPr>
                                        <w:rStyle w:val="InternetLink"/>
                                        <w:color w:val="1F2668"/>
                                        <w:spacing w:val="-2"/>
                                      </w:rPr>
                                      <w:t>Proposal 1: Election of Directors</w:t>
                                    </w:r>
                                  </w:hyperlink>
                                  <w:r>
                                    <w:rPr/>
                                    <w:t xml:space="preserve"> </w:t>
                                  </w:r>
                                </w:p>
                              </w:tc>
                              <w:tc>
                                <w:tcPr>
                                  <w:tcW w:w="109" w:type="dxa"/>
                                  <w:tcBorders/>
                                  <w:shd w:fill="E9F9D8" w:val="clear"/>
                                  <w:tcMar>
                                    <w:bottom w:w="0" w:type="dxa"/>
                                  </w:tcMar>
                                  <w:vAlign w:val="center"/>
                                </w:tcPr>
                                <w:p>
                                  <w:pPr>
                                    <w:pStyle w:val="TableContents"/>
                                    <w:bidi w:val="0"/>
                                    <w:spacing w:before="0" w:after="283"/>
                                    <w:jc w:val="left"/>
                                    <w:rPr/>
                                  </w:pPr>
                                  <w:r>
                                    <w:rPr/>
                                    <w:t>​</w:t>
                                  </w:r>
                                </w:p>
                              </w:tc>
                              <w:tc>
                                <w:tcPr>
                                  <w:tcW w:w="109" w:type="dxa"/>
                                  <w:tcBorders/>
                                  <w:shd w:fill="E9F9D8" w:val="clear"/>
                                  <w:tcMar>
                                    <w:bottom w:w="0" w:type="dxa"/>
                                  </w:tcMar>
                                  <w:vAlign w:val="center"/>
                                </w:tcPr>
                                <w:p>
                                  <w:pPr>
                                    <w:pStyle w:val="TableContents"/>
                                    <w:bidi w:val="0"/>
                                    <w:spacing w:before="0" w:after="283"/>
                                    <w:jc w:val="left"/>
                                    <w:rPr/>
                                  </w:pPr>
                                  <w:r>
                                    <w:rPr/>
                                    <w:t>​</w:t>
                                  </w:r>
                                </w:p>
                              </w:tc>
                              <w:tc>
                                <w:tcPr>
                                  <w:tcW w:w="536" w:type="dxa"/>
                                  <w:tcBorders/>
                                  <w:shd w:fill="E9F9D8" w:val="clear"/>
                                  <w:tcMar>
                                    <w:bottom w:w="0" w:type="dxa"/>
                                  </w:tcMar>
                                  <w:vAlign w:val="center"/>
                                </w:tcPr>
                                <w:p>
                                  <w:pPr>
                                    <w:pStyle w:val="TableContents"/>
                                    <w:bidi w:val="0"/>
                                    <w:spacing w:before="0" w:after="0"/>
                                    <w:jc w:val="center"/>
                                    <w:rPr/>
                                  </w:pPr>
                                  <w:r>
                                    <w:rPr/>
                                    <w:drawing>
                                      <wp:inline distT="0" distB="0" distL="0" distR="0">
                                        <wp:extent cx="247650" cy="247650"/>
                                        <wp:effectExtent l="0" t="0" r="0" b="0"/>
                                        <wp:docPr id="108" name="Image38" descr="">
                                          <a:hlinkClick xmlns:a="http://schemas.openxmlformats.org/drawingml/2006/main" r:id="rId5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38" descr="">
                                                  <a:hlinkClick r:id="rId52"/>
                                                </pic:cNvPr>
                                                <pic:cNvPicPr>
                                                  <a:picLocks noChangeAspect="1" noChangeArrowheads="1"/>
                                                </pic:cNvPicPr>
                                              </pic:nvPicPr>
                                              <pic:blipFill>
                                                <a:blip r:embed="rId51"/>
                                                <a:stretch>
                                                  <a:fillRect/>
                                                </a:stretch>
                                              </pic:blipFill>
                                              <pic:spPr bwMode="auto">
                                                <a:xfrm>
                                                  <a:off x="0" y="0"/>
                                                  <a:ext cx="247650" cy="247650"/>
                                                </a:xfrm>
                                                <a:prstGeom prst="rect">
                                                  <a:avLst/>
                                                </a:prstGeom>
                                                <a:ln w="9525">
                                                  <a:solidFill>
                                                    <a:srgbClr val="000080"/>
                                                  </a:solidFill>
                                                </a:ln>
                                              </pic:spPr>
                                            </pic:pic>
                                          </a:graphicData>
                                        </a:graphic>
                                      </wp:inline>
                                    </w:drawing>
                                  </w:r>
                                  <w:hyperlink w:anchor="tEOD">
                                    <w:r>
                                      <w:rPr>
                                        <w:rStyle w:val="InternetLink"/>
                                      </w:rPr>
                                      <w:t xml:space="preserve"> </w:t>
                                    </w:r>
                                  </w:hyperlink>
                                </w:p>
                              </w:tc>
                              <w:tc>
                                <w:tcPr>
                                  <w:tcW w:w="109" w:type="dxa"/>
                                  <w:tcBorders/>
                                  <w:shd w:fill="E9F9D8" w:val="clear"/>
                                  <w:tcMar>
                                    <w:bottom w:w="0" w:type="dxa"/>
                                  </w:tcMar>
                                  <w:vAlign w:val="center"/>
                                </w:tcPr>
                                <w:p>
                                  <w:pPr>
                                    <w:pStyle w:val="TableContents"/>
                                    <w:bidi w:val="0"/>
                                    <w:spacing w:before="0" w:after="283"/>
                                    <w:jc w:val="left"/>
                                    <w:rPr/>
                                  </w:pPr>
                                  <w:r>
                                    <w:rPr/>
                                    <w:t>​</w:t>
                                  </w:r>
                                </w:p>
                              </w:tc>
                              <w:tc>
                                <w:tcPr>
                                  <w:tcW w:w="109" w:type="dxa"/>
                                  <w:tcBorders/>
                                  <w:shd w:fill="E9F9D8" w:val="clear"/>
                                  <w:tcMar>
                                    <w:bottom w:w="0" w:type="dxa"/>
                                  </w:tcMar>
                                  <w:vAlign w:val="center"/>
                                </w:tcPr>
                                <w:p>
                                  <w:pPr>
                                    <w:pStyle w:val="TableContents"/>
                                    <w:bidi w:val="0"/>
                                    <w:spacing w:before="0" w:after="283"/>
                                    <w:jc w:val="left"/>
                                    <w:rPr/>
                                  </w:pPr>
                                  <w:r>
                                    <w:rPr/>
                                    <w:t>​</w:t>
                                  </w:r>
                                </w:p>
                              </w:tc>
                              <w:tc>
                                <w:tcPr>
                                  <w:tcW w:w="109" w:type="dxa"/>
                                  <w:tcBorders/>
                                  <w:shd w:fill="E9F9D8" w:val="clear"/>
                                  <w:tcMar>
                                    <w:bottom w:w="0" w:type="dxa"/>
                                  </w:tcMar>
                                  <w:vAlign w:val="center"/>
                                </w:tcPr>
                                <w:p>
                                  <w:pPr>
                                    <w:pStyle w:val="TableContents"/>
                                    <w:bidi w:val="0"/>
                                    <w:spacing w:before="0" w:after="283"/>
                                    <w:jc w:val="left"/>
                                    <w:rPr/>
                                  </w:pPr>
                                  <w:r>
                                    <w:rPr/>
                                    <w:t>​</w:t>
                                  </w:r>
                                </w:p>
                              </w:tc>
                              <w:tc>
                                <w:tcPr>
                                  <w:tcW w:w="109" w:type="dxa"/>
                                  <w:tcBorders/>
                                  <w:shd w:fill="E9F9D8" w:val="clear"/>
                                  <w:tcMar>
                                    <w:bottom w:w="0" w:type="dxa"/>
                                  </w:tcMar>
                                  <w:vAlign w:val="center"/>
                                </w:tcPr>
                                <w:p>
                                  <w:pPr>
                                    <w:pStyle w:val="TableContents"/>
                                    <w:bidi w:val="0"/>
                                    <w:spacing w:before="0" w:after="283"/>
                                    <w:jc w:val="right"/>
                                    <w:rPr/>
                                  </w:pPr>
                                  <w:r>
                                    <w:rPr/>
                                    <w:t>​</w:t>
                                  </w:r>
                                </w:p>
                              </w:tc>
                              <w:tc>
                                <w:tcPr>
                                  <w:tcW w:w="404" w:type="dxa"/>
                                  <w:tcBorders/>
                                  <w:shd w:fill="E9F9D8" w:val="clear"/>
                                  <w:tcMar>
                                    <w:bottom w:w="0" w:type="dxa"/>
                                  </w:tcMar>
                                  <w:vAlign w:val="center"/>
                                </w:tcPr>
                                <w:p>
                                  <w:pPr>
                                    <w:pStyle w:val="TableContents"/>
                                    <w:bidi w:val="0"/>
                                    <w:spacing w:before="0" w:after="283"/>
                                    <w:jc w:val="right"/>
                                    <w:rPr/>
                                  </w:pPr>
                                  <w:hyperlink w:anchor="tEOD">
                                    <w:r>
                                      <w:rPr>
                                        <w:rStyle w:val="InternetLink"/>
                                        <w:color w:val="1F2668"/>
                                        <w:spacing w:val="-2"/>
                                      </w:rPr>
                                      <w:t>10</w:t>
                                    </w:r>
                                  </w:hyperlink>
                                  <w:r>
                                    <w:rPr/>
                                    <w:t xml:space="preserve"> </w:t>
                                  </w:r>
                                </w:p>
                              </w:tc>
                              <w:tc>
                                <w:tcPr>
                                  <w:tcW w:w="109" w:type="dxa"/>
                                  <w:tcBorders/>
                                  <w:shd w:fill="E9F9D8" w:val="clear"/>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627" w:type="dxa"/>
                                  <w:gridSpan w:val="4"/>
                                  <w:tcBorders/>
                                  <w:tcMar>
                                    <w:bottom w:w="0" w:type="dxa"/>
                                  </w:tcMar>
                                  <w:vAlign w:val="center"/>
                                </w:tcPr>
                                <w:p>
                                  <w:pPr>
                                    <w:pStyle w:val="TableContents"/>
                                    <w:bidi w:val="0"/>
                                    <w:spacing w:before="0" w:after="0"/>
                                    <w:jc w:val="left"/>
                                    <w:rPr/>
                                  </w:pPr>
                                  <w:hyperlink w:anchor="tIRTD">
                                    <w:r>
                                      <w:rPr>
                                        <w:rStyle w:val="InternetLink"/>
                                        <w:color w:val="1F2668"/>
                                        <w:spacing w:val="-2"/>
                                      </w:rPr>
                                      <w:t>Information Regarding the Director Nominees</w:t>
                                    </w:r>
                                  </w:hyperlink>
                                  <w:r>
                                    <w:rPr>
                                      <w:color w:val="1F2668"/>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4" w:type="dxa"/>
                                  <w:tcBorders/>
                                  <w:tcMar>
                                    <w:bottom w:w="0" w:type="dxa"/>
                                  </w:tcMar>
                                  <w:vAlign w:val="center"/>
                                </w:tcPr>
                                <w:p>
                                  <w:pPr>
                                    <w:pStyle w:val="TableContents"/>
                                    <w:bidi w:val="0"/>
                                    <w:spacing w:before="0" w:after="283"/>
                                    <w:jc w:val="right"/>
                                    <w:rPr/>
                                  </w:pPr>
                                  <w:hyperlink w:anchor="tIRTD">
                                    <w:r>
                                      <w:rPr>
                                        <w:rStyle w:val="InternetLink"/>
                                        <w:color w:val="1F2668"/>
                                        <w:spacing w:val="-2"/>
                                      </w:rPr>
                                      <w:t>11</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627" w:type="dxa"/>
                                  <w:gridSpan w:val="4"/>
                                  <w:tcBorders/>
                                  <w:tcMar>
                                    <w:bottom w:w="0" w:type="dxa"/>
                                  </w:tcMar>
                                  <w:vAlign w:val="center"/>
                                </w:tcPr>
                                <w:p>
                                  <w:pPr>
                                    <w:pStyle w:val="TableContents"/>
                                    <w:bidi w:val="0"/>
                                    <w:spacing w:before="0" w:after="0"/>
                                    <w:jc w:val="left"/>
                                    <w:rPr/>
                                  </w:pPr>
                                  <w:hyperlink w:anchor="tBSAI">
                                    <w:r>
                                      <w:rPr>
                                        <w:rStyle w:val="InternetLink"/>
                                        <w:color w:val="1F2668"/>
                                        <w:spacing w:val="-2"/>
                                      </w:rPr>
                                      <w:t>Board Structure and Independence</w:t>
                                    </w:r>
                                  </w:hyperlink>
                                  <w:r>
                                    <w:rPr>
                                      <w:color w:val="1F2668"/>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4" w:type="dxa"/>
                                  <w:tcBorders/>
                                  <w:tcMar>
                                    <w:bottom w:w="0" w:type="dxa"/>
                                  </w:tcMar>
                                  <w:vAlign w:val="center"/>
                                </w:tcPr>
                                <w:p>
                                  <w:pPr>
                                    <w:pStyle w:val="TableContents"/>
                                    <w:bidi w:val="0"/>
                                    <w:spacing w:before="0" w:after="283"/>
                                    <w:jc w:val="right"/>
                                    <w:rPr/>
                                  </w:pPr>
                                  <w:hyperlink w:anchor="tBSAI">
                                    <w:r>
                                      <w:rPr>
                                        <w:rStyle w:val="InternetLink"/>
                                        <w:color w:val="1F2668"/>
                                        <w:spacing w:val="-2"/>
                                      </w:rPr>
                                      <w:t>23</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627" w:type="dxa"/>
                                  <w:gridSpan w:val="4"/>
                                  <w:tcBorders/>
                                  <w:tcMar>
                                    <w:bottom w:w="0" w:type="dxa"/>
                                  </w:tcMar>
                                  <w:vAlign w:val="center"/>
                                </w:tcPr>
                                <w:p>
                                  <w:pPr>
                                    <w:pStyle w:val="TableContents"/>
                                    <w:bidi w:val="0"/>
                                    <w:spacing w:before="0" w:after="283"/>
                                    <w:jc w:val="left"/>
                                    <w:rPr/>
                                  </w:pPr>
                                  <w:hyperlink w:anchor="tBOCO">
                                    <w:r>
                                      <w:rPr>
                                        <w:rStyle w:val="InternetLink"/>
                                        <w:color w:val="1F2668"/>
                                        <w:spacing w:val="-2"/>
                                      </w:rPr>
                                      <w:t>Board Committees</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4" w:type="dxa"/>
                                  <w:tcBorders/>
                                  <w:tcMar>
                                    <w:bottom w:w="0" w:type="dxa"/>
                                  </w:tcMar>
                                  <w:vAlign w:val="center"/>
                                </w:tcPr>
                                <w:p>
                                  <w:pPr>
                                    <w:pStyle w:val="TableContents"/>
                                    <w:bidi w:val="0"/>
                                    <w:spacing w:before="0" w:after="283"/>
                                    <w:jc w:val="right"/>
                                    <w:rPr/>
                                  </w:pPr>
                                  <w:hyperlink w:anchor="tBOCO">
                                    <w:r>
                                      <w:rPr>
                                        <w:rStyle w:val="InternetLink"/>
                                        <w:color w:val="1F2668"/>
                                        <w:spacing w:val="-2"/>
                                      </w:rPr>
                                      <w:t>25</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627" w:type="dxa"/>
                                  <w:gridSpan w:val="4"/>
                                  <w:tcBorders/>
                                  <w:tcMar>
                                    <w:bottom w:w="0" w:type="dxa"/>
                                  </w:tcMar>
                                  <w:vAlign w:val="center"/>
                                </w:tcPr>
                                <w:p>
                                  <w:pPr>
                                    <w:pStyle w:val="TableContents"/>
                                    <w:bidi w:val="0"/>
                                    <w:spacing w:before="0" w:after="283"/>
                                    <w:jc w:val="left"/>
                                    <w:rPr/>
                                  </w:pPr>
                                  <w:hyperlink w:anchor="tCOGO">
                                    <w:r>
                                      <w:rPr>
                                        <w:rStyle w:val="InternetLink"/>
                                        <w:color w:val="1F2668"/>
                                        <w:spacing w:val="-2"/>
                                      </w:rPr>
                                      <w:t>Corporate Governance</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4" w:type="dxa"/>
                                  <w:tcBorders/>
                                  <w:tcMar>
                                    <w:bottom w:w="0" w:type="dxa"/>
                                  </w:tcMar>
                                  <w:vAlign w:val="center"/>
                                </w:tcPr>
                                <w:p>
                                  <w:pPr>
                                    <w:pStyle w:val="TableContents"/>
                                    <w:bidi w:val="0"/>
                                    <w:spacing w:before="0" w:after="283"/>
                                    <w:jc w:val="right"/>
                                    <w:rPr/>
                                  </w:pPr>
                                  <w:hyperlink w:anchor="tCOGO">
                                    <w:r>
                                      <w:rPr>
                                        <w:rStyle w:val="InternetLink"/>
                                        <w:color w:val="1F2668"/>
                                        <w:spacing w:val="-2"/>
                                      </w:rPr>
                                      <w:t>29</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627" w:type="dxa"/>
                                  <w:gridSpan w:val="4"/>
                                  <w:tcBorders/>
                                  <w:tcMar>
                                    <w:bottom w:w="0" w:type="dxa"/>
                                  </w:tcMar>
                                  <w:vAlign w:val="center"/>
                                </w:tcPr>
                                <w:p>
                                  <w:pPr>
                                    <w:pStyle w:val="TableContents"/>
                                    <w:bidi w:val="0"/>
                                    <w:spacing w:before="0" w:after="283"/>
                                    <w:jc w:val="left"/>
                                    <w:rPr/>
                                  </w:pPr>
                                  <w:hyperlink w:anchor="tDICO">
                                    <w:r>
                                      <w:rPr>
                                        <w:rStyle w:val="InternetLink"/>
                                        <w:color w:val="1F2668"/>
                                        <w:spacing w:val="-2"/>
                                      </w:rPr>
                                      <w:t>Director Compensation</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4" w:type="dxa"/>
                                  <w:tcBorders/>
                                  <w:tcMar>
                                    <w:bottom w:w="0" w:type="dxa"/>
                                  </w:tcMar>
                                  <w:vAlign w:val="center"/>
                                </w:tcPr>
                                <w:p>
                                  <w:pPr>
                                    <w:pStyle w:val="TableContents"/>
                                    <w:bidi w:val="0"/>
                                    <w:spacing w:before="0" w:after="283"/>
                                    <w:jc w:val="right"/>
                                    <w:rPr/>
                                  </w:pPr>
                                  <w:hyperlink w:anchor="tDICO">
                                    <w:r>
                                      <w:rPr>
                                        <w:rStyle w:val="InternetLink"/>
                                        <w:color w:val="1F2668"/>
                                        <w:spacing w:val="-2"/>
                                      </w:rPr>
                                      <w:t>36</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83AD40"/>
                                  </w:tcBorders>
                                  <w:vAlign w:val="center"/>
                                </w:tcPr>
                                <w:p>
                                  <w:pPr>
                                    <w:pStyle w:val="TableContents"/>
                                    <w:bidi w:val="0"/>
                                    <w:spacing w:before="0" w:after="283"/>
                                    <w:jc w:val="left"/>
                                    <w:rPr/>
                                  </w:pPr>
                                  <w:r>
                                    <w:rPr/>
                                    <w:t>​</w:t>
                                  </w:r>
                                </w:p>
                              </w:tc>
                              <w:tc>
                                <w:tcPr>
                                  <w:tcW w:w="8627" w:type="dxa"/>
                                  <w:gridSpan w:val="4"/>
                                  <w:tcBorders>
                                    <w:bottom w:val="single" w:sz="2" w:space="0" w:color="83AD40"/>
                                  </w:tcBorders>
                                  <w:tcMar>
                                    <w:bottom w:w="80" w:type="dxa"/>
                                  </w:tcMar>
                                  <w:vAlign w:val="center"/>
                                </w:tcPr>
                                <w:p>
                                  <w:pPr>
                                    <w:pStyle w:val="TableContents"/>
                                    <w:bidi w:val="0"/>
                                    <w:spacing w:before="0" w:after="283"/>
                                    <w:jc w:val="left"/>
                                    <w:rPr/>
                                  </w:pPr>
                                  <w:hyperlink w:anchor="tEXOF">
                                    <w:r>
                                      <w:rPr>
                                        <w:rStyle w:val="InternetLink"/>
                                        <w:color w:val="83AD40"/>
                                        <w:spacing w:val="-2"/>
                                      </w:rPr>
                                      <w:t>EXECUTIVE OFFICERS</w:t>
                                    </w:r>
                                  </w:hyperlink>
                                  <w:hyperlink w:anchor="tEXOF">
                                    <w:r>
                                      <w:rPr>
                                        <w:rStyle w:val="InternetLink"/>
                                        <w:color w:val="1F2668"/>
                                      </w:rPr>
                                      <w:t>​</w:t>
                                    </w:r>
                                  </w:hyperlink>
                                  <w:r>
                                    <w:rPr/>
                                    <w:t xml:space="preserve"> </w:t>
                                  </w:r>
                                </w:p>
                              </w:tc>
                              <w:tc>
                                <w:tcPr>
                                  <w:tcW w:w="109" w:type="dxa"/>
                                  <w:tcBorders>
                                    <w:bottom w:val="single" w:sz="2" w:space="0" w:color="83AD40"/>
                                  </w:tcBorders>
                                  <w:vAlign w:val="center"/>
                                </w:tcPr>
                                <w:p>
                                  <w:pPr>
                                    <w:pStyle w:val="TableContents"/>
                                    <w:bidi w:val="0"/>
                                    <w:spacing w:before="0" w:after="283"/>
                                    <w:jc w:val="left"/>
                                    <w:rPr/>
                                  </w:pPr>
                                  <w:r>
                                    <w:rPr/>
                                    <w:t>​</w:t>
                                  </w:r>
                                </w:p>
                              </w:tc>
                              <w:tc>
                                <w:tcPr>
                                  <w:tcW w:w="109" w:type="dxa"/>
                                  <w:tcBorders>
                                    <w:bottom w:val="single" w:sz="2" w:space="0" w:color="83AD40"/>
                                  </w:tcBorders>
                                  <w:vAlign w:val="center"/>
                                </w:tcPr>
                                <w:p>
                                  <w:pPr>
                                    <w:pStyle w:val="TableContents"/>
                                    <w:bidi w:val="0"/>
                                    <w:spacing w:before="0" w:after="283"/>
                                    <w:jc w:val="left"/>
                                    <w:rPr/>
                                  </w:pPr>
                                  <w:r>
                                    <w:rPr/>
                                    <w:t>​</w:t>
                                  </w:r>
                                </w:p>
                              </w:tc>
                              <w:tc>
                                <w:tcPr>
                                  <w:tcW w:w="109" w:type="dxa"/>
                                  <w:tcBorders>
                                    <w:bottom w:val="single" w:sz="2" w:space="0" w:color="83AD40"/>
                                  </w:tcBorders>
                                  <w:vAlign w:val="center"/>
                                </w:tcPr>
                                <w:p>
                                  <w:pPr>
                                    <w:pStyle w:val="TableContents"/>
                                    <w:bidi w:val="0"/>
                                    <w:spacing w:before="0" w:after="283"/>
                                    <w:jc w:val="left"/>
                                    <w:rPr/>
                                  </w:pPr>
                                  <w:r>
                                    <w:rPr/>
                                    <w:t>​</w:t>
                                  </w:r>
                                </w:p>
                              </w:tc>
                              <w:tc>
                                <w:tcPr>
                                  <w:tcW w:w="109" w:type="dxa"/>
                                  <w:tcBorders>
                                    <w:bottom w:val="single" w:sz="2" w:space="0" w:color="83AD40"/>
                                  </w:tcBorders>
                                  <w:tcMar>
                                    <w:bottom w:w="80" w:type="dxa"/>
                                  </w:tcMar>
                                  <w:vAlign w:val="center"/>
                                </w:tcPr>
                                <w:p>
                                  <w:pPr>
                                    <w:pStyle w:val="TableContents"/>
                                    <w:bidi w:val="0"/>
                                    <w:spacing w:before="0" w:after="283"/>
                                    <w:jc w:val="right"/>
                                    <w:rPr/>
                                  </w:pPr>
                                  <w:r>
                                    <w:rPr/>
                                    <w:t>​</w:t>
                                  </w:r>
                                </w:p>
                              </w:tc>
                              <w:tc>
                                <w:tcPr>
                                  <w:tcW w:w="404" w:type="dxa"/>
                                  <w:tcBorders>
                                    <w:bottom w:val="single" w:sz="2" w:space="0" w:color="83AD40"/>
                                  </w:tcBorders>
                                  <w:tcMar>
                                    <w:bottom w:w="80" w:type="dxa"/>
                                  </w:tcMar>
                                  <w:vAlign w:val="center"/>
                                </w:tcPr>
                                <w:p>
                                  <w:pPr>
                                    <w:pStyle w:val="TableContents"/>
                                    <w:bidi w:val="0"/>
                                    <w:spacing w:before="0" w:after="283"/>
                                    <w:jc w:val="right"/>
                                    <w:rPr/>
                                  </w:pPr>
                                  <w:hyperlink w:anchor="tEXOF">
                                    <w:r>
                                      <w:rPr>
                                        <w:rStyle w:val="InternetLink"/>
                                        <w:color w:val="83AD40"/>
                                        <w:spacing w:val="-2"/>
                                      </w:rPr>
                                      <w:t>38</w:t>
                                    </w:r>
                                  </w:hyperlink>
                                  <w:r>
                                    <w:rPr/>
                                    <w:t xml:space="preserve"> </w:t>
                                  </w:r>
                                </w:p>
                              </w:tc>
                              <w:tc>
                                <w:tcPr>
                                  <w:tcW w:w="109" w:type="dxa"/>
                                  <w:tcBorders>
                                    <w:bottom w:val="single" w:sz="2" w:space="0" w:color="83AD40"/>
                                  </w:tcBorders>
                                  <w:vAlign w:val="center"/>
                                </w:tcPr>
                                <w:p>
                                  <w:pPr>
                                    <w:pStyle w:val="TableContents"/>
                                    <w:bidi w:val="0"/>
                                    <w:spacing w:before="0" w:after="283"/>
                                    <w:jc w:val="left"/>
                                    <w:rPr/>
                                  </w:pPr>
                                  <w:r>
                                    <w:rPr/>
                                    <w:t>​</w:t>
                                  </w:r>
                                </w:p>
                              </w:tc>
                              <w:tc>
                                <w:tcPr>
                                  <w:tcW w:w="154" w:type="dxa"/>
                                  <w:tcBorders>
                                    <w:bottom w:val="single" w:sz="2" w:space="0" w:color="83AD40"/>
                                  </w:tcBorders>
                                  <w:vAlign w:val="center"/>
                                </w:tcPr>
                                <w:p>
                                  <w:pPr>
                                    <w:pStyle w:val="TableContents"/>
                                    <w:bidi w:val="0"/>
                                    <w:spacing w:before="0" w:after="283"/>
                                    <w:jc w:val="left"/>
                                    <w:rPr/>
                                  </w:pPr>
                                  <w:r>
                                    <w:rPr/>
                                    <w:t>​</w:t>
                                  </w:r>
                                </w:p>
                              </w:tc>
                            </w:tr>
                            <w:tr>
                              <w:trPr/>
                              <w:tc>
                                <w:tcPr>
                                  <w:tcW w:w="124" w:type="dxa"/>
                                  <w:tcBorders>
                                    <w:bottom w:val="single" w:sz="2" w:space="0" w:color="83AD40"/>
                                  </w:tcBorders>
                                  <w:vAlign w:val="center"/>
                                </w:tcPr>
                                <w:p>
                                  <w:pPr>
                                    <w:pStyle w:val="TableContents"/>
                                    <w:bidi w:val="0"/>
                                    <w:spacing w:before="0" w:after="283"/>
                                    <w:jc w:val="left"/>
                                    <w:rPr/>
                                  </w:pPr>
                                  <w:r>
                                    <w:rPr/>
                                    <w:t>​</w:t>
                                  </w:r>
                                </w:p>
                              </w:tc>
                              <w:tc>
                                <w:tcPr>
                                  <w:tcW w:w="8627" w:type="dxa"/>
                                  <w:gridSpan w:val="4"/>
                                  <w:tcBorders>
                                    <w:bottom w:val="single" w:sz="2" w:space="0" w:color="83AD40"/>
                                  </w:tcBorders>
                                  <w:tcMar>
                                    <w:bottom w:w="80" w:type="dxa"/>
                                  </w:tcMar>
                                  <w:vAlign w:val="center"/>
                                </w:tcPr>
                                <w:p>
                                  <w:pPr>
                                    <w:pStyle w:val="TableContents"/>
                                    <w:bidi w:val="0"/>
                                    <w:spacing w:before="0" w:after="283"/>
                                    <w:jc w:val="left"/>
                                    <w:rPr/>
                                  </w:pPr>
                                  <w:hyperlink w:anchor="tEXCO">
                                    <w:r>
                                      <w:rPr>
                                        <w:rStyle w:val="InternetLink"/>
                                        <w:color w:val="83AD40"/>
                                        <w:spacing w:val="-2"/>
                                      </w:rPr>
                                      <w:t>EXECUTIVE COMPENSATION</w:t>
                                    </w:r>
                                  </w:hyperlink>
                                  <w:hyperlink w:anchor="tEXCO">
                                    <w:r>
                                      <w:rPr>
                                        <w:rStyle w:val="InternetLink"/>
                                        <w:color w:val="1F2668"/>
                                      </w:rPr>
                                      <w:t>​</w:t>
                                    </w:r>
                                  </w:hyperlink>
                                  <w:r>
                                    <w:rPr/>
                                    <w:t xml:space="preserve"> </w:t>
                                  </w:r>
                                </w:p>
                              </w:tc>
                              <w:tc>
                                <w:tcPr>
                                  <w:tcW w:w="109" w:type="dxa"/>
                                  <w:tcBorders>
                                    <w:bottom w:val="single" w:sz="2" w:space="0" w:color="83AD40"/>
                                  </w:tcBorders>
                                  <w:vAlign w:val="center"/>
                                </w:tcPr>
                                <w:p>
                                  <w:pPr>
                                    <w:pStyle w:val="TableContents"/>
                                    <w:bidi w:val="0"/>
                                    <w:spacing w:before="0" w:after="283"/>
                                    <w:jc w:val="left"/>
                                    <w:rPr/>
                                  </w:pPr>
                                  <w:r>
                                    <w:rPr/>
                                    <w:t>​</w:t>
                                  </w:r>
                                </w:p>
                              </w:tc>
                              <w:tc>
                                <w:tcPr>
                                  <w:tcW w:w="109" w:type="dxa"/>
                                  <w:tcBorders>
                                    <w:bottom w:val="single" w:sz="2" w:space="0" w:color="83AD40"/>
                                  </w:tcBorders>
                                  <w:vAlign w:val="center"/>
                                </w:tcPr>
                                <w:p>
                                  <w:pPr>
                                    <w:pStyle w:val="TableContents"/>
                                    <w:bidi w:val="0"/>
                                    <w:spacing w:before="0" w:after="283"/>
                                    <w:jc w:val="left"/>
                                    <w:rPr/>
                                  </w:pPr>
                                  <w:r>
                                    <w:rPr/>
                                    <w:t>​</w:t>
                                  </w:r>
                                </w:p>
                              </w:tc>
                              <w:tc>
                                <w:tcPr>
                                  <w:tcW w:w="109" w:type="dxa"/>
                                  <w:tcBorders>
                                    <w:bottom w:val="single" w:sz="2" w:space="0" w:color="83AD40"/>
                                  </w:tcBorders>
                                  <w:vAlign w:val="center"/>
                                </w:tcPr>
                                <w:p>
                                  <w:pPr>
                                    <w:pStyle w:val="TableContents"/>
                                    <w:bidi w:val="0"/>
                                    <w:spacing w:before="0" w:after="283"/>
                                    <w:jc w:val="left"/>
                                    <w:rPr/>
                                  </w:pPr>
                                  <w:r>
                                    <w:rPr/>
                                    <w:t>​</w:t>
                                  </w:r>
                                </w:p>
                              </w:tc>
                              <w:tc>
                                <w:tcPr>
                                  <w:tcW w:w="109" w:type="dxa"/>
                                  <w:tcBorders>
                                    <w:bottom w:val="single" w:sz="2" w:space="0" w:color="83AD40"/>
                                  </w:tcBorders>
                                  <w:tcMar>
                                    <w:bottom w:w="80" w:type="dxa"/>
                                  </w:tcMar>
                                  <w:vAlign w:val="center"/>
                                </w:tcPr>
                                <w:p>
                                  <w:pPr>
                                    <w:pStyle w:val="TableContents"/>
                                    <w:bidi w:val="0"/>
                                    <w:spacing w:before="0" w:after="283"/>
                                    <w:jc w:val="right"/>
                                    <w:rPr/>
                                  </w:pPr>
                                  <w:r>
                                    <w:rPr/>
                                    <w:t>​</w:t>
                                  </w:r>
                                </w:p>
                              </w:tc>
                              <w:tc>
                                <w:tcPr>
                                  <w:tcW w:w="404" w:type="dxa"/>
                                  <w:tcBorders>
                                    <w:bottom w:val="single" w:sz="2" w:space="0" w:color="83AD40"/>
                                  </w:tcBorders>
                                  <w:tcMar>
                                    <w:bottom w:w="80" w:type="dxa"/>
                                  </w:tcMar>
                                  <w:vAlign w:val="center"/>
                                </w:tcPr>
                                <w:p>
                                  <w:pPr>
                                    <w:pStyle w:val="TableContents"/>
                                    <w:bidi w:val="0"/>
                                    <w:spacing w:before="0" w:after="283"/>
                                    <w:jc w:val="right"/>
                                    <w:rPr/>
                                  </w:pPr>
                                  <w:hyperlink w:anchor="tEXCO">
                                    <w:r>
                                      <w:rPr>
                                        <w:rStyle w:val="InternetLink"/>
                                        <w:color w:val="83AD40"/>
                                        <w:spacing w:val="-2"/>
                                      </w:rPr>
                                      <w:t>40</w:t>
                                    </w:r>
                                  </w:hyperlink>
                                  <w:r>
                                    <w:rPr/>
                                    <w:t xml:space="preserve"> </w:t>
                                  </w:r>
                                </w:p>
                              </w:tc>
                              <w:tc>
                                <w:tcPr>
                                  <w:tcW w:w="109" w:type="dxa"/>
                                  <w:tcBorders>
                                    <w:bottom w:val="single" w:sz="2" w:space="0" w:color="83AD40"/>
                                  </w:tcBorders>
                                  <w:vAlign w:val="center"/>
                                </w:tcPr>
                                <w:p>
                                  <w:pPr>
                                    <w:pStyle w:val="TableContents"/>
                                    <w:bidi w:val="0"/>
                                    <w:spacing w:before="0" w:after="283"/>
                                    <w:jc w:val="left"/>
                                    <w:rPr/>
                                  </w:pPr>
                                  <w:r>
                                    <w:rPr/>
                                    <w:t>​</w:t>
                                  </w:r>
                                </w:p>
                              </w:tc>
                              <w:tc>
                                <w:tcPr>
                                  <w:tcW w:w="154" w:type="dxa"/>
                                  <w:tcBorders>
                                    <w:bottom w:val="single" w:sz="2" w:space="0" w:color="83AD40"/>
                                  </w:tcBorders>
                                  <w:vAlign w:val="center"/>
                                </w:tcPr>
                                <w:p>
                                  <w:pPr>
                                    <w:pStyle w:val="TableContents"/>
                                    <w:bidi w:val="0"/>
                                    <w:spacing w:before="0" w:after="283"/>
                                    <w:jc w:val="left"/>
                                    <w:rPr/>
                                  </w:pPr>
                                  <w:r>
                                    <w:rPr/>
                                    <w:t>​</w:t>
                                  </w:r>
                                </w:p>
                              </w:tc>
                            </w:tr>
                            <w:tr>
                              <w:trPr/>
                              <w:tc>
                                <w:tcPr>
                                  <w:tcW w:w="124" w:type="dxa"/>
                                  <w:tcBorders/>
                                  <w:shd w:fill="E9F9D8" w:val="clear"/>
                                  <w:tcMar>
                                    <w:bottom w:w="0" w:type="dxa"/>
                                  </w:tcMar>
                                  <w:vAlign w:val="center"/>
                                </w:tcPr>
                                <w:p>
                                  <w:pPr>
                                    <w:pStyle w:val="TableContents"/>
                                    <w:bidi w:val="0"/>
                                    <w:spacing w:before="0" w:after="283"/>
                                    <w:jc w:val="left"/>
                                    <w:rPr/>
                                  </w:pPr>
                                  <w:r>
                                    <w:rPr/>
                                    <w:t>​</w:t>
                                  </w:r>
                                </w:p>
                              </w:tc>
                              <w:tc>
                                <w:tcPr>
                                  <w:tcW w:w="7873" w:type="dxa"/>
                                  <w:tcBorders/>
                                  <w:shd w:fill="E9F9D8" w:val="clear"/>
                                  <w:tcMar>
                                    <w:bottom w:w="0" w:type="dxa"/>
                                  </w:tcMar>
                                  <w:vAlign w:val="center"/>
                                </w:tcPr>
                                <w:p>
                                  <w:pPr>
                                    <w:pStyle w:val="TableContents"/>
                                    <w:bidi w:val="0"/>
                                    <w:spacing w:lineRule="atLeast" w:line="220" w:before="0" w:after="0"/>
                                    <w:jc w:val="left"/>
                                    <w:rPr/>
                                  </w:pPr>
                                  <w:hyperlink w:anchor="tPR2">
                                    <w:r>
                                      <w:rPr>
                                        <w:rStyle w:val="InternetLink"/>
                                        <w:color w:val="1F2668"/>
                                        <w:spacing w:val="-2"/>
                                      </w:rPr>
                                      <w:t>Proposal 2: Advisory Vote on the Compensation of our Named Executive Officers</w:t>
                                    </w:r>
                                  </w:hyperlink>
                                  <w:r>
                                    <w:rPr/>
                                    <w:t xml:space="preserve"> </w:t>
                                  </w:r>
                                </w:p>
                              </w:tc>
                              <w:tc>
                                <w:tcPr>
                                  <w:tcW w:w="109" w:type="dxa"/>
                                  <w:tcBorders/>
                                  <w:shd w:fill="E9F9D8" w:val="clear"/>
                                  <w:tcMar>
                                    <w:bottom w:w="0" w:type="dxa"/>
                                  </w:tcMar>
                                  <w:vAlign w:val="center"/>
                                </w:tcPr>
                                <w:p>
                                  <w:pPr>
                                    <w:pStyle w:val="TableContents"/>
                                    <w:bidi w:val="0"/>
                                    <w:spacing w:before="0" w:after="283"/>
                                    <w:jc w:val="left"/>
                                    <w:rPr/>
                                  </w:pPr>
                                  <w:r>
                                    <w:rPr/>
                                    <w:t>​</w:t>
                                  </w:r>
                                </w:p>
                              </w:tc>
                              <w:tc>
                                <w:tcPr>
                                  <w:tcW w:w="109" w:type="dxa"/>
                                  <w:tcBorders/>
                                  <w:shd w:fill="E9F9D8" w:val="clear"/>
                                  <w:tcMar>
                                    <w:bottom w:w="0" w:type="dxa"/>
                                  </w:tcMar>
                                  <w:vAlign w:val="center"/>
                                </w:tcPr>
                                <w:p>
                                  <w:pPr>
                                    <w:pStyle w:val="TableContents"/>
                                    <w:bidi w:val="0"/>
                                    <w:spacing w:before="0" w:after="283"/>
                                    <w:jc w:val="left"/>
                                    <w:rPr/>
                                  </w:pPr>
                                  <w:r>
                                    <w:rPr/>
                                    <w:t>​</w:t>
                                  </w:r>
                                </w:p>
                              </w:tc>
                              <w:tc>
                                <w:tcPr>
                                  <w:tcW w:w="536" w:type="dxa"/>
                                  <w:tcBorders/>
                                  <w:shd w:fill="E9F9D8" w:val="clear"/>
                                  <w:tcMar>
                                    <w:bottom w:w="0" w:type="dxa"/>
                                  </w:tcMar>
                                  <w:vAlign w:val="center"/>
                                </w:tcPr>
                                <w:p>
                                  <w:pPr>
                                    <w:pStyle w:val="TableContents"/>
                                    <w:bidi w:val="0"/>
                                    <w:spacing w:before="0" w:after="0"/>
                                    <w:jc w:val="center"/>
                                    <w:rPr/>
                                  </w:pPr>
                                  <w:r>
                                    <w:rPr/>
                                    <w:drawing>
                                      <wp:inline distT="0" distB="0" distL="0" distR="0">
                                        <wp:extent cx="247650" cy="247650"/>
                                        <wp:effectExtent l="0" t="0" r="0" b="0"/>
                                        <wp:docPr id="109" name="Image39" descr="">
                                          <a:hlinkClick xmlns:a="http://schemas.openxmlformats.org/drawingml/2006/main" r:id="rId5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39" descr="">
                                                  <a:hlinkClick r:id="rId54"/>
                                                </pic:cNvPr>
                                                <pic:cNvPicPr>
                                                  <a:picLocks noChangeAspect="1" noChangeArrowheads="1"/>
                                                </pic:cNvPicPr>
                                              </pic:nvPicPr>
                                              <pic:blipFill>
                                                <a:blip r:embed="rId53"/>
                                                <a:stretch>
                                                  <a:fillRect/>
                                                </a:stretch>
                                              </pic:blipFill>
                                              <pic:spPr bwMode="auto">
                                                <a:xfrm>
                                                  <a:off x="0" y="0"/>
                                                  <a:ext cx="247650" cy="247650"/>
                                                </a:xfrm>
                                                <a:prstGeom prst="rect">
                                                  <a:avLst/>
                                                </a:prstGeom>
                                                <a:ln w="9525">
                                                  <a:solidFill>
                                                    <a:srgbClr val="000080"/>
                                                  </a:solidFill>
                                                </a:ln>
                                              </pic:spPr>
                                            </pic:pic>
                                          </a:graphicData>
                                        </a:graphic>
                                      </wp:inline>
                                    </w:drawing>
                                  </w:r>
                                  <w:hyperlink w:anchor="tPR2">
                                    <w:r>
                                      <w:rPr>
                                        <w:rStyle w:val="InternetLink"/>
                                      </w:rPr>
                                      <w:t xml:space="preserve"> </w:t>
                                    </w:r>
                                  </w:hyperlink>
                                </w:p>
                              </w:tc>
                              <w:tc>
                                <w:tcPr>
                                  <w:tcW w:w="109" w:type="dxa"/>
                                  <w:tcBorders/>
                                  <w:shd w:fill="E9F9D8" w:val="clear"/>
                                  <w:tcMar>
                                    <w:bottom w:w="0" w:type="dxa"/>
                                  </w:tcMar>
                                  <w:vAlign w:val="center"/>
                                </w:tcPr>
                                <w:p>
                                  <w:pPr>
                                    <w:pStyle w:val="TableContents"/>
                                    <w:bidi w:val="0"/>
                                    <w:spacing w:before="0" w:after="283"/>
                                    <w:jc w:val="left"/>
                                    <w:rPr/>
                                  </w:pPr>
                                  <w:r>
                                    <w:rPr/>
                                    <w:t>​</w:t>
                                  </w:r>
                                </w:p>
                              </w:tc>
                              <w:tc>
                                <w:tcPr>
                                  <w:tcW w:w="109" w:type="dxa"/>
                                  <w:tcBorders/>
                                  <w:shd w:fill="E9F9D8" w:val="clear"/>
                                  <w:tcMar>
                                    <w:bottom w:w="0" w:type="dxa"/>
                                  </w:tcMar>
                                  <w:vAlign w:val="center"/>
                                </w:tcPr>
                                <w:p>
                                  <w:pPr>
                                    <w:pStyle w:val="TableContents"/>
                                    <w:bidi w:val="0"/>
                                    <w:spacing w:before="0" w:after="283"/>
                                    <w:jc w:val="left"/>
                                    <w:rPr/>
                                  </w:pPr>
                                  <w:r>
                                    <w:rPr/>
                                    <w:t>​</w:t>
                                  </w:r>
                                </w:p>
                              </w:tc>
                              <w:tc>
                                <w:tcPr>
                                  <w:tcW w:w="109" w:type="dxa"/>
                                  <w:tcBorders/>
                                  <w:shd w:fill="E9F9D8" w:val="clear"/>
                                  <w:tcMar>
                                    <w:bottom w:w="0" w:type="dxa"/>
                                  </w:tcMar>
                                  <w:vAlign w:val="center"/>
                                </w:tcPr>
                                <w:p>
                                  <w:pPr>
                                    <w:pStyle w:val="TableContents"/>
                                    <w:bidi w:val="0"/>
                                    <w:spacing w:before="0" w:after="283"/>
                                    <w:jc w:val="left"/>
                                    <w:rPr/>
                                  </w:pPr>
                                  <w:r>
                                    <w:rPr/>
                                    <w:t>​</w:t>
                                  </w:r>
                                </w:p>
                              </w:tc>
                              <w:tc>
                                <w:tcPr>
                                  <w:tcW w:w="109" w:type="dxa"/>
                                  <w:tcBorders/>
                                  <w:shd w:fill="E9F9D8" w:val="clear"/>
                                  <w:tcMar>
                                    <w:bottom w:w="0" w:type="dxa"/>
                                  </w:tcMar>
                                  <w:vAlign w:val="center"/>
                                </w:tcPr>
                                <w:p>
                                  <w:pPr>
                                    <w:pStyle w:val="TableContents"/>
                                    <w:bidi w:val="0"/>
                                    <w:spacing w:before="0" w:after="283"/>
                                    <w:jc w:val="right"/>
                                    <w:rPr/>
                                  </w:pPr>
                                  <w:r>
                                    <w:rPr/>
                                    <w:t>​</w:t>
                                  </w:r>
                                </w:p>
                              </w:tc>
                              <w:tc>
                                <w:tcPr>
                                  <w:tcW w:w="404" w:type="dxa"/>
                                  <w:tcBorders/>
                                  <w:shd w:fill="E9F9D8" w:val="clear"/>
                                  <w:tcMar>
                                    <w:bottom w:w="0" w:type="dxa"/>
                                  </w:tcMar>
                                  <w:vAlign w:val="center"/>
                                </w:tcPr>
                                <w:p>
                                  <w:pPr>
                                    <w:pStyle w:val="TableContents"/>
                                    <w:bidi w:val="0"/>
                                    <w:spacing w:before="0" w:after="283"/>
                                    <w:jc w:val="right"/>
                                    <w:rPr/>
                                  </w:pPr>
                                  <w:hyperlink w:anchor="tPR2">
                                    <w:r>
                                      <w:rPr>
                                        <w:rStyle w:val="InternetLink"/>
                                        <w:color w:val="1F2668"/>
                                        <w:spacing w:val="-2"/>
                                      </w:rPr>
                                      <w:t>40</w:t>
                                    </w:r>
                                  </w:hyperlink>
                                  <w:r>
                                    <w:rPr/>
                                    <w:t xml:space="preserve"> </w:t>
                                  </w:r>
                                </w:p>
                              </w:tc>
                              <w:tc>
                                <w:tcPr>
                                  <w:tcW w:w="109" w:type="dxa"/>
                                  <w:tcBorders/>
                                  <w:shd w:fill="E9F9D8" w:val="clear"/>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627" w:type="dxa"/>
                                  <w:gridSpan w:val="4"/>
                                  <w:tcBorders/>
                                  <w:tcMar>
                                    <w:bottom w:w="0" w:type="dxa"/>
                                  </w:tcMar>
                                  <w:vAlign w:val="center"/>
                                </w:tcPr>
                                <w:p>
                                  <w:pPr>
                                    <w:pStyle w:val="TableContents"/>
                                    <w:bidi w:val="0"/>
                                    <w:spacing w:before="0" w:after="0"/>
                                    <w:jc w:val="left"/>
                                    <w:rPr/>
                                  </w:pPr>
                                  <w:hyperlink w:anchor="tCDAA">
                                    <w:r>
                                      <w:rPr>
                                        <w:rStyle w:val="InternetLink"/>
                                        <w:color w:val="1F2668"/>
                                        <w:spacing w:val="-2"/>
                                      </w:rPr>
                                      <w:t>Compensation Discussion and Analysis</w:t>
                                    </w:r>
                                  </w:hyperlink>
                                  <w:r>
                                    <w:rPr>
                                      <w:color w:val="1F2668"/>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4" w:type="dxa"/>
                                  <w:tcBorders/>
                                  <w:tcMar>
                                    <w:bottom w:w="0" w:type="dxa"/>
                                  </w:tcMar>
                                  <w:vAlign w:val="center"/>
                                </w:tcPr>
                                <w:p>
                                  <w:pPr>
                                    <w:pStyle w:val="TableContents"/>
                                    <w:bidi w:val="0"/>
                                    <w:spacing w:before="0" w:after="283"/>
                                    <w:jc w:val="right"/>
                                    <w:rPr/>
                                  </w:pPr>
                                  <w:hyperlink w:anchor="tCDAA">
                                    <w:r>
                                      <w:rPr>
                                        <w:rStyle w:val="InternetLink"/>
                                        <w:color w:val="1F2668"/>
                                        <w:spacing w:val="-2"/>
                                      </w:rPr>
                                      <w:t>41</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627" w:type="dxa"/>
                                  <w:gridSpan w:val="4"/>
                                  <w:tcBorders/>
                                  <w:tcMar>
                                    <w:bottom w:w="0" w:type="dxa"/>
                                  </w:tcMar>
                                  <w:vAlign w:val="center"/>
                                </w:tcPr>
                                <w:p>
                                  <w:pPr>
                                    <w:pStyle w:val="TableContents"/>
                                    <w:bidi w:val="0"/>
                                    <w:spacing w:before="0" w:after="283"/>
                                    <w:jc w:val="left"/>
                                    <w:rPr/>
                                  </w:pPr>
                                  <w:hyperlink w:anchor="tCCR">
                                    <w:r>
                                      <w:rPr>
                                        <w:rStyle w:val="InternetLink"/>
                                        <w:color w:val="1F2668"/>
                                        <w:spacing w:val="-2"/>
                                      </w:rPr>
                                      <w:t>Compensation Committee Report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4" w:type="dxa"/>
                                  <w:tcBorders/>
                                  <w:tcMar>
                                    <w:bottom w:w="0" w:type="dxa"/>
                                  </w:tcMar>
                                  <w:vAlign w:val="center"/>
                                </w:tcPr>
                                <w:p>
                                  <w:pPr>
                                    <w:pStyle w:val="TableContents"/>
                                    <w:bidi w:val="0"/>
                                    <w:spacing w:before="0" w:after="283"/>
                                    <w:jc w:val="right"/>
                                    <w:rPr/>
                                  </w:pPr>
                                  <w:hyperlink w:anchor="tCCR">
                                    <w:r>
                                      <w:rPr>
                                        <w:rStyle w:val="InternetLink"/>
                                        <w:color w:val="1F2668"/>
                                        <w:spacing w:val="-2"/>
                                      </w:rPr>
                                      <w:t>66</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627" w:type="dxa"/>
                                  <w:gridSpan w:val="4"/>
                                  <w:tcBorders/>
                                  <w:tcMar>
                                    <w:bottom w:w="0" w:type="dxa"/>
                                  </w:tcMar>
                                  <w:vAlign w:val="center"/>
                                </w:tcPr>
                                <w:p>
                                  <w:pPr>
                                    <w:pStyle w:val="TableContents"/>
                                    <w:bidi w:val="0"/>
                                    <w:spacing w:before="0" w:after="283"/>
                                    <w:jc w:val="left"/>
                                    <w:rPr/>
                                  </w:pPr>
                                  <w:hyperlink w:anchor="tECT">
                                    <w:r>
                                      <w:rPr>
                                        <w:rStyle w:val="InternetLink"/>
                                        <w:color w:val="1F2668"/>
                                        <w:spacing w:val="-2"/>
                                      </w:rPr>
                                      <w:t>Executive Compensation Tables</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4" w:type="dxa"/>
                                  <w:tcBorders/>
                                  <w:tcMar>
                                    <w:bottom w:w="0" w:type="dxa"/>
                                  </w:tcMar>
                                  <w:vAlign w:val="center"/>
                                </w:tcPr>
                                <w:p>
                                  <w:pPr>
                                    <w:pStyle w:val="TableContents"/>
                                    <w:bidi w:val="0"/>
                                    <w:spacing w:before="0" w:after="283"/>
                                    <w:jc w:val="right"/>
                                    <w:rPr/>
                                  </w:pPr>
                                  <w:hyperlink w:anchor="tECT">
                                    <w:r>
                                      <w:rPr>
                                        <w:rStyle w:val="InternetLink"/>
                                        <w:color w:val="1F2668"/>
                                        <w:spacing w:val="-2"/>
                                      </w:rPr>
                                      <w:t>67</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40pt;height:497.15pt;mso-wrap-distance-left:45pt;mso-wrap-distance-right:0pt;mso-wrap-distance-top:0pt;mso-wrap-distance-bottom:0pt;margin-top:0pt;mso-position-vertical:top;mso-position-vertical-relative:text;margin-left:45pt;mso-position-horizontal:left;mso-position-horizontal-relative:text">
                <v:textbox>
                  <w:txbxContent>
                    <w:tbl>
                      <w:tblPr>
                        <w:tblW w:w="9854" w:type="dxa"/>
                        <w:jc w:val="left"/>
                        <w:tblInd w:w="0" w:type="dxa"/>
                        <w:tblLayout w:type="fixed"/>
                        <w:tblCellMar>
                          <w:top w:w="0" w:type="dxa"/>
                          <w:left w:w="0" w:type="dxa"/>
                          <w:bottom w:w="28" w:type="dxa"/>
                          <w:right w:w="0" w:type="dxa"/>
                        </w:tblCellMar>
                      </w:tblPr>
                      <w:tblGrid>
                        <w:gridCol w:w="124"/>
                        <w:gridCol w:w="7873"/>
                        <w:gridCol w:w="109"/>
                        <w:gridCol w:w="109"/>
                        <w:gridCol w:w="536"/>
                        <w:gridCol w:w="109"/>
                        <w:gridCol w:w="109"/>
                        <w:gridCol w:w="109"/>
                        <w:gridCol w:w="109"/>
                        <w:gridCol w:w="404"/>
                        <w:gridCol w:w="109"/>
                        <w:gridCol w:w="154"/>
                      </w:tblGrid>
                      <w:tr>
                        <w:trPr/>
                        <w:tc>
                          <w:tcPr>
                            <w:tcW w:w="124" w:type="dxa"/>
                            <w:tcBorders>
                              <w:bottom w:val="single" w:sz="2" w:space="0" w:color="83AD40"/>
                            </w:tcBorders>
                            <w:vAlign w:val="center"/>
                          </w:tcPr>
                          <w:p>
                            <w:pPr>
                              <w:pStyle w:val="TableContents"/>
                              <w:bidi w:val="0"/>
                              <w:spacing w:before="0" w:after="283"/>
                              <w:jc w:val="left"/>
                              <w:rPr/>
                            </w:pPr>
                            <w:r>
                              <w:rPr/>
                              <w:t>​</w:t>
                            </w:r>
                          </w:p>
                        </w:tc>
                        <w:tc>
                          <w:tcPr>
                            <w:tcW w:w="8627" w:type="dxa"/>
                            <w:gridSpan w:val="4"/>
                            <w:tcBorders>
                              <w:bottom w:val="single" w:sz="2" w:space="0" w:color="83AD40"/>
                            </w:tcBorders>
                            <w:tcMar>
                              <w:bottom w:w="80" w:type="dxa"/>
                            </w:tcMar>
                            <w:vAlign w:val="center"/>
                          </w:tcPr>
                          <w:p>
                            <w:pPr>
                              <w:pStyle w:val="TableContents"/>
                              <w:bidi w:val="0"/>
                              <w:spacing w:before="0" w:after="283"/>
                              <w:jc w:val="left"/>
                              <w:rPr/>
                            </w:pPr>
                            <w:r>
                              <w:rPr>
                                <w:spacing w:val="-2"/>
                              </w:rPr>
                              <w:t>LETTER TO STOCKHOLDERS</w:t>
                            </w:r>
                            <w:r>
                              <w:rPr>
                                <w:color w:val="1F2668"/>
                              </w:rPr>
                              <w:t>​</w:t>
                            </w:r>
                            <w:r>
                              <w:rPr/>
                              <w:t xml:space="preserve"> </w:t>
                            </w:r>
                          </w:p>
                        </w:tc>
                        <w:tc>
                          <w:tcPr>
                            <w:tcW w:w="109" w:type="dxa"/>
                            <w:tcBorders>
                              <w:bottom w:val="single" w:sz="2" w:space="0" w:color="83AD40"/>
                            </w:tcBorders>
                            <w:vAlign w:val="center"/>
                          </w:tcPr>
                          <w:p>
                            <w:pPr>
                              <w:pStyle w:val="TableContents"/>
                              <w:bidi w:val="0"/>
                              <w:spacing w:before="0" w:after="283"/>
                              <w:jc w:val="left"/>
                              <w:rPr/>
                            </w:pPr>
                            <w:r>
                              <w:rPr/>
                              <w:t>​</w:t>
                            </w:r>
                          </w:p>
                        </w:tc>
                        <w:tc>
                          <w:tcPr>
                            <w:tcW w:w="109" w:type="dxa"/>
                            <w:tcBorders>
                              <w:bottom w:val="single" w:sz="2" w:space="0" w:color="83AD40"/>
                            </w:tcBorders>
                            <w:vAlign w:val="center"/>
                          </w:tcPr>
                          <w:p>
                            <w:pPr>
                              <w:pStyle w:val="TableContents"/>
                              <w:bidi w:val="0"/>
                              <w:spacing w:before="0" w:after="283"/>
                              <w:jc w:val="left"/>
                              <w:rPr/>
                            </w:pPr>
                            <w:r>
                              <w:rPr/>
                              <w:t>​</w:t>
                            </w:r>
                          </w:p>
                        </w:tc>
                        <w:tc>
                          <w:tcPr>
                            <w:tcW w:w="109" w:type="dxa"/>
                            <w:tcBorders>
                              <w:bottom w:val="single" w:sz="2" w:space="0" w:color="83AD40"/>
                            </w:tcBorders>
                            <w:vAlign w:val="center"/>
                          </w:tcPr>
                          <w:p>
                            <w:pPr>
                              <w:pStyle w:val="TableContents"/>
                              <w:bidi w:val="0"/>
                              <w:spacing w:before="0" w:after="283"/>
                              <w:jc w:val="left"/>
                              <w:rPr/>
                            </w:pPr>
                            <w:r>
                              <w:rPr/>
                              <w:t>​</w:t>
                            </w:r>
                          </w:p>
                        </w:tc>
                        <w:tc>
                          <w:tcPr>
                            <w:tcW w:w="109" w:type="dxa"/>
                            <w:tcBorders>
                              <w:bottom w:val="single" w:sz="2" w:space="0" w:color="83AD40"/>
                            </w:tcBorders>
                            <w:vAlign w:val="center"/>
                          </w:tcPr>
                          <w:p>
                            <w:pPr>
                              <w:pStyle w:val="TableContents"/>
                              <w:bidi w:val="0"/>
                              <w:spacing w:before="0" w:after="283"/>
                              <w:jc w:val="right"/>
                              <w:rPr/>
                            </w:pPr>
                            <w:r>
                              <w:rPr/>
                              <w:t>​</w:t>
                            </w:r>
                          </w:p>
                        </w:tc>
                        <w:tc>
                          <w:tcPr>
                            <w:tcW w:w="404" w:type="dxa"/>
                            <w:tcBorders>
                              <w:bottom w:val="single" w:sz="2" w:space="0" w:color="83AD40"/>
                            </w:tcBorders>
                            <w:vAlign w:val="center"/>
                          </w:tcPr>
                          <w:p>
                            <w:pPr>
                              <w:pStyle w:val="TableContents"/>
                              <w:bidi w:val="0"/>
                              <w:spacing w:before="0" w:after="283"/>
                              <w:jc w:val="right"/>
                              <w:rPr/>
                            </w:pPr>
                            <w:r>
                              <w:rPr/>
                              <w:t>​</w:t>
                            </w:r>
                          </w:p>
                        </w:tc>
                        <w:tc>
                          <w:tcPr>
                            <w:tcW w:w="109" w:type="dxa"/>
                            <w:tcBorders>
                              <w:bottom w:val="single" w:sz="2" w:space="0" w:color="83AD40"/>
                            </w:tcBorders>
                            <w:vAlign w:val="center"/>
                          </w:tcPr>
                          <w:p>
                            <w:pPr>
                              <w:pStyle w:val="TableContents"/>
                              <w:bidi w:val="0"/>
                              <w:spacing w:before="0" w:after="283"/>
                              <w:jc w:val="left"/>
                              <w:rPr/>
                            </w:pPr>
                            <w:r>
                              <w:rPr/>
                              <w:t>​</w:t>
                            </w:r>
                          </w:p>
                        </w:tc>
                        <w:tc>
                          <w:tcPr>
                            <w:tcW w:w="154" w:type="dxa"/>
                            <w:tcBorders>
                              <w:bottom w:val="single" w:sz="2" w:space="0" w:color="83AD40"/>
                            </w:tcBorders>
                            <w:vAlign w:val="center"/>
                          </w:tcPr>
                          <w:p>
                            <w:pPr>
                              <w:pStyle w:val="TableContents"/>
                              <w:bidi w:val="0"/>
                              <w:spacing w:before="0" w:after="283"/>
                              <w:jc w:val="left"/>
                              <w:rPr/>
                            </w:pPr>
                            <w:r>
                              <w:rPr/>
                              <w:t>​</w:t>
                            </w:r>
                          </w:p>
                        </w:tc>
                      </w:tr>
                      <w:tr>
                        <w:trPr/>
                        <w:tc>
                          <w:tcPr>
                            <w:tcW w:w="124" w:type="dxa"/>
                            <w:tcBorders>
                              <w:bottom w:val="single" w:sz="2" w:space="0" w:color="83AD40"/>
                            </w:tcBorders>
                            <w:vAlign w:val="center"/>
                          </w:tcPr>
                          <w:p>
                            <w:pPr>
                              <w:pStyle w:val="TableContents"/>
                              <w:bidi w:val="0"/>
                              <w:spacing w:before="0" w:after="283"/>
                              <w:jc w:val="left"/>
                              <w:rPr/>
                            </w:pPr>
                            <w:r>
                              <w:rPr/>
                              <w:t>​</w:t>
                            </w:r>
                          </w:p>
                        </w:tc>
                        <w:tc>
                          <w:tcPr>
                            <w:tcW w:w="8627" w:type="dxa"/>
                            <w:gridSpan w:val="4"/>
                            <w:tcBorders>
                              <w:bottom w:val="single" w:sz="2" w:space="0" w:color="83AD40"/>
                            </w:tcBorders>
                            <w:tcMar>
                              <w:bottom w:w="67" w:type="dxa"/>
                            </w:tcMar>
                            <w:vAlign w:val="center"/>
                          </w:tcPr>
                          <w:p>
                            <w:pPr>
                              <w:pStyle w:val="TableContents"/>
                              <w:bidi w:val="0"/>
                              <w:spacing w:before="0" w:after="283"/>
                              <w:jc w:val="left"/>
                              <w:rPr/>
                            </w:pPr>
                            <w:hyperlink w:anchor="t2PSH">
                              <w:r>
                                <w:rPr>
                                  <w:rStyle w:val="InternetLink"/>
                                  <w:color w:val="83AD40"/>
                                  <w:spacing w:val="-2"/>
                                </w:rPr>
                                <w:t xml:space="preserve">2026 PROXY STATEMENT </w:t>
                                <w:br/>
                                <w:t>HIGHLIGHTS</w:t>
                              </w:r>
                            </w:hyperlink>
                            <w:hyperlink w:anchor="t2PSH">
                              <w:r>
                                <w:rPr>
                                  <w:rStyle w:val="InternetLink"/>
                                  <w:color w:val="1F2668"/>
                                </w:rPr>
                                <w:t>​</w:t>
                              </w:r>
                            </w:hyperlink>
                            <w:r>
                              <w:rPr/>
                              <w:t xml:space="preserve"> </w:t>
                            </w:r>
                          </w:p>
                        </w:tc>
                        <w:tc>
                          <w:tcPr>
                            <w:tcW w:w="109" w:type="dxa"/>
                            <w:tcBorders>
                              <w:bottom w:val="single" w:sz="2" w:space="0" w:color="83AD40"/>
                            </w:tcBorders>
                            <w:vAlign w:val="center"/>
                          </w:tcPr>
                          <w:p>
                            <w:pPr>
                              <w:pStyle w:val="TableContents"/>
                              <w:bidi w:val="0"/>
                              <w:spacing w:before="0" w:after="283"/>
                              <w:jc w:val="left"/>
                              <w:rPr/>
                            </w:pPr>
                            <w:r>
                              <w:rPr/>
                              <w:t>​</w:t>
                            </w:r>
                          </w:p>
                        </w:tc>
                        <w:tc>
                          <w:tcPr>
                            <w:tcW w:w="109" w:type="dxa"/>
                            <w:tcBorders>
                              <w:bottom w:val="single" w:sz="2" w:space="0" w:color="83AD40"/>
                            </w:tcBorders>
                            <w:vAlign w:val="center"/>
                          </w:tcPr>
                          <w:p>
                            <w:pPr>
                              <w:pStyle w:val="TableContents"/>
                              <w:bidi w:val="0"/>
                              <w:spacing w:before="0" w:after="283"/>
                              <w:jc w:val="left"/>
                              <w:rPr/>
                            </w:pPr>
                            <w:r>
                              <w:rPr/>
                              <w:t>​</w:t>
                            </w:r>
                          </w:p>
                        </w:tc>
                        <w:tc>
                          <w:tcPr>
                            <w:tcW w:w="109" w:type="dxa"/>
                            <w:tcBorders>
                              <w:bottom w:val="single" w:sz="2" w:space="0" w:color="83AD40"/>
                            </w:tcBorders>
                            <w:vAlign w:val="center"/>
                          </w:tcPr>
                          <w:p>
                            <w:pPr>
                              <w:pStyle w:val="TableContents"/>
                              <w:bidi w:val="0"/>
                              <w:spacing w:before="0" w:after="283"/>
                              <w:jc w:val="left"/>
                              <w:rPr/>
                            </w:pPr>
                            <w:r>
                              <w:rPr/>
                              <w:t>​</w:t>
                            </w:r>
                          </w:p>
                        </w:tc>
                        <w:tc>
                          <w:tcPr>
                            <w:tcW w:w="109" w:type="dxa"/>
                            <w:tcBorders>
                              <w:bottom w:val="single" w:sz="2" w:space="0" w:color="83AD40"/>
                            </w:tcBorders>
                            <w:tcMar>
                              <w:bottom w:w="67" w:type="dxa"/>
                            </w:tcMar>
                            <w:vAlign w:val="center"/>
                          </w:tcPr>
                          <w:p>
                            <w:pPr>
                              <w:pStyle w:val="TableContents"/>
                              <w:bidi w:val="0"/>
                              <w:spacing w:before="0" w:after="283"/>
                              <w:jc w:val="right"/>
                              <w:rPr/>
                            </w:pPr>
                            <w:r>
                              <w:rPr/>
                              <w:t>​</w:t>
                            </w:r>
                          </w:p>
                        </w:tc>
                        <w:tc>
                          <w:tcPr>
                            <w:tcW w:w="404" w:type="dxa"/>
                            <w:tcBorders>
                              <w:bottom w:val="single" w:sz="2" w:space="0" w:color="83AD40"/>
                            </w:tcBorders>
                            <w:tcMar>
                              <w:bottom w:w="67" w:type="dxa"/>
                            </w:tcMar>
                            <w:vAlign w:val="center"/>
                          </w:tcPr>
                          <w:p>
                            <w:pPr>
                              <w:pStyle w:val="TableContents"/>
                              <w:bidi w:val="0"/>
                              <w:spacing w:before="0" w:after="283"/>
                              <w:jc w:val="right"/>
                              <w:rPr/>
                            </w:pPr>
                            <w:hyperlink w:anchor="t2PSH">
                              <w:r>
                                <w:rPr>
                                  <w:rStyle w:val="InternetLink"/>
                                  <w:color w:val="83AD40"/>
                                  <w:spacing w:val="-2"/>
                                </w:rPr>
                                <w:t>4</w:t>
                              </w:r>
                            </w:hyperlink>
                            <w:r>
                              <w:rPr/>
                              <w:t xml:space="preserve"> </w:t>
                            </w:r>
                          </w:p>
                        </w:tc>
                        <w:tc>
                          <w:tcPr>
                            <w:tcW w:w="109" w:type="dxa"/>
                            <w:tcBorders>
                              <w:bottom w:val="single" w:sz="2" w:space="0" w:color="83AD40"/>
                            </w:tcBorders>
                            <w:vAlign w:val="center"/>
                          </w:tcPr>
                          <w:p>
                            <w:pPr>
                              <w:pStyle w:val="TableContents"/>
                              <w:bidi w:val="0"/>
                              <w:spacing w:before="0" w:after="283"/>
                              <w:jc w:val="left"/>
                              <w:rPr/>
                            </w:pPr>
                            <w:r>
                              <w:rPr/>
                              <w:t>​</w:t>
                            </w:r>
                          </w:p>
                        </w:tc>
                        <w:tc>
                          <w:tcPr>
                            <w:tcW w:w="154" w:type="dxa"/>
                            <w:tcBorders>
                              <w:bottom w:val="single" w:sz="2" w:space="0" w:color="83AD40"/>
                            </w:tcBorders>
                            <w:vAlign w:val="center"/>
                          </w:tcPr>
                          <w:p>
                            <w:pPr>
                              <w:pStyle w:val="TableContents"/>
                              <w:bidi w:val="0"/>
                              <w:spacing w:before="0" w:after="283"/>
                              <w:jc w:val="left"/>
                              <w:rPr/>
                            </w:pPr>
                            <w:r>
                              <w:rPr/>
                              <w:t>​</w:t>
                            </w:r>
                          </w:p>
                        </w:tc>
                      </w:tr>
                      <w:tr>
                        <w:trPr/>
                        <w:tc>
                          <w:tcPr>
                            <w:tcW w:w="124" w:type="dxa"/>
                            <w:tcBorders>
                              <w:bottom w:val="single" w:sz="2" w:space="0" w:color="83AD40"/>
                            </w:tcBorders>
                            <w:vAlign w:val="center"/>
                          </w:tcPr>
                          <w:p>
                            <w:pPr>
                              <w:pStyle w:val="TableContents"/>
                              <w:bidi w:val="0"/>
                              <w:spacing w:before="0" w:after="283"/>
                              <w:jc w:val="left"/>
                              <w:rPr/>
                            </w:pPr>
                            <w:r>
                              <w:rPr/>
                              <w:t>​</w:t>
                            </w:r>
                          </w:p>
                        </w:tc>
                        <w:tc>
                          <w:tcPr>
                            <w:tcW w:w="8627" w:type="dxa"/>
                            <w:gridSpan w:val="4"/>
                            <w:tcBorders>
                              <w:bottom w:val="single" w:sz="2" w:space="0" w:color="83AD40"/>
                            </w:tcBorders>
                            <w:tcMar>
                              <w:bottom w:w="67" w:type="dxa"/>
                            </w:tcMar>
                            <w:vAlign w:val="center"/>
                          </w:tcPr>
                          <w:p>
                            <w:pPr>
                              <w:pStyle w:val="TableContents"/>
                              <w:bidi w:val="0"/>
                              <w:spacing w:before="0" w:after="283"/>
                              <w:jc w:val="left"/>
                              <w:rPr/>
                            </w:pPr>
                            <w:hyperlink w:anchor="tNOAM">
                              <w:r>
                                <w:rPr>
                                  <w:rStyle w:val="InternetLink"/>
                                  <w:color w:val="83AD40"/>
                                  <w:spacing w:val="-2"/>
                                </w:rPr>
                                <w:t>NOTICE OF ANNUAL MEETING OF STOCKHOLDERS</w:t>
                              </w:r>
                            </w:hyperlink>
                            <w:hyperlink w:anchor="tNOAM">
                              <w:r>
                                <w:rPr>
                                  <w:rStyle w:val="InternetLink"/>
                                  <w:color w:val="1F2668"/>
                                </w:rPr>
                                <w:t>​</w:t>
                              </w:r>
                            </w:hyperlink>
                            <w:r>
                              <w:rPr/>
                              <w:t xml:space="preserve"> </w:t>
                            </w:r>
                          </w:p>
                        </w:tc>
                        <w:tc>
                          <w:tcPr>
                            <w:tcW w:w="109" w:type="dxa"/>
                            <w:tcBorders>
                              <w:bottom w:val="single" w:sz="2" w:space="0" w:color="83AD40"/>
                            </w:tcBorders>
                            <w:vAlign w:val="center"/>
                          </w:tcPr>
                          <w:p>
                            <w:pPr>
                              <w:pStyle w:val="TableContents"/>
                              <w:bidi w:val="0"/>
                              <w:spacing w:before="0" w:after="283"/>
                              <w:jc w:val="left"/>
                              <w:rPr/>
                            </w:pPr>
                            <w:r>
                              <w:rPr/>
                              <w:t>​</w:t>
                            </w:r>
                          </w:p>
                        </w:tc>
                        <w:tc>
                          <w:tcPr>
                            <w:tcW w:w="109" w:type="dxa"/>
                            <w:tcBorders>
                              <w:bottom w:val="single" w:sz="2" w:space="0" w:color="83AD40"/>
                            </w:tcBorders>
                            <w:vAlign w:val="center"/>
                          </w:tcPr>
                          <w:p>
                            <w:pPr>
                              <w:pStyle w:val="TableContents"/>
                              <w:bidi w:val="0"/>
                              <w:spacing w:before="0" w:after="283"/>
                              <w:jc w:val="left"/>
                              <w:rPr/>
                            </w:pPr>
                            <w:r>
                              <w:rPr/>
                              <w:t>​</w:t>
                            </w:r>
                          </w:p>
                        </w:tc>
                        <w:tc>
                          <w:tcPr>
                            <w:tcW w:w="109" w:type="dxa"/>
                            <w:tcBorders>
                              <w:bottom w:val="single" w:sz="2" w:space="0" w:color="83AD40"/>
                            </w:tcBorders>
                            <w:vAlign w:val="center"/>
                          </w:tcPr>
                          <w:p>
                            <w:pPr>
                              <w:pStyle w:val="TableContents"/>
                              <w:bidi w:val="0"/>
                              <w:spacing w:before="0" w:after="283"/>
                              <w:jc w:val="left"/>
                              <w:rPr/>
                            </w:pPr>
                            <w:r>
                              <w:rPr/>
                              <w:t>​</w:t>
                            </w:r>
                          </w:p>
                        </w:tc>
                        <w:tc>
                          <w:tcPr>
                            <w:tcW w:w="109" w:type="dxa"/>
                            <w:tcBorders>
                              <w:bottom w:val="single" w:sz="2" w:space="0" w:color="83AD40"/>
                            </w:tcBorders>
                            <w:tcMar>
                              <w:bottom w:w="67" w:type="dxa"/>
                            </w:tcMar>
                            <w:vAlign w:val="center"/>
                          </w:tcPr>
                          <w:p>
                            <w:pPr>
                              <w:pStyle w:val="TableContents"/>
                              <w:bidi w:val="0"/>
                              <w:spacing w:before="0" w:after="283"/>
                              <w:jc w:val="right"/>
                              <w:rPr/>
                            </w:pPr>
                            <w:r>
                              <w:rPr/>
                              <w:t>​</w:t>
                            </w:r>
                          </w:p>
                        </w:tc>
                        <w:tc>
                          <w:tcPr>
                            <w:tcW w:w="404" w:type="dxa"/>
                            <w:tcBorders>
                              <w:bottom w:val="single" w:sz="2" w:space="0" w:color="83AD40"/>
                            </w:tcBorders>
                            <w:tcMar>
                              <w:bottom w:w="67" w:type="dxa"/>
                            </w:tcMar>
                            <w:vAlign w:val="center"/>
                          </w:tcPr>
                          <w:p>
                            <w:pPr>
                              <w:pStyle w:val="TableContents"/>
                              <w:bidi w:val="0"/>
                              <w:spacing w:before="0" w:after="283"/>
                              <w:jc w:val="right"/>
                              <w:rPr/>
                            </w:pPr>
                            <w:hyperlink w:anchor="tNOAM">
                              <w:r>
                                <w:rPr>
                                  <w:rStyle w:val="InternetLink"/>
                                  <w:color w:val="83AD40"/>
                                  <w:spacing w:val="-2"/>
                                </w:rPr>
                                <w:t>8</w:t>
                              </w:r>
                            </w:hyperlink>
                            <w:r>
                              <w:rPr/>
                              <w:t xml:space="preserve"> </w:t>
                            </w:r>
                          </w:p>
                        </w:tc>
                        <w:tc>
                          <w:tcPr>
                            <w:tcW w:w="109" w:type="dxa"/>
                            <w:tcBorders>
                              <w:bottom w:val="single" w:sz="2" w:space="0" w:color="83AD40"/>
                            </w:tcBorders>
                            <w:vAlign w:val="center"/>
                          </w:tcPr>
                          <w:p>
                            <w:pPr>
                              <w:pStyle w:val="TableContents"/>
                              <w:bidi w:val="0"/>
                              <w:spacing w:before="0" w:after="283"/>
                              <w:jc w:val="left"/>
                              <w:rPr/>
                            </w:pPr>
                            <w:r>
                              <w:rPr/>
                              <w:t>​</w:t>
                            </w:r>
                          </w:p>
                        </w:tc>
                        <w:tc>
                          <w:tcPr>
                            <w:tcW w:w="154" w:type="dxa"/>
                            <w:tcBorders>
                              <w:bottom w:val="single" w:sz="2" w:space="0" w:color="83AD40"/>
                            </w:tcBorders>
                            <w:vAlign w:val="center"/>
                          </w:tcPr>
                          <w:p>
                            <w:pPr>
                              <w:pStyle w:val="TableContents"/>
                              <w:bidi w:val="0"/>
                              <w:spacing w:before="0" w:after="283"/>
                              <w:jc w:val="left"/>
                              <w:rPr/>
                            </w:pPr>
                            <w:r>
                              <w:rPr/>
                              <w:t>​</w:t>
                            </w:r>
                          </w:p>
                        </w:tc>
                      </w:tr>
                      <w:tr>
                        <w:trPr/>
                        <w:tc>
                          <w:tcPr>
                            <w:tcW w:w="124" w:type="dxa"/>
                            <w:tcBorders>
                              <w:bottom w:val="single" w:sz="2" w:space="0" w:color="83AD40"/>
                            </w:tcBorders>
                            <w:vAlign w:val="center"/>
                          </w:tcPr>
                          <w:p>
                            <w:pPr>
                              <w:pStyle w:val="TableContents"/>
                              <w:bidi w:val="0"/>
                              <w:spacing w:before="0" w:after="283"/>
                              <w:jc w:val="left"/>
                              <w:rPr/>
                            </w:pPr>
                            <w:r>
                              <w:rPr/>
                              <w:t>​</w:t>
                            </w:r>
                          </w:p>
                        </w:tc>
                        <w:tc>
                          <w:tcPr>
                            <w:tcW w:w="8627" w:type="dxa"/>
                            <w:gridSpan w:val="4"/>
                            <w:tcBorders>
                              <w:bottom w:val="single" w:sz="2" w:space="0" w:color="83AD40"/>
                            </w:tcBorders>
                            <w:tcMar>
                              <w:bottom w:w="67" w:type="dxa"/>
                            </w:tcMar>
                            <w:vAlign w:val="center"/>
                          </w:tcPr>
                          <w:p>
                            <w:pPr>
                              <w:pStyle w:val="TableContents"/>
                              <w:bidi w:val="0"/>
                              <w:spacing w:before="0" w:after="283"/>
                              <w:jc w:val="left"/>
                              <w:rPr/>
                            </w:pPr>
                            <w:hyperlink w:anchor="tOBOD">
                              <w:r>
                                <w:rPr>
                                  <w:rStyle w:val="InternetLink"/>
                                  <w:color w:val="83AD40"/>
                                  <w:spacing w:val="-2"/>
                                  <w:sz w:val="24"/>
                                </w:rPr>
                                <w:t>OUR BOARD OF DIRECTORS AND CORPORATE GOVERNANCE</w:t>
                              </w:r>
                            </w:hyperlink>
                            <w:hyperlink w:anchor="tOBOD">
                              <w:r>
                                <w:rPr>
                                  <w:rStyle w:val="InternetLink"/>
                                  <w:color w:val="1F2668"/>
                                </w:rPr>
                                <w:t>​</w:t>
                              </w:r>
                            </w:hyperlink>
                            <w:r>
                              <w:rPr/>
                              <w:t xml:space="preserve"> </w:t>
                            </w:r>
                          </w:p>
                        </w:tc>
                        <w:tc>
                          <w:tcPr>
                            <w:tcW w:w="109" w:type="dxa"/>
                            <w:tcBorders>
                              <w:bottom w:val="single" w:sz="2" w:space="0" w:color="83AD40"/>
                            </w:tcBorders>
                            <w:vAlign w:val="center"/>
                          </w:tcPr>
                          <w:p>
                            <w:pPr>
                              <w:pStyle w:val="TableContents"/>
                              <w:bidi w:val="0"/>
                              <w:spacing w:before="0" w:after="283"/>
                              <w:jc w:val="left"/>
                              <w:rPr/>
                            </w:pPr>
                            <w:r>
                              <w:rPr/>
                              <w:t>​</w:t>
                            </w:r>
                          </w:p>
                        </w:tc>
                        <w:tc>
                          <w:tcPr>
                            <w:tcW w:w="109" w:type="dxa"/>
                            <w:tcBorders>
                              <w:bottom w:val="single" w:sz="2" w:space="0" w:color="83AD40"/>
                            </w:tcBorders>
                            <w:vAlign w:val="center"/>
                          </w:tcPr>
                          <w:p>
                            <w:pPr>
                              <w:pStyle w:val="TableContents"/>
                              <w:bidi w:val="0"/>
                              <w:spacing w:before="0" w:after="283"/>
                              <w:jc w:val="left"/>
                              <w:rPr/>
                            </w:pPr>
                            <w:r>
                              <w:rPr/>
                              <w:t>​</w:t>
                            </w:r>
                          </w:p>
                        </w:tc>
                        <w:tc>
                          <w:tcPr>
                            <w:tcW w:w="109" w:type="dxa"/>
                            <w:tcBorders>
                              <w:bottom w:val="single" w:sz="2" w:space="0" w:color="83AD40"/>
                            </w:tcBorders>
                            <w:vAlign w:val="center"/>
                          </w:tcPr>
                          <w:p>
                            <w:pPr>
                              <w:pStyle w:val="TableContents"/>
                              <w:bidi w:val="0"/>
                              <w:spacing w:before="0" w:after="283"/>
                              <w:jc w:val="left"/>
                              <w:rPr/>
                            </w:pPr>
                            <w:r>
                              <w:rPr/>
                              <w:t>​</w:t>
                            </w:r>
                          </w:p>
                        </w:tc>
                        <w:tc>
                          <w:tcPr>
                            <w:tcW w:w="109" w:type="dxa"/>
                            <w:tcBorders>
                              <w:bottom w:val="single" w:sz="2" w:space="0" w:color="83AD40"/>
                            </w:tcBorders>
                            <w:tcMar>
                              <w:bottom w:w="67" w:type="dxa"/>
                            </w:tcMar>
                            <w:vAlign w:val="center"/>
                          </w:tcPr>
                          <w:p>
                            <w:pPr>
                              <w:pStyle w:val="TableContents"/>
                              <w:bidi w:val="0"/>
                              <w:spacing w:before="0" w:after="0"/>
                              <w:jc w:val="right"/>
                              <w:rPr/>
                            </w:pPr>
                            <w:r>
                              <w:rPr/>
                              <w:t>​</w:t>
                            </w:r>
                          </w:p>
                        </w:tc>
                        <w:tc>
                          <w:tcPr>
                            <w:tcW w:w="404" w:type="dxa"/>
                            <w:tcBorders>
                              <w:bottom w:val="single" w:sz="2" w:space="0" w:color="83AD40"/>
                            </w:tcBorders>
                            <w:tcMar>
                              <w:bottom w:w="67" w:type="dxa"/>
                            </w:tcMar>
                            <w:vAlign w:val="center"/>
                          </w:tcPr>
                          <w:p>
                            <w:pPr>
                              <w:pStyle w:val="TableContents"/>
                              <w:bidi w:val="0"/>
                              <w:spacing w:before="0" w:after="0"/>
                              <w:jc w:val="right"/>
                              <w:rPr/>
                            </w:pPr>
                            <w:hyperlink w:anchor="tOBOD">
                              <w:r>
                                <w:rPr>
                                  <w:rStyle w:val="InternetLink"/>
                                  <w:color w:val="83AD40"/>
                                  <w:spacing w:val="-2"/>
                                  <w:sz w:val="24"/>
                                </w:rPr>
                                <w:t>10</w:t>
                              </w:r>
                            </w:hyperlink>
                            <w:r>
                              <w:rPr>
                                <w:sz w:val="24"/>
                              </w:rPr>
                              <w:t xml:space="preserve"> </w:t>
                            </w:r>
                          </w:p>
                        </w:tc>
                        <w:tc>
                          <w:tcPr>
                            <w:tcW w:w="109" w:type="dxa"/>
                            <w:tcBorders>
                              <w:bottom w:val="single" w:sz="2" w:space="0" w:color="83AD40"/>
                            </w:tcBorders>
                            <w:vAlign w:val="center"/>
                          </w:tcPr>
                          <w:p>
                            <w:pPr>
                              <w:pStyle w:val="TableContents"/>
                              <w:bidi w:val="0"/>
                              <w:spacing w:before="0" w:after="283"/>
                              <w:jc w:val="left"/>
                              <w:rPr/>
                            </w:pPr>
                            <w:r>
                              <w:rPr/>
                              <w:t>​</w:t>
                            </w:r>
                          </w:p>
                        </w:tc>
                        <w:tc>
                          <w:tcPr>
                            <w:tcW w:w="154" w:type="dxa"/>
                            <w:tcBorders>
                              <w:bottom w:val="single" w:sz="2" w:space="0" w:color="83AD40"/>
                            </w:tcBorders>
                            <w:vAlign w:val="center"/>
                          </w:tcPr>
                          <w:p>
                            <w:pPr>
                              <w:pStyle w:val="TableContents"/>
                              <w:bidi w:val="0"/>
                              <w:spacing w:before="0" w:after="283"/>
                              <w:jc w:val="left"/>
                              <w:rPr/>
                            </w:pPr>
                            <w:r>
                              <w:rPr/>
                              <w:t>​</w:t>
                            </w:r>
                          </w:p>
                        </w:tc>
                      </w:tr>
                      <w:tr>
                        <w:trPr/>
                        <w:tc>
                          <w:tcPr>
                            <w:tcW w:w="124" w:type="dxa"/>
                            <w:tcBorders/>
                            <w:shd w:fill="E9F9D8" w:val="clear"/>
                            <w:tcMar>
                              <w:bottom w:w="0" w:type="dxa"/>
                            </w:tcMar>
                            <w:vAlign w:val="center"/>
                          </w:tcPr>
                          <w:p>
                            <w:pPr>
                              <w:pStyle w:val="TableContents"/>
                              <w:bidi w:val="0"/>
                              <w:spacing w:before="0" w:after="283"/>
                              <w:jc w:val="left"/>
                              <w:rPr/>
                            </w:pPr>
                            <w:r>
                              <w:rPr/>
                              <w:t>​</w:t>
                            </w:r>
                          </w:p>
                        </w:tc>
                        <w:tc>
                          <w:tcPr>
                            <w:tcW w:w="7873" w:type="dxa"/>
                            <w:tcBorders/>
                            <w:shd w:fill="E9F9D8" w:val="clear"/>
                            <w:tcMar>
                              <w:bottom w:w="0" w:type="dxa"/>
                            </w:tcMar>
                            <w:vAlign w:val="center"/>
                          </w:tcPr>
                          <w:p>
                            <w:pPr>
                              <w:pStyle w:val="TableContents"/>
                              <w:bidi w:val="0"/>
                              <w:spacing w:lineRule="atLeast" w:line="220" w:before="0" w:after="0"/>
                              <w:jc w:val="left"/>
                              <w:rPr/>
                            </w:pPr>
                            <w:hyperlink w:anchor="tEOD">
                              <w:r>
                                <w:rPr>
                                  <w:rStyle w:val="InternetLink"/>
                                  <w:color w:val="1F2668"/>
                                  <w:spacing w:val="-2"/>
                                </w:rPr>
                                <w:t>Proposal 1: Election of Directors</w:t>
                              </w:r>
                            </w:hyperlink>
                            <w:r>
                              <w:rPr/>
                              <w:t xml:space="preserve"> </w:t>
                            </w:r>
                          </w:p>
                        </w:tc>
                        <w:tc>
                          <w:tcPr>
                            <w:tcW w:w="109" w:type="dxa"/>
                            <w:tcBorders/>
                            <w:shd w:fill="E9F9D8" w:val="clear"/>
                            <w:tcMar>
                              <w:bottom w:w="0" w:type="dxa"/>
                            </w:tcMar>
                            <w:vAlign w:val="center"/>
                          </w:tcPr>
                          <w:p>
                            <w:pPr>
                              <w:pStyle w:val="TableContents"/>
                              <w:bidi w:val="0"/>
                              <w:spacing w:before="0" w:after="283"/>
                              <w:jc w:val="left"/>
                              <w:rPr/>
                            </w:pPr>
                            <w:r>
                              <w:rPr/>
                              <w:t>​</w:t>
                            </w:r>
                          </w:p>
                        </w:tc>
                        <w:tc>
                          <w:tcPr>
                            <w:tcW w:w="109" w:type="dxa"/>
                            <w:tcBorders/>
                            <w:shd w:fill="E9F9D8" w:val="clear"/>
                            <w:tcMar>
                              <w:bottom w:w="0" w:type="dxa"/>
                            </w:tcMar>
                            <w:vAlign w:val="center"/>
                          </w:tcPr>
                          <w:p>
                            <w:pPr>
                              <w:pStyle w:val="TableContents"/>
                              <w:bidi w:val="0"/>
                              <w:spacing w:before="0" w:after="283"/>
                              <w:jc w:val="left"/>
                              <w:rPr/>
                            </w:pPr>
                            <w:r>
                              <w:rPr/>
                              <w:t>​</w:t>
                            </w:r>
                          </w:p>
                        </w:tc>
                        <w:tc>
                          <w:tcPr>
                            <w:tcW w:w="536" w:type="dxa"/>
                            <w:tcBorders/>
                            <w:shd w:fill="E9F9D8" w:val="clear"/>
                            <w:tcMar>
                              <w:bottom w:w="0" w:type="dxa"/>
                            </w:tcMar>
                            <w:vAlign w:val="center"/>
                          </w:tcPr>
                          <w:p>
                            <w:pPr>
                              <w:pStyle w:val="TableContents"/>
                              <w:bidi w:val="0"/>
                              <w:spacing w:before="0" w:after="0"/>
                              <w:jc w:val="center"/>
                              <w:rPr/>
                            </w:pPr>
                            <w:r>
                              <w:rPr/>
                              <w:drawing>
                                <wp:inline distT="0" distB="0" distL="0" distR="0">
                                  <wp:extent cx="247650" cy="247650"/>
                                  <wp:effectExtent l="0" t="0" r="0" b="0"/>
                                  <wp:docPr id="110" name="Image38" descr="">
                                    <a:hlinkClick xmlns:a="http://schemas.openxmlformats.org/drawingml/2006/main" r:id="rId5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38" descr="">
                                            <a:hlinkClick r:id="rId56"/>
                                          </pic:cNvPr>
                                          <pic:cNvPicPr>
                                            <a:picLocks noChangeAspect="1" noChangeArrowheads="1"/>
                                          </pic:cNvPicPr>
                                        </pic:nvPicPr>
                                        <pic:blipFill>
                                          <a:blip r:embed="rId55"/>
                                          <a:stretch>
                                            <a:fillRect/>
                                          </a:stretch>
                                        </pic:blipFill>
                                        <pic:spPr bwMode="auto">
                                          <a:xfrm>
                                            <a:off x="0" y="0"/>
                                            <a:ext cx="247650" cy="247650"/>
                                          </a:xfrm>
                                          <a:prstGeom prst="rect">
                                            <a:avLst/>
                                          </a:prstGeom>
                                          <a:ln w="9525">
                                            <a:solidFill>
                                              <a:srgbClr val="000080"/>
                                            </a:solidFill>
                                          </a:ln>
                                        </pic:spPr>
                                      </pic:pic>
                                    </a:graphicData>
                                  </a:graphic>
                                </wp:inline>
                              </w:drawing>
                            </w:r>
                            <w:hyperlink w:anchor="tEOD">
                              <w:r>
                                <w:rPr>
                                  <w:rStyle w:val="InternetLink"/>
                                </w:rPr>
                                <w:t xml:space="preserve"> </w:t>
                              </w:r>
                            </w:hyperlink>
                          </w:p>
                        </w:tc>
                        <w:tc>
                          <w:tcPr>
                            <w:tcW w:w="109" w:type="dxa"/>
                            <w:tcBorders/>
                            <w:shd w:fill="E9F9D8" w:val="clear"/>
                            <w:tcMar>
                              <w:bottom w:w="0" w:type="dxa"/>
                            </w:tcMar>
                            <w:vAlign w:val="center"/>
                          </w:tcPr>
                          <w:p>
                            <w:pPr>
                              <w:pStyle w:val="TableContents"/>
                              <w:bidi w:val="0"/>
                              <w:spacing w:before="0" w:after="283"/>
                              <w:jc w:val="left"/>
                              <w:rPr/>
                            </w:pPr>
                            <w:r>
                              <w:rPr/>
                              <w:t>​</w:t>
                            </w:r>
                          </w:p>
                        </w:tc>
                        <w:tc>
                          <w:tcPr>
                            <w:tcW w:w="109" w:type="dxa"/>
                            <w:tcBorders/>
                            <w:shd w:fill="E9F9D8" w:val="clear"/>
                            <w:tcMar>
                              <w:bottom w:w="0" w:type="dxa"/>
                            </w:tcMar>
                            <w:vAlign w:val="center"/>
                          </w:tcPr>
                          <w:p>
                            <w:pPr>
                              <w:pStyle w:val="TableContents"/>
                              <w:bidi w:val="0"/>
                              <w:spacing w:before="0" w:after="283"/>
                              <w:jc w:val="left"/>
                              <w:rPr/>
                            </w:pPr>
                            <w:r>
                              <w:rPr/>
                              <w:t>​</w:t>
                            </w:r>
                          </w:p>
                        </w:tc>
                        <w:tc>
                          <w:tcPr>
                            <w:tcW w:w="109" w:type="dxa"/>
                            <w:tcBorders/>
                            <w:shd w:fill="E9F9D8" w:val="clear"/>
                            <w:tcMar>
                              <w:bottom w:w="0" w:type="dxa"/>
                            </w:tcMar>
                            <w:vAlign w:val="center"/>
                          </w:tcPr>
                          <w:p>
                            <w:pPr>
                              <w:pStyle w:val="TableContents"/>
                              <w:bidi w:val="0"/>
                              <w:spacing w:before="0" w:after="283"/>
                              <w:jc w:val="left"/>
                              <w:rPr/>
                            </w:pPr>
                            <w:r>
                              <w:rPr/>
                              <w:t>​</w:t>
                            </w:r>
                          </w:p>
                        </w:tc>
                        <w:tc>
                          <w:tcPr>
                            <w:tcW w:w="109" w:type="dxa"/>
                            <w:tcBorders/>
                            <w:shd w:fill="E9F9D8" w:val="clear"/>
                            <w:tcMar>
                              <w:bottom w:w="0" w:type="dxa"/>
                            </w:tcMar>
                            <w:vAlign w:val="center"/>
                          </w:tcPr>
                          <w:p>
                            <w:pPr>
                              <w:pStyle w:val="TableContents"/>
                              <w:bidi w:val="0"/>
                              <w:spacing w:before="0" w:after="283"/>
                              <w:jc w:val="right"/>
                              <w:rPr/>
                            </w:pPr>
                            <w:r>
                              <w:rPr/>
                              <w:t>​</w:t>
                            </w:r>
                          </w:p>
                        </w:tc>
                        <w:tc>
                          <w:tcPr>
                            <w:tcW w:w="404" w:type="dxa"/>
                            <w:tcBorders/>
                            <w:shd w:fill="E9F9D8" w:val="clear"/>
                            <w:tcMar>
                              <w:bottom w:w="0" w:type="dxa"/>
                            </w:tcMar>
                            <w:vAlign w:val="center"/>
                          </w:tcPr>
                          <w:p>
                            <w:pPr>
                              <w:pStyle w:val="TableContents"/>
                              <w:bidi w:val="0"/>
                              <w:spacing w:before="0" w:after="283"/>
                              <w:jc w:val="right"/>
                              <w:rPr/>
                            </w:pPr>
                            <w:hyperlink w:anchor="tEOD">
                              <w:r>
                                <w:rPr>
                                  <w:rStyle w:val="InternetLink"/>
                                  <w:color w:val="1F2668"/>
                                  <w:spacing w:val="-2"/>
                                </w:rPr>
                                <w:t>10</w:t>
                              </w:r>
                            </w:hyperlink>
                            <w:r>
                              <w:rPr/>
                              <w:t xml:space="preserve"> </w:t>
                            </w:r>
                          </w:p>
                        </w:tc>
                        <w:tc>
                          <w:tcPr>
                            <w:tcW w:w="109" w:type="dxa"/>
                            <w:tcBorders/>
                            <w:shd w:fill="E9F9D8" w:val="clear"/>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627" w:type="dxa"/>
                            <w:gridSpan w:val="4"/>
                            <w:tcBorders/>
                            <w:tcMar>
                              <w:bottom w:w="0" w:type="dxa"/>
                            </w:tcMar>
                            <w:vAlign w:val="center"/>
                          </w:tcPr>
                          <w:p>
                            <w:pPr>
                              <w:pStyle w:val="TableContents"/>
                              <w:bidi w:val="0"/>
                              <w:spacing w:before="0" w:after="0"/>
                              <w:jc w:val="left"/>
                              <w:rPr/>
                            </w:pPr>
                            <w:hyperlink w:anchor="tIRTD">
                              <w:r>
                                <w:rPr>
                                  <w:rStyle w:val="InternetLink"/>
                                  <w:color w:val="1F2668"/>
                                  <w:spacing w:val="-2"/>
                                </w:rPr>
                                <w:t>Information Regarding the Director Nominees</w:t>
                              </w:r>
                            </w:hyperlink>
                            <w:r>
                              <w:rPr>
                                <w:color w:val="1F2668"/>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4" w:type="dxa"/>
                            <w:tcBorders/>
                            <w:tcMar>
                              <w:bottom w:w="0" w:type="dxa"/>
                            </w:tcMar>
                            <w:vAlign w:val="center"/>
                          </w:tcPr>
                          <w:p>
                            <w:pPr>
                              <w:pStyle w:val="TableContents"/>
                              <w:bidi w:val="0"/>
                              <w:spacing w:before="0" w:after="283"/>
                              <w:jc w:val="right"/>
                              <w:rPr/>
                            </w:pPr>
                            <w:hyperlink w:anchor="tIRTD">
                              <w:r>
                                <w:rPr>
                                  <w:rStyle w:val="InternetLink"/>
                                  <w:color w:val="1F2668"/>
                                  <w:spacing w:val="-2"/>
                                </w:rPr>
                                <w:t>11</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627" w:type="dxa"/>
                            <w:gridSpan w:val="4"/>
                            <w:tcBorders/>
                            <w:tcMar>
                              <w:bottom w:w="0" w:type="dxa"/>
                            </w:tcMar>
                            <w:vAlign w:val="center"/>
                          </w:tcPr>
                          <w:p>
                            <w:pPr>
                              <w:pStyle w:val="TableContents"/>
                              <w:bidi w:val="0"/>
                              <w:spacing w:before="0" w:after="0"/>
                              <w:jc w:val="left"/>
                              <w:rPr/>
                            </w:pPr>
                            <w:hyperlink w:anchor="tBSAI">
                              <w:r>
                                <w:rPr>
                                  <w:rStyle w:val="InternetLink"/>
                                  <w:color w:val="1F2668"/>
                                  <w:spacing w:val="-2"/>
                                </w:rPr>
                                <w:t>Board Structure and Independence</w:t>
                              </w:r>
                            </w:hyperlink>
                            <w:r>
                              <w:rPr>
                                <w:color w:val="1F2668"/>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4" w:type="dxa"/>
                            <w:tcBorders/>
                            <w:tcMar>
                              <w:bottom w:w="0" w:type="dxa"/>
                            </w:tcMar>
                            <w:vAlign w:val="center"/>
                          </w:tcPr>
                          <w:p>
                            <w:pPr>
                              <w:pStyle w:val="TableContents"/>
                              <w:bidi w:val="0"/>
                              <w:spacing w:before="0" w:after="283"/>
                              <w:jc w:val="right"/>
                              <w:rPr/>
                            </w:pPr>
                            <w:hyperlink w:anchor="tBSAI">
                              <w:r>
                                <w:rPr>
                                  <w:rStyle w:val="InternetLink"/>
                                  <w:color w:val="1F2668"/>
                                  <w:spacing w:val="-2"/>
                                </w:rPr>
                                <w:t>23</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627" w:type="dxa"/>
                            <w:gridSpan w:val="4"/>
                            <w:tcBorders/>
                            <w:tcMar>
                              <w:bottom w:w="0" w:type="dxa"/>
                            </w:tcMar>
                            <w:vAlign w:val="center"/>
                          </w:tcPr>
                          <w:p>
                            <w:pPr>
                              <w:pStyle w:val="TableContents"/>
                              <w:bidi w:val="0"/>
                              <w:spacing w:before="0" w:after="283"/>
                              <w:jc w:val="left"/>
                              <w:rPr/>
                            </w:pPr>
                            <w:hyperlink w:anchor="tBOCO">
                              <w:r>
                                <w:rPr>
                                  <w:rStyle w:val="InternetLink"/>
                                  <w:color w:val="1F2668"/>
                                  <w:spacing w:val="-2"/>
                                </w:rPr>
                                <w:t>Board Committees</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4" w:type="dxa"/>
                            <w:tcBorders/>
                            <w:tcMar>
                              <w:bottom w:w="0" w:type="dxa"/>
                            </w:tcMar>
                            <w:vAlign w:val="center"/>
                          </w:tcPr>
                          <w:p>
                            <w:pPr>
                              <w:pStyle w:val="TableContents"/>
                              <w:bidi w:val="0"/>
                              <w:spacing w:before="0" w:after="283"/>
                              <w:jc w:val="right"/>
                              <w:rPr/>
                            </w:pPr>
                            <w:hyperlink w:anchor="tBOCO">
                              <w:r>
                                <w:rPr>
                                  <w:rStyle w:val="InternetLink"/>
                                  <w:color w:val="1F2668"/>
                                  <w:spacing w:val="-2"/>
                                </w:rPr>
                                <w:t>25</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627" w:type="dxa"/>
                            <w:gridSpan w:val="4"/>
                            <w:tcBorders/>
                            <w:tcMar>
                              <w:bottom w:w="0" w:type="dxa"/>
                            </w:tcMar>
                            <w:vAlign w:val="center"/>
                          </w:tcPr>
                          <w:p>
                            <w:pPr>
                              <w:pStyle w:val="TableContents"/>
                              <w:bidi w:val="0"/>
                              <w:spacing w:before="0" w:after="283"/>
                              <w:jc w:val="left"/>
                              <w:rPr/>
                            </w:pPr>
                            <w:hyperlink w:anchor="tCOGO">
                              <w:r>
                                <w:rPr>
                                  <w:rStyle w:val="InternetLink"/>
                                  <w:color w:val="1F2668"/>
                                  <w:spacing w:val="-2"/>
                                </w:rPr>
                                <w:t>Corporate Governance</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4" w:type="dxa"/>
                            <w:tcBorders/>
                            <w:tcMar>
                              <w:bottom w:w="0" w:type="dxa"/>
                            </w:tcMar>
                            <w:vAlign w:val="center"/>
                          </w:tcPr>
                          <w:p>
                            <w:pPr>
                              <w:pStyle w:val="TableContents"/>
                              <w:bidi w:val="0"/>
                              <w:spacing w:before="0" w:after="283"/>
                              <w:jc w:val="right"/>
                              <w:rPr/>
                            </w:pPr>
                            <w:hyperlink w:anchor="tCOGO">
                              <w:r>
                                <w:rPr>
                                  <w:rStyle w:val="InternetLink"/>
                                  <w:color w:val="1F2668"/>
                                  <w:spacing w:val="-2"/>
                                </w:rPr>
                                <w:t>29</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627" w:type="dxa"/>
                            <w:gridSpan w:val="4"/>
                            <w:tcBorders/>
                            <w:tcMar>
                              <w:bottom w:w="0" w:type="dxa"/>
                            </w:tcMar>
                            <w:vAlign w:val="center"/>
                          </w:tcPr>
                          <w:p>
                            <w:pPr>
                              <w:pStyle w:val="TableContents"/>
                              <w:bidi w:val="0"/>
                              <w:spacing w:before="0" w:after="283"/>
                              <w:jc w:val="left"/>
                              <w:rPr/>
                            </w:pPr>
                            <w:hyperlink w:anchor="tDICO">
                              <w:r>
                                <w:rPr>
                                  <w:rStyle w:val="InternetLink"/>
                                  <w:color w:val="1F2668"/>
                                  <w:spacing w:val="-2"/>
                                </w:rPr>
                                <w:t>Director Compensation</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4" w:type="dxa"/>
                            <w:tcBorders/>
                            <w:tcMar>
                              <w:bottom w:w="0" w:type="dxa"/>
                            </w:tcMar>
                            <w:vAlign w:val="center"/>
                          </w:tcPr>
                          <w:p>
                            <w:pPr>
                              <w:pStyle w:val="TableContents"/>
                              <w:bidi w:val="0"/>
                              <w:spacing w:before="0" w:after="283"/>
                              <w:jc w:val="right"/>
                              <w:rPr/>
                            </w:pPr>
                            <w:hyperlink w:anchor="tDICO">
                              <w:r>
                                <w:rPr>
                                  <w:rStyle w:val="InternetLink"/>
                                  <w:color w:val="1F2668"/>
                                  <w:spacing w:val="-2"/>
                                </w:rPr>
                                <w:t>36</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83AD40"/>
                            </w:tcBorders>
                            <w:vAlign w:val="center"/>
                          </w:tcPr>
                          <w:p>
                            <w:pPr>
                              <w:pStyle w:val="TableContents"/>
                              <w:bidi w:val="0"/>
                              <w:spacing w:before="0" w:after="283"/>
                              <w:jc w:val="left"/>
                              <w:rPr/>
                            </w:pPr>
                            <w:r>
                              <w:rPr/>
                              <w:t>​</w:t>
                            </w:r>
                          </w:p>
                        </w:tc>
                        <w:tc>
                          <w:tcPr>
                            <w:tcW w:w="8627" w:type="dxa"/>
                            <w:gridSpan w:val="4"/>
                            <w:tcBorders>
                              <w:bottom w:val="single" w:sz="2" w:space="0" w:color="83AD40"/>
                            </w:tcBorders>
                            <w:tcMar>
                              <w:bottom w:w="80" w:type="dxa"/>
                            </w:tcMar>
                            <w:vAlign w:val="center"/>
                          </w:tcPr>
                          <w:p>
                            <w:pPr>
                              <w:pStyle w:val="TableContents"/>
                              <w:bidi w:val="0"/>
                              <w:spacing w:before="0" w:after="283"/>
                              <w:jc w:val="left"/>
                              <w:rPr/>
                            </w:pPr>
                            <w:hyperlink w:anchor="tEXOF">
                              <w:r>
                                <w:rPr>
                                  <w:rStyle w:val="InternetLink"/>
                                  <w:color w:val="83AD40"/>
                                  <w:spacing w:val="-2"/>
                                </w:rPr>
                                <w:t>EXECUTIVE OFFICERS</w:t>
                              </w:r>
                            </w:hyperlink>
                            <w:hyperlink w:anchor="tEXOF">
                              <w:r>
                                <w:rPr>
                                  <w:rStyle w:val="InternetLink"/>
                                  <w:color w:val="1F2668"/>
                                </w:rPr>
                                <w:t>​</w:t>
                              </w:r>
                            </w:hyperlink>
                            <w:r>
                              <w:rPr/>
                              <w:t xml:space="preserve"> </w:t>
                            </w:r>
                          </w:p>
                        </w:tc>
                        <w:tc>
                          <w:tcPr>
                            <w:tcW w:w="109" w:type="dxa"/>
                            <w:tcBorders>
                              <w:bottom w:val="single" w:sz="2" w:space="0" w:color="83AD40"/>
                            </w:tcBorders>
                            <w:vAlign w:val="center"/>
                          </w:tcPr>
                          <w:p>
                            <w:pPr>
                              <w:pStyle w:val="TableContents"/>
                              <w:bidi w:val="0"/>
                              <w:spacing w:before="0" w:after="283"/>
                              <w:jc w:val="left"/>
                              <w:rPr/>
                            </w:pPr>
                            <w:r>
                              <w:rPr/>
                              <w:t>​</w:t>
                            </w:r>
                          </w:p>
                        </w:tc>
                        <w:tc>
                          <w:tcPr>
                            <w:tcW w:w="109" w:type="dxa"/>
                            <w:tcBorders>
                              <w:bottom w:val="single" w:sz="2" w:space="0" w:color="83AD40"/>
                            </w:tcBorders>
                            <w:vAlign w:val="center"/>
                          </w:tcPr>
                          <w:p>
                            <w:pPr>
                              <w:pStyle w:val="TableContents"/>
                              <w:bidi w:val="0"/>
                              <w:spacing w:before="0" w:after="283"/>
                              <w:jc w:val="left"/>
                              <w:rPr/>
                            </w:pPr>
                            <w:r>
                              <w:rPr/>
                              <w:t>​</w:t>
                            </w:r>
                          </w:p>
                        </w:tc>
                        <w:tc>
                          <w:tcPr>
                            <w:tcW w:w="109" w:type="dxa"/>
                            <w:tcBorders>
                              <w:bottom w:val="single" w:sz="2" w:space="0" w:color="83AD40"/>
                            </w:tcBorders>
                            <w:vAlign w:val="center"/>
                          </w:tcPr>
                          <w:p>
                            <w:pPr>
                              <w:pStyle w:val="TableContents"/>
                              <w:bidi w:val="0"/>
                              <w:spacing w:before="0" w:after="283"/>
                              <w:jc w:val="left"/>
                              <w:rPr/>
                            </w:pPr>
                            <w:r>
                              <w:rPr/>
                              <w:t>​</w:t>
                            </w:r>
                          </w:p>
                        </w:tc>
                        <w:tc>
                          <w:tcPr>
                            <w:tcW w:w="109" w:type="dxa"/>
                            <w:tcBorders>
                              <w:bottom w:val="single" w:sz="2" w:space="0" w:color="83AD40"/>
                            </w:tcBorders>
                            <w:tcMar>
                              <w:bottom w:w="80" w:type="dxa"/>
                            </w:tcMar>
                            <w:vAlign w:val="center"/>
                          </w:tcPr>
                          <w:p>
                            <w:pPr>
                              <w:pStyle w:val="TableContents"/>
                              <w:bidi w:val="0"/>
                              <w:spacing w:before="0" w:after="283"/>
                              <w:jc w:val="right"/>
                              <w:rPr/>
                            </w:pPr>
                            <w:r>
                              <w:rPr/>
                              <w:t>​</w:t>
                            </w:r>
                          </w:p>
                        </w:tc>
                        <w:tc>
                          <w:tcPr>
                            <w:tcW w:w="404" w:type="dxa"/>
                            <w:tcBorders>
                              <w:bottom w:val="single" w:sz="2" w:space="0" w:color="83AD40"/>
                            </w:tcBorders>
                            <w:tcMar>
                              <w:bottom w:w="80" w:type="dxa"/>
                            </w:tcMar>
                            <w:vAlign w:val="center"/>
                          </w:tcPr>
                          <w:p>
                            <w:pPr>
                              <w:pStyle w:val="TableContents"/>
                              <w:bidi w:val="0"/>
                              <w:spacing w:before="0" w:after="283"/>
                              <w:jc w:val="right"/>
                              <w:rPr/>
                            </w:pPr>
                            <w:hyperlink w:anchor="tEXOF">
                              <w:r>
                                <w:rPr>
                                  <w:rStyle w:val="InternetLink"/>
                                  <w:color w:val="83AD40"/>
                                  <w:spacing w:val="-2"/>
                                </w:rPr>
                                <w:t>38</w:t>
                              </w:r>
                            </w:hyperlink>
                            <w:r>
                              <w:rPr/>
                              <w:t xml:space="preserve"> </w:t>
                            </w:r>
                          </w:p>
                        </w:tc>
                        <w:tc>
                          <w:tcPr>
                            <w:tcW w:w="109" w:type="dxa"/>
                            <w:tcBorders>
                              <w:bottom w:val="single" w:sz="2" w:space="0" w:color="83AD40"/>
                            </w:tcBorders>
                            <w:vAlign w:val="center"/>
                          </w:tcPr>
                          <w:p>
                            <w:pPr>
                              <w:pStyle w:val="TableContents"/>
                              <w:bidi w:val="0"/>
                              <w:spacing w:before="0" w:after="283"/>
                              <w:jc w:val="left"/>
                              <w:rPr/>
                            </w:pPr>
                            <w:r>
                              <w:rPr/>
                              <w:t>​</w:t>
                            </w:r>
                          </w:p>
                        </w:tc>
                        <w:tc>
                          <w:tcPr>
                            <w:tcW w:w="154" w:type="dxa"/>
                            <w:tcBorders>
                              <w:bottom w:val="single" w:sz="2" w:space="0" w:color="83AD40"/>
                            </w:tcBorders>
                            <w:vAlign w:val="center"/>
                          </w:tcPr>
                          <w:p>
                            <w:pPr>
                              <w:pStyle w:val="TableContents"/>
                              <w:bidi w:val="0"/>
                              <w:spacing w:before="0" w:after="283"/>
                              <w:jc w:val="left"/>
                              <w:rPr/>
                            </w:pPr>
                            <w:r>
                              <w:rPr/>
                              <w:t>​</w:t>
                            </w:r>
                          </w:p>
                        </w:tc>
                      </w:tr>
                      <w:tr>
                        <w:trPr/>
                        <w:tc>
                          <w:tcPr>
                            <w:tcW w:w="124" w:type="dxa"/>
                            <w:tcBorders>
                              <w:bottom w:val="single" w:sz="2" w:space="0" w:color="83AD40"/>
                            </w:tcBorders>
                            <w:vAlign w:val="center"/>
                          </w:tcPr>
                          <w:p>
                            <w:pPr>
                              <w:pStyle w:val="TableContents"/>
                              <w:bidi w:val="0"/>
                              <w:spacing w:before="0" w:after="283"/>
                              <w:jc w:val="left"/>
                              <w:rPr/>
                            </w:pPr>
                            <w:r>
                              <w:rPr/>
                              <w:t>​</w:t>
                            </w:r>
                          </w:p>
                        </w:tc>
                        <w:tc>
                          <w:tcPr>
                            <w:tcW w:w="8627" w:type="dxa"/>
                            <w:gridSpan w:val="4"/>
                            <w:tcBorders>
                              <w:bottom w:val="single" w:sz="2" w:space="0" w:color="83AD40"/>
                            </w:tcBorders>
                            <w:tcMar>
                              <w:bottom w:w="80" w:type="dxa"/>
                            </w:tcMar>
                            <w:vAlign w:val="center"/>
                          </w:tcPr>
                          <w:p>
                            <w:pPr>
                              <w:pStyle w:val="TableContents"/>
                              <w:bidi w:val="0"/>
                              <w:spacing w:before="0" w:after="283"/>
                              <w:jc w:val="left"/>
                              <w:rPr/>
                            </w:pPr>
                            <w:hyperlink w:anchor="tEXCO">
                              <w:r>
                                <w:rPr>
                                  <w:rStyle w:val="InternetLink"/>
                                  <w:color w:val="83AD40"/>
                                  <w:spacing w:val="-2"/>
                                </w:rPr>
                                <w:t>EXECUTIVE COMPENSATION</w:t>
                              </w:r>
                            </w:hyperlink>
                            <w:hyperlink w:anchor="tEXCO">
                              <w:r>
                                <w:rPr>
                                  <w:rStyle w:val="InternetLink"/>
                                  <w:color w:val="1F2668"/>
                                </w:rPr>
                                <w:t>​</w:t>
                              </w:r>
                            </w:hyperlink>
                            <w:r>
                              <w:rPr/>
                              <w:t xml:space="preserve"> </w:t>
                            </w:r>
                          </w:p>
                        </w:tc>
                        <w:tc>
                          <w:tcPr>
                            <w:tcW w:w="109" w:type="dxa"/>
                            <w:tcBorders>
                              <w:bottom w:val="single" w:sz="2" w:space="0" w:color="83AD40"/>
                            </w:tcBorders>
                            <w:vAlign w:val="center"/>
                          </w:tcPr>
                          <w:p>
                            <w:pPr>
                              <w:pStyle w:val="TableContents"/>
                              <w:bidi w:val="0"/>
                              <w:spacing w:before="0" w:after="283"/>
                              <w:jc w:val="left"/>
                              <w:rPr/>
                            </w:pPr>
                            <w:r>
                              <w:rPr/>
                              <w:t>​</w:t>
                            </w:r>
                          </w:p>
                        </w:tc>
                        <w:tc>
                          <w:tcPr>
                            <w:tcW w:w="109" w:type="dxa"/>
                            <w:tcBorders>
                              <w:bottom w:val="single" w:sz="2" w:space="0" w:color="83AD40"/>
                            </w:tcBorders>
                            <w:vAlign w:val="center"/>
                          </w:tcPr>
                          <w:p>
                            <w:pPr>
                              <w:pStyle w:val="TableContents"/>
                              <w:bidi w:val="0"/>
                              <w:spacing w:before="0" w:after="283"/>
                              <w:jc w:val="left"/>
                              <w:rPr/>
                            </w:pPr>
                            <w:r>
                              <w:rPr/>
                              <w:t>​</w:t>
                            </w:r>
                          </w:p>
                        </w:tc>
                        <w:tc>
                          <w:tcPr>
                            <w:tcW w:w="109" w:type="dxa"/>
                            <w:tcBorders>
                              <w:bottom w:val="single" w:sz="2" w:space="0" w:color="83AD40"/>
                            </w:tcBorders>
                            <w:vAlign w:val="center"/>
                          </w:tcPr>
                          <w:p>
                            <w:pPr>
                              <w:pStyle w:val="TableContents"/>
                              <w:bidi w:val="0"/>
                              <w:spacing w:before="0" w:after="283"/>
                              <w:jc w:val="left"/>
                              <w:rPr/>
                            </w:pPr>
                            <w:r>
                              <w:rPr/>
                              <w:t>​</w:t>
                            </w:r>
                          </w:p>
                        </w:tc>
                        <w:tc>
                          <w:tcPr>
                            <w:tcW w:w="109" w:type="dxa"/>
                            <w:tcBorders>
                              <w:bottom w:val="single" w:sz="2" w:space="0" w:color="83AD40"/>
                            </w:tcBorders>
                            <w:tcMar>
                              <w:bottom w:w="80" w:type="dxa"/>
                            </w:tcMar>
                            <w:vAlign w:val="center"/>
                          </w:tcPr>
                          <w:p>
                            <w:pPr>
                              <w:pStyle w:val="TableContents"/>
                              <w:bidi w:val="0"/>
                              <w:spacing w:before="0" w:after="283"/>
                              <w:jc w:val="right"/>
                              <w:rPr/>
                            </w:pPr>
                            <w:r>
                              <w:rPr/>
                              <w:t>​</w:t>
                            </w:r>
                          </w:p>
                        </w:tc>
                        <w:tc>
                          <w:tcPr>
                            <w:tcW w:w="404" w:type="dxa"/>
                            <w:tcBorders>
                              <w:bottom w:val="single" w:sz="2" w:space="0" w:color="83AD40"/>
                            </w:tcBorders>
                            <w:tcMar>
                              <w:bottom w:w="80" w:type="dxa"/>
                            </w:tcMar>
                            <w:vAlign w:val="center"/>
                          </w:tcPr>
                          <w:p>
                            <w:pPr>
                              <w:pStyle w:val="TableContents"/>
                              <w:bidi w:val="0"/>
                              <w:spacing w:before="0" w:after="283"/>
                              <w:jc w:val="right"/>
                              <w:rPr/>
                            </w:pPr>
                            <w:hyperlink w:anchor="tEXCO">
                              <w:r>
                                <w:rPr>
                                  <w:rStyle w:val="InternetLink"/>
                                  <w:color w:val="83AD40"/>
                                  <w:spacing w:val="-2"/>
                                </w:rPr>
                                <w:t>40</w:t>
                              </w:r>
                            </w:hyperlink>
                            <w:r>
                              <w:rPr/>
                              <w:t xml:space="preserve"> </w:t>
                            </w:r>
                          </w:p>
                        </w:tc>
                        <w:tc>
                          <w:tcPr>
                            <w:tcW w:w="109" w:type="dxa"/>
                            <w:tcBorders>
                              <w:bottom w:val="single" w:sz="2" w:space="0" w:color="83AD40"/>
                            </w:tcBorders>
                            <w:vAlign w:val="center"/>
                          </w:tcPr>
                          <w:p>
                            <w:pPr>
                              <w:pStyle w:val="TableContents"/>
                              <w:bidi w:val="0"/>
                              <w:spacing w:before="0" w:after="283"/>
                              <w:jc w:val="left"/>
                              <w:rPr/>
                            </w:pPr>
                            <w:r>
                              <w:rPr/>
                              <w:t>​</w:t>
                            </w:r>
                          </w:p>
                        </w:tc>
                        <w:tc>
                          <w:tcPr>
                            <w:tcW w:w="154" w:type="dxa"/>
                            <w:tcBorders>
                              <w:bottom w:val="single" w:sz="2" w:space="0" w:color="83AD40"/>
                            </w:tcBorders>
                            <w:vAlign w:val="center"/>
                          </w:tcPr>
                          <w:p>
                            <w:pPr>
                              <w:pStyle w:val="TableContents"/>
                              <w:bidi w:val="0"/>
                              <w:spacing w:before="0" w:after="283"/>
                              <w:jc w:val="left"/>
                              <w:rPr/>
                            </w:pPr>
                            <w:r>
                              <w:rPr/>
                              <w:t>​</w:t>
                            </w:r>
                          </w:p>
                        </w:tc>
                      </w:tr>
                      <w:tr>
                        <w:trPr/>
                        <w:tc>
                          <w:tcPr>
                            <w:tcW w:w="124" w:type="dxa"/>
                            <w:tcBorders/>
                            <w:shd w:fill="E9F9D8" w:val="clear"/>
                            <w:tcMar>
                              <w:bottom w:w="0" w:type="dxa"/>
                            </w:tcMar>
                            <w:vAlign w:val="center"/>
                          </w:tcPr>
                          <w:p>
                            <w:pPr>
                              <w:pStyle w:val="TableContents"/>
                              <w:bidi w:val="0"/>
                              <w:spacing w:before="0" w:after="283"/>
                              <w:jc w:val="left"/>
                              <w:rPr/>
                            </w:pPr>
                            <w:r>
                              <w:rPr/>
                              <w:t>​</w:t>
                            </w:r>
                          </w:p>
                        </w:tc>
                        <w:tc>
                          <w:tcPr>
                            <w:tcW w:w="7873" w:type="dxa"/>
                            <w:tcBorders/>
                            <w:shd w:fill="E9F9D8" w:val="clear"/>
                            <w:tcMar>
                              <w:bottom w:w="0" w:type="dxa"/>
                            </w:tcMar>
                            <w:vAlign w:val="center"/>
                          </w:tcPr>
                          <w:p>
                            <w:pPr>
                              <w:pStyle w:val="TableContents"/>
                              <w:bidi w:val="0"/>
                              <w:spacing w:lineRule="atLeast" w:line="220" w:before="0" w:after="0"/>
                              <w:jc w:val="left"/>
                              <w:rPr/>
                            </w:pPr>
                            <w:hyperlink w:anchor="tPR2">
                              <w:r>
                                <w:rPr>
                                  <w:rStyle w:val="InternetLink"/>
                                  <w:color w:val="1F2668"/>
                                  <w:spacing w:val="-2"/>
                                </w:rPr>
                                <w:t>Proposal 2: Advisory Vote on the Compensation of our Named Executive Officers</w:t>
                              </w:r>
                            </w:hyperlink>
                            <w:r>
                              <w:rPr/>
                              <w:t xml:space="preserve"> </w:t>
                            </w:r>
                          </w:p>
                        </w:tc>
                        <w:tc>
                          <w:tcPr>
                            <w:tcW w:w="109" w:type="dxa"/>
                            <w:tcBorders/>
                            <w:shd w:fill="E9F9D8" w:val="clear"/>
                            <w:tcMar>
                              <w:bottom w:w="0" w:type="dxa"/>
                            </w:tcMar>
                            <w:vAlign w:val="center"/>
                          </w:tcPr>
                          <w:p>
                            <w:pPr>
                              <w:pStyle w:val="TableContents"/>
                              <w:bidi w:val="0"/>
                              <w:spacing w:before="0" w:after="283"/>
                              <w:jc w:val="left"/>
                              <w:rPr/>
                            </w:pPr>
                            <w:r>
                              <w:rPr/>
                              <w:t>​</w:t>
                            </w:r>
                          </w:p>
                        </w:tc>
                        <w:tc>
                          <w:tcPr>
                            <w:tcW w:w="109" w:type="dxa"/>
                            <w:tcBorders/>
                            <w:shd w:fill="E9F9D8" w:val="clear"/>
                            <w:tcMar>
                              <w:bottom w:w="0" w:type="dxa"/>
                            </w:tcMar>
                            <w:vAlign w:val="center"/>
                          </w:tcPr>
                          <w:p>
                            <w:pPr>
                              <w:pStyle w:val="TableContents"/>
                              <w:bidi w:val="0"/>
                              <w:spacing w:before="0" w:after="283"/>
                              <w:jc w:val="left"/>
                              <w:rPr/>
                            </w:pPr>
                            <w:r>
                              <w:rPr/>
                              <w:t>​</w:t>
                            </w:r>
                          </w:p>
                        </w:tc>
                        <w:tc>
                          <w:tcPr>
                            <w:tcW w:w="536" w:type="dxa"/>
                            <w:tcBorders/>
                            <w:shd w:fill="E9F9D8" w:val="clear"/>
                            <w:tcMar>
                              <w:bottom w:w="0" w:type="dxa"/>
                            </w:tcMar>
                            <w:vAlign w:val="center"/>
                          </w:tcPr>
                          <w:p>
                            <w:pPr>
                              <w:pStyle w:val="TableContents"/>
                              <w:bidi w:val="0"/>
                              <w:spacing w:before="0" w:after="0"/>
                              <w:jc w:val="center"/>
                              <w:rPr/>
                            </w:pPr>
                            <w:r>
                              <w:rPr/>
                              <w:drawing>
                                <wp:inline distT="0" distB="0" distL="0" distR="0">
                                  <wp:extent cx="247650" cy="247650"/>
                                  <wp:effectExtent l="0" t="0" r="0" b="0"/>
                                  <wp:docPr id="111" name="Image39" descr="">
                                    <a:hlinkClick xmlns:a="http://schemas.openxmlformats.org/drawingml/2006/main" r:id="rId5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39" descr="">
                                            <a:hlinkClick r:id="rId58"/>
                                          </pic:cNvPr>
                                          <pic:cNvPicPr>
                                            <a:picLocks noChangeAspect="1" noChangeArrowheads="1"/>
                                          </pic:cNvPicPr>
                                        </pic:nvPicPr>
                                        <pic:blipFill>
                                          <a:blip r:embed="rId57"/>
                                          <a:stretch>
                                            <a:fillRect/>
                                          </a:stretch>
                                        </pic:blipFill>
                                        <pic:spPr bwMode="auto">
                                          <a:xfrm>
                                            <a:off x="0" y="0"/>
                                            <a:ext cx="247650" cy="247650"/>
                                          </a:xfrm>
                                          <a:prstGeom prst="rect">
                                            <a:avLst/>
                                          </a:prstGeom>
                                          <a:ln w="9525">
                                            <a:solidFill>
                                              <a:srgbClr val="000080"/>
                                            </a:solidFill>
                                          </a:ln>
                                        </pic:spPr>
                                      </pic:pic>
                                    </a:graphicData>
                                  </a:graphic>
                                </wp:inline>
                              </w:drawing>
                            </w:r>
                            <w:hyperlink w:anchor="tPR2">
                              <w:r>
                                <w:rPr>
                                  <w:rStyle w:val="InternetLink"/>
                                </w:rPr>
                                <w:t xml:space="preserve"> </w:t>
                              </w:r>
                            </w:hyperlink>
                          </w:p>
                        </w:tc>
                        <w:tc>
                          <w:tcPr>
                            <w:tcW w:w="109" w:type="dxa"/>
                            <w:tcBorders/>
                            <w:shd w:fill="E9F9D8" w:val="clear"/>
                            <w:tcMar>
                              <w:bottom w:w="0" w:type="dxa"/>
                            </w:tcMar>
                            <w:vAlign w:val="center"/>
                          </w:tcPr>
                          <w:p>
                            <w:pPr>
                              <w:pStyle w:val="TableContents"/>
                              <w:bidi w:val="0"/>
                              <w:spacing w:before="0" w:after="283"/>
                              <w:jc w:val="left"/>
                              <w:rPr/>
                            </w:pPr>
                            <w:r>
                              <w:rPr/>
                              <w:t>​</w:t>
                            </w:r>
                          </w:p>
                        </w:tc>
                        <w:tc>
                          <w:tcPr>
                            <w:tcW w:w="109" w:type="dxa"/>
                            <w:tcBorders/>
                            <w:shd w:fill="E9F9D8" w:val="clear"/>
                            <w:tcMar>
                              <w:bottom w:w="0" w:type="dxa"/>
                            </w:tcMar>
                            <w:vAlign w:val="center"/>
                          </w:tcPr>
                          <w:p>
                            <w:pPr>
                              <w:pStyle w:val="TableContents"/>
                              <w:bidi w:val="0"/>
                              <w:spacing w:before="0" w:after="283"/>
                              <w:jc w:val="left"/>
                              <w:rPr/>
                            </w:pPr>
                            <w:r>
                              <w:rPr/>
                              <w:t>​</w:t>
                            </w:r>
                          </w:p>
                        </w:tc>
                        <w:tc>
                          <w:tcPr>
                            <w:tcW w:w="109" w:type="dxa"/>
                            <w:tcBorders/>
                            <w:shd w:fill="E9F9D8" w:val="clear"/>
                            <w:tcMar>
                              <w:bottom w:w="0" w:type="dxa"/>
                            </w:tcMar>
                            <w:vAlign w:val="center"/>
                          </w:tcPr>
                          <w:p>
                            <w:pPr>
                              <w:pStyle w:val="TableContents"/>
                              <w:bidi w:val="0"/>
                              <w:spacing w:before="0" w:after="283"/>
                              <w:jc w:val="left"/>
                              <w:rPr/>
                            </w:pPr>
                            <w:r>
                              <w:rPr/>
                              <w:t>​</w:t>
                            </w:r>
                          </w:p>
                        </w:tc>
                        <w:tc>
                          <w:tcPr>
                            <w:tcW w:w="109" w:type="dxa"/>
                            <w:tcBorders/>
                            <w:shd w:fill="E9F9D8" w:val="clear"/>
                            <w:tcMar>
                              <w:bottom w:w="0" w:type="dxa"/>
                            </w:tcMar>
                            <w:vAlign w:val="center"/>
                          </w:tcPr>
                          <w:p>
                            <w:pPr>
                              <w:pStyle w:val="TableContents"/>
                              <w:bidi w:val="0"/>
                              <w:spacing w:before="0" w:after="283"/>
                              <w:jc w:val="right"/>
                              <w:rPr/>
                            </w:pPr>
                            <w:r>
                              <w:rPr/>
                              <w:t>​</w:t>
                            </w:r>
                          </w:p>
                        </w:tc>
                        <w:tc>
                          <w:tcPr>
                            <w:tcW w:w="404" w:type="dxa"/>
                            <w:tcBorders/>
                            <w:shd w:fill="E9F9D8" w:val="clear"/>
                            <w:tcMar>
                              <w:bottom w:w="0" w:type="dxa"/>
                            </w:tcMar>
                            <w:vAlign w:val="center"/>
                          </w:tcPr>
                          <w:p>
                            <w:pPr>
                              <w:pStyle w:val="TableContents"/>
                              <w:bidi w:val="0"/>
                              <w:spacing w:before="0" w:after="283"/>
                              <w:jc w:val="right"/>
                              <w:rPr/>
                            </w:pPr>
                            <w:hyperlink w:anchor="tPR2">
                              <w:r>
                                <w:rPr>
                                  <w:rStyle w:val="InternetLink"/>
                                  <w:color w:val="1F2668"/>
                                  <w:spacing w:val="-2"/>
                                </w:rPr>
                                <w:t>40</w:t>
                              </w:r>
                            </w:hyperlink>
                            <w:r>
                              <w:rPr/>
                              <w:t xml:space="preserve"> </w:t>
                            </w:r>
                          </w:p>
                        </w:tc>
                        <w:tc>
                          <w:tcPr>
                            <w:tcW w:w="109" w:type="dxa"/>
                            <w:tcBorders/>
                            <w:shd w:fill="E9F9D8" w:val="clear"/>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627" w:type="dxa"/>
                            <w:gridSpan w:val="4"/>
                            <w:tcBorders/>
                            <w:tcMar>
                              <w:bottom w:w="0" w:type="dxa"/>
                            </w:tcMar>
                            <w:vAlign w:val="center"/>
                          </w:tcPr>
                          <w:p>
                            <w:pPr>
                              <w:pStyle w:val="TableContents"/>
                              <w:bidi w:val="0"/>
                              <w:spacing w:before="0" w:after="0"/>
                              <w:jc w:val="left"/>
                              <w:rPr/>
                            </w:pPr>
                            <w:hyperlink w:anchor="tCDAA">
                              <w:r>
                                <w:rPr>
                                  <w:rStyle w:val="InternetLink"/>
                                  <w:color w:val="1F2668"/>
                                  <w:spacing w:val="-2"/>
                                </w:rPr>
                                <w:t>Compensation Discussion and Analysis</w:t>
                              </w:r>
                            </w:hyperlink>
                            <w:r>
                              <w:rPr>
                                <w:color w:val="1F2668"/>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4" w:type="dxa"/>
                            <w:tcBorders/>
                            <w:tcMar>
                              <w:bottom w:w="0" w:type="dxa"/>
                            </w:tcMar>
                            <w:vAlign w:val="center"/>
                          </w:tcPr>
                          <w:p>
                            <w:pPr>
                              <w:pStyle w:val="TableContents"/>
                              <w:bidi w:val="0"/>
                              <w:spacing w:before="0" w:after="283"/>
                              <w:jc w:val="right"/>
                              <w:rPr/>
                            </w:pPr>
                            <w:hyperlink w:anchor="tCDAA">
                              <w:r>
                                <w:rPr>
                                  <w:rStyle w:val="InternetLink"/>
                                  <w:color w:val="1F2668"/>
                                  <w:spacing w:val="-2"/>
                                </w:rPr>
                                <w:t>41</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627" w:type="dxa"/>
                            <w:gridSpan w:val="4"/>
                            <w:tcBorders/>
                            <w:tcMar>
                              <w:bottom w:w="0" w:type="dxa"/>
                            </w:tcMar>
                            <w:vAlign w:val="center"/>
                          </w:tcPr>
                          <w:p>
                            <w:pPr>
                              <w:pStyle w:val="TableContents"/>
                              <w:bidi w:val="0"/>
                              <w:spacing w:before="0" w:after="283"/>
                              <w:jc w:val="left"/>
                              <w:rPr/>
                            </w:pPr>
                            <w:hyperlink w:anchor="tCCR">
                              <w:r>
                                <w:rPr>
                                  <w:rStyle w:val="InternetLink"/>
                                  <w:color w:val="1F2668"/>
                                  <w:spacing w:val="-2"/>
                                </w:rPr>
                                <w:t>Compensation Committee Report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4" w:type="dxa"/>
                            <w:tcBorders/>
                            <w:tcMar>
                              <w:bottom w:w="0" w:type="dxa"/>
                            </w:tcMar>
                            <w:vAlign w:val="center"/>
                          </w:tcPr>
                          <w:p>
                            <w:pPr>
                              <w:pStyle w:val="TableContents"/>
                              <w:bidi w:val="0"/>
                              <w:spacing w:before="0" w:after="283"/>
                              <w:jc w:val="right"/>
                              <w:rPr/>
                            </w:pPr>
                            <w:hyperlink w:anchor="tCCR">
                              <w:r>
                                <w:rPr>
                                  <w:rStyle w:val="InternetLink"/>
                                  <w:color w:val="1F2668"/>
                                  <w:spacing w:val="-2"/>
                                </w:rPr>
                                <w:t>66</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627" w:type="dxa"/>
                            <w:gridSpan w:val="4"/>
                            <w:tcBorders/>
                            <w:tcMar>
                              <w:bottom w:w="0" w:type="dxa"/>
                            </w:tcMar>
                            <w:vAlign w:val="center"/>
                          </w:tcPr>
                          <w:p>
                            <w:pPr>
                              <w:pStyle w:val="TableContents"/>
                              <w:bidi w:val="0"/>
                              <w:spacing w:before="0" w:after="283"/>
                              <w:jc w:val="left"/>
                              <w:rPr/>
                            </w:pPr>
                            <w:hyperlink w:anchor="tECT">
                              <w:r>
                                <w:rPr>
                                  <w:rStyle w:val="InternetLink"/>
                                  <w:color w:val="1F2668"/>
                                  <w:spacing w:val="-2"/>
                                </w:rPr>
                                <w:t>Executive Compensation Tables</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4" w:type="dxa"/>
                            <w:tcBorders/>
                            <w:tcMar>
                              <w:bottom w:w="0" w:type="dxa"/>
                            </w:tcMar>
                            <w:vAlign w:val="center"/>
                          </w:tcPr>
                          <w:p>
                            <w:pPr>
                              <w:pStyle w:val="TableContents"/>
                              <w:bidi w:val="0"/>
                              <w:spacing w:before="0" w:after="283"/>
                              <w:jc w:val="right"/>
                              <w:rPr/>
                            </w:pPr>
                            <w:hyperlink w:anchor="tECT">
                              <w:r>
                                <w:rPr>
                                  <w:rStyle w:val="InternetLink"/>
                                  <w:color w:val="1F2668"/>
                                  <w:spacing w:val="-2"/>
                                </w:rPr>
                                <w:t>67</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tPR1"/>
      <w:bookmarkEnd w:id="7"/>
      <w:r>
        <w:rPr>
          <w:rFonts w:ascii="calibri;arial;sans-serif" w:hAnsi="calibri;arial;sans-serif"/>
          <w:b w:val="false"/>
          <w:i w:val="false"/>
          <w:caps w:val="false"/>
          <w:smallCaps w:val="false"/>
          <w:color w:val="000000"/>
          <w:sz w:val="16"/>
        </w:rPr>
        <w:t>​</w:t>
      </w:r>
      <w:bookmarkStart w:id="8" w:name="tOBOD"/>
      <w:bookmarkEnd w:id="8"/>
      <w:r>
        <w:rPr>
          <w:rFonts w:ascii="calibri;arial;sans-serif" w:hAnsi="calibri;arial;sans-serif"/>
          <w:b w:val="false"/>
          <w:i w:val="false"/>
          <w:caps w:val="false"/>
          <w:smallCaps w:val="false"/>
          <w:color w:val="000000"/>
          <w:sz w:val="16"/>
        </w:rPr>
        <w:t>​</w:t>
      </w:r>
      <w:bookmarkStart w:id="9" w:name="tEOD"/>
      <w:bookmarkEnd w:id="9"/>
      <w:r>
        <w:rPr>
          <w:rFonts w:ascii="calibri;arial;sans-serif" w:hAnsi="calibri;arial;sans-serif"/>
          <w:b w:val="false"/>
          <w:i w:val="false"/>
          <w:caps w:val="false"/>
          <w:smallCaps w:val="false"/>
          <w:color w:val="000000"/>
          <w:sz w:val="16"/>
        </w:rPr>
        <w:t xml:space="preserve">​ </w:t>
      </w:r>
    </w:p>
    <w:tbl>
      <w:tblPr>
        <w:tblW w:w="951" w:type="dxa"/>
        <w:jc w:val="left"/>
        <w:tblInd w:w="900" w:type="dxa"/>
        <w:tblLayout w:type="fixed"/>
        <w:tblCellMar>
          <w:top w:w="0" w:type="dxa"/>
          <w:left w:w="0" w:type="dxa"/>
          <w:bottom w:w="0" w:type="dxa"/>
          <w:right w:w="0" w:type="dxa"/>
        </w:tblCellMar>
      </w:tblPr>
      <w:tblGrid>
        <w:gridCol w:w="124"/>
        <w:gridCol w:w="346"/>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10</w:t>
              <w:br/>
              <w: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520" w:before="560" w:after="360"/>
        <w:ind w:left="900" w:right="0" w:hanging="0"/>
        <w:jc w:val="left"/>
        <w:rPr>
          <w:rFonts w:ascii="Arial;Helvetica;sans-serif" w:hAnsi="Arial;Helvetica;sans-serif"/>
          <w:b/>
          <w:i w:val="false"/>
          <w:caps w:val="false"/>
          <w:smallCaps w:val="false"/>
          <w:color w:val="1F2668"/>
          <w:sz w:val="42"/>
        </w:rPr>
      </w:pPr>
      <w:r>
        <w:rPr>
          <w:rFonts w:ascii="Arial;Helvetica;sans-serif" w:hAnsi="Arial;Helvetica;sans-serif"/>
          <w:b/>
          <w:i w:val="false"/>
          <w:caps/>
          <w:color w:val="1F2668"/>
          <w:spacing w:val="-4"/>
          <w:sz w:val="42"/>
        </w:rPr>
        <w:t>OUR BOARD OF DIRECTORS AND CORPORATE GOVERNANCE</w:t>
      </w:r>
      <w:r>
        <w:rPr>
          <w:rFonts w:ascii="Arial;Helvetica;sans-serif" w:hAnsi="Arial;Helvetica;sans-serif"/>
          <w:b/>
          <w:i w:val="false"/>
          <w:caps w:val="false"/>
          <w:smallCaps w:val="false"/>
          <w:color w:val="000000"/>
          <w:spacing w:val="8"/>
          <w:sz w:val="42"/>
        </w:rPr>
        <w:t xml:space="preserve"> </w:t>
      </w:r>
    </w:p>
    <w:tbl>
      <w:tblPr>
        <w:tblW w:w="3018" w:type="dxa"/>
        <w:jc w:val="left"/>
        <w:tblInd w:w="0" w:type="dxa"/>
        <w:tblLayout w:type="fixed"/>
        <w:tblCellMar>
          <w:top w:w="0" w:type="dxa"/>
          <w:left w:w="0" w:type="dxa"/>
          <w:bottom w:w="0" w:type="dxa"/>
          <w:right w:w="0" w:type="dxa"/>
        </w:tblCellMar>
      </w:tblPr>
      <w:tblGrid>
        <w:gridCol w:w="124"/>
        <w:gridCol w:w="1652"/>
        <w:gridCol w:w="109"/>
        <w:gridCol w:w="109"/>
        <w:gridCol w:w="326"/>
        <w:gridCol w:w="109"/>
        <w:gridCol w:w="109"/>
        <w:gridCol w:w="326"/>
        <w:gridCol w:w="154"/>
      </w:tblGrid>
      <w:tr>
        <w:trPr/>
        <w:tc>
          <w:tcPr>
            <w:tcW w:w="124" w:type="dxa"/>
            <w:vMerge w:val="restart"/>
            <w:tcBorders/>
            <w:shd w:fill="E9F9D8" w:val="clear"/>
            <w:vAlign w:val="center"/>
          </w:tcPr>
          <w:p>
            <w:pPr>
              <w:pStyle w:val="TableContents"/>
              <w:bidi w:val="0"/>
              <w:spacing w:before="0" w:after="283"/>
              <w:jc w:val="left"/>
              <w:rPr/>
            </w:pPr>
            <w:r>
              <w:rPr/>
              <w:t>​</w:t>
            </w:r>
          </w:p>
        </w:tc>
        <w:tc>
          <w:tcPr>
            <w:tcW w:w="1652" w:type="dxa"/>
            <w:vMerge w:val="restart"/>
            <w:tcBorders/>
            <w:shd w:fill="E9F9D8" w:val="clear"/>
            <w:tcMar>
              <w:top w:w="28" w:type="dxa"/>
              <w:left w:w="28" w:type="dxa"/>
              <w:bottom w:w="28" w:type="dxa"/>
              <w:right w:w="28" w:type="dxa"/>
            </w:tcMar>
            <w:vAlign w:val="center"/>
          </w:tcPr>
          <w:p>
            <w:pPr>
              <w:pStyle w:val="TableContents"/>
              <w:bidi w:val="0"/>
              <w:spacing w:lineRule="atLeast" w:line="280" w:before="0" w:after="0"/>
              <w:jc w:val="left"/>
              <w:rPr>
                <w:b/>
                <w:color w:val="83AD40"/>
                <w:sz w:val="24"/>
              </w:rPr>
            </w:pPr>
            <w:r>
              <w:rPr>
                <w:b/>
                <w:color w:val="83AD40"/>
                <w:spacing w:val="-2"/>
                <w:sz w:val="24"/>
              </w:rPr>
              <w:t>PROPOSAL 1</w:t>
            </w:r>
            <w:r>
              <w:rPr>
                <w:b/>
                <w:color w:val="83AD40"/>
                <w:sz w:val="24"/>
              </w:rPr>
              <w:t xml:space="preserve"> </w:t>
            </w:r>
          </w:p>
        </w:tc>
        <w:tc>
          <w:tcPr>
            <w:tcW w:w="109" w:type="dxa"/>
            <w:vMerge w:val="restart"/>
            <w:tcBorders/>
            <w:shd w:fill="E9F9D8" w:val="clear"/>
            <w:vAlign w:val="center"/>
          </w:tcPr>
          <w:p>
            <w:pPr>
              <w:pStyle w:val="TableContents"/>
              <w:bidi w:val="0"/>
              <w:spacing w:before="0" w:after="283"/>
              <w:jc w:val="left"/>
              <w:rPr/>
            </w:pPr>
            <w:r>
              <w:rPr/>
              <w:t>​</w:t>
            </w:r>
          </w:p>
        </w:tc>
        <w:tc>
          <w:tcPr>
            <w:tcW w:w="109" w:type="dxa"/>
            <w:tcBorders>
              <w:bottom w:val="single" w:sz="2" w:space="0" w:color="83AD40"/>
            </w:tcBorders>
            <w:shd w:fill="E9F9D8" w:val="clear"/>
            <w:tcMar>
              <w:bottom w:w="28" w:type="dxa"/>
            </w:tcMar>
            <w:vAlign w:val="center"/>
          </w:tcPr>
          <w:p>
            <w:pPr>
              <w:pStyle w:val="TableContents"/>
              <w:bidi w:val="0"/>
              <w:spacing w:before="0" w:after="283"/>
              <w:jc w:val="left"/>
              <w:rPr/>
            </w:pPr>
            <w:r>
              <w:rPr/>
              <w:t>​</w:t>
            </w:r>
          </w:p>
        </w:tc>
        <w:tc>
          <w:tcPr>
            <w:tcW w:w="326" w:type="dxa"/>
            <w:tcBorders>
              <w:bottom w:val="single" w:sz="2" w:space="0" w:color="83AD40"/>
            </w:tcBorders>
            <w:shd w:fill="E9F9D8" w:val="clear"/>
            <w:tcMar>
              <w:bottom w:w="28" w:type="dxa"/>
            </w:tcMar>
            <w:vAlign w:val="center"/>
          </w:tcPr>
          <w:p>
            <w:pPr>
              <w:pStyle w:val="TableContents"/>
              <w:bidi w:val="0"/>
              <w:spacing w:lineRule="atLeast" w:line="142" w:before="0" w:after="0"/>
              <w:jc w:val="left"/>
              <w:rPr>
                <w:spacing w:val="0"/>
              </w:rPr>
            </w:pPr>
            <w:r>
              <w:rPr>
                <w:spacing w:val="0"/>
              </w:rPr>
              <w:t xml:space="preserve">    </w:t>
            </w:r>
          </w:p>
        </w:tc>
        <w:tc>
          <w:tcPr>
            <w:tcW w:w="109" w:type="dxa"/>
            <w:tcBorders>
              <w:bottom w:val="single" w:sz="2" w:space="0" w:color="83AD40"/>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326" w:type="dxa"/>
            <w:tcBorders>
              <w:bottom w:val="single" w:sz="2" w:space="0" w:color="E9F9D8"/>
            </w:tcBorders>
            <w:shd w:fill="E9F9D8" w:val="clear"/>
            <w:tcMar>
              <w:bottom w:w="28" w:type="dxa"/>
            </w:tcMar>
            <w:vAlign w:val="center"/>
          </w:tcPr>
          <w:p>
            <w:pPr>
              <w:pStyle w:val="TableContents"/>
              <w:bidi w:val="0"/>
              <w:spacing w:lineRule="atLeast" w:line="142" w:before="0" w:after="0"/>
              <w:jc w:val="left"/>
              <w:rPr>
                <w:spacing w:val="0"/>
              </w:rPr>
            </w:pPr>
            <w:r>
              <w:rPr>
                <w:spacing w:val="0"/>
              </w:rPr>
              <w:t xml:space="preserve">    </w:t>
            </w:r>
          </w:p>
        </w:tc>
        <w:tc>
          <w:tcPr>
            <w:tcW w:w="154"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r>
      <w:tr>
        <w:trPr/>
        <w:tc>
          <w:tcPr>
            <w:tcW w:w="124" w:type="dxa"/>
            <w:vMerge w:val="continue"/>
            <w:tcBorders/>
            <w:shd w:fill="E9F9D8" w:val="clear"/>
            <w:vAlign w:val="center"/>
          </w:tcPr>
          <w:p>
            <w:pPr>
              <w:pStyle w:val="Normal"/>
              <w:bidi w:val="0"/>
              <w:jc w:val="left"/>
              <w:rPr/>
            </w:pPr>
            <w:r>
              <w:rPr/>
            </w:r>
          </w:p>
        </w:tc>
        <w:tc>
          <w:tcPr>
            <w:tcW w:w="1652" w:type="dxa"/>
            <w:vMerge w:val="continue"/>
            <w:tcBorders/>
            <w:shd w:fill="E9F9D8" w:val="clear"/>
            <w:tcMar>
              <w:top w:w="28" w:type="dxa"/>
              <w:left w:w="28" w:type="dxa"/>
              <w:bottom w:w="28" w:type="dxa"/>
              <w:right w:w="28" w:type="dxa"/>
            </w:tcMar>
            <w:vAlign w:val="center"/>
          </w:tcPr>
          <w:p>
            <w:pPr>
              <w:pStyle w:val="Normal"/>
              <w:bidi w:val="0"/>
              <w:jc w:val="left"/>
              <w:rPr/>
            </w:pPr>
            <w:r>
              <w:rPr/>
            </w:r>
          </w:p>
        </w:tc>
        <w:tc>
          <w:tcPr>
            <w:tcW w:w="109" w:type="dxa"/>
            <w:vMerge w:val="continue"/>
            <w:tcBorders/>
            <w:shd w:fill="E9F9D8" w:val="clear"/>
            <w:vAlign w:val="center"/>
          </w:tcPr>
          <w:p>
            <w:pPr>
              <w:pStyle w:val="Normal"/>
              <w:bidi w:val="0"/>
              <w:jc w:val="left"/>
              <w:rPr/>
            </w:pPr>
            <w:r>
              <w:rPr/>
            </w:r>
          </w:p>
        </w:tc>
        <w:tc>
          <w:tcPr>
            <w:tcW w:w="109" w:type="dxa"/>
            <w:tcBorders/>
            <w:shd w:fill="E9F9D8" w:val="clear"/>
            <w:vAlign w:val="center"/>
          </w:tcPr>
          <w:p>
            <w:pPr>
              <w:pStyle w:val="TableContents"/>
              <w:bidi w:val="0"/>
              <w:spacing w:before="0" w:after="283"/>
              <w:jc w:val="left"/>
              <w:rPr/>
            </w:pPr>
            <w:r>
              <w:rPr/>
              <w:t>​</w:t>
            </w:r>
          </w:p>
        </w:tc>
        <w:tc>
          <w:tcPr>
            <w:tcW w:w="326" w:type="dxa"/>
            <w:tcBorders/>
            <w:shd w:fill="E9F9D8" w:val="clear"/>
            <w:tcMar>
              <w:top w:w="28" w:type="dxa"/>
              <w:left w:w="28" w:type="dxa"/>
              <w:bottom w:w="28" w:type="dxa"/>
              <w:right w:w="28" w:type="dxa"/>
            </w:tcMar>
            <w:vAlign w:val="center"/>
          </w:tcPr>
          <w:p>
            <w:pPr>
              <w:pStyle w:val="TableContents"/>
              <w:bidi w:val="0"/>
              <w:spacing w:lineRule="atLeast" w:line="142" w:before="0" w:after="0"/>
              <w:jc w:val="left"/>
              <w:rPr>
                <w:spacing w:val="0"/>
              </w:rPr>
            </w:pPr>
            <w:r>
              <w:rPr>
                <w:spacing w:val="0"/>
              </w:rPr>
              <w:t xml:space="preserve">    </w:t>
            </w:r>
          </w:p>
        </w:tc>
        <w:tc>
          <w:tcPr>
            <w:tcW w:w="109" w:type="dxa"/>
            <w:tcBorders/>
            <w:shd w:fill="E9F9D8" w:val="clear"/>
            <w:vAlign w:val="center"/>
          </w:tcPr>
          <w:p>
            <w:pPr>
              <w:pStyle w:val="TableContents"/>
              <w:bidi w:val="0"/>
              <w:spacing w:before="0" w:after="283"/>
              <w:jc w:val="left"/>
              <w:rPr/>
            </w:pPr>
            <w:r>
              <w:rPr/>
              <w:t>​</w:t>
            </w:r>
          </w:p>
        </w:tc>
        <w:tc>
          <w:tcPr>
            <w:tcW w:w="109" w:type="dxa"/>
            <w:tcBorders/>
            <w:shd w:fill="E9F9D8" w:val="clear"/>
            <w:vAlign w:val="center"/>
          </w:tcPr>
          <w:p>
            <w:pPr>
              <w:pStyle w:val="TableContents"/>
              <w:bidi w:val="0"/>
              <w:spacing w:before="0" w:after="283"/>
              <w:jc w:val="left"/>
              <w:rPr/>
            </w:pPr>
            <w:r>
              <w:rPr/>
              <w:t>​</w:t>
            </w:r>
          </w:p>
        </w:tc>
        <w:tc>
          <w:tcPr>
            <w:tcW w:w="326" w:type="dxa"/>
            <w:tcBorders/>
            <w:shd w:fill="E9F9D8" w:val="clear"/>
            <w:tcMar>
              <w:top w:w="28" w:type="dxa"/>
              <w:left w:w="28" w:type="dxa"/>
              <w:bottom w:w="28" w:type="dxa"/>
              <w:right w:w="28" w:type="dxa"/>
            </w:tcMar>
            <w:vAlign w:val="center"/>
          </w:tcPr>
          <w:p>
            <w:pPr>
              <w:pStyle w:val="TableContents"/>
              <w:bidi w:val="0"/>
              <w:spacing w:lineRule="atLeast" w:line="142" w:before="0" w:after="0"/>
              <w:jc w:val="left"/>
              <w:rPr/>
            </w:pPr>
            <w:r>
              <w:rPr>
                <w:spacing w:val="0"/>
              </w:rPr>
              <w:t>   </w:t>
            </w:r>
            <w:r>
              <w:rPr/>
              <w:t xml:space="preserve"> </w:t>
            </w:r>
          </w:p>
        </w:tc>
        <w:tc>
          <w:tcPr>
            <w:tcW w:w="154" w:type="dxa"/>
            <w:tcBorders/>
            <w:shd w:fill="E9F9D8" w:val="clear"/>
            <w:vAlign w:val="center"/>
          </w:tcPr>
          <w:p>
            <w:pPr>
              <w:pStyle w:val="TableContents"/>
              <w:bidi w:val="0"/>
              <w:spacing w:before="0" w:after="283"/>
              <w:jc w:val="left"/>
              <w:rPr/>
            </w:pPr>
            <w:r>
              <w:rPr/>
              <w:t>​</w:t>
            </w:r>
          </w:p>
        </w:tc>
      </w:tr>
    </w:tbl>
    <w:tbl>
      <w:tblPr>
        <w:tblW w:w="10205" w:type="dxa"/>
        <w:jc w:val="left"/>
        <w:tblInd w:w="0" w:type="dxa"/>
        <w:tblLayout w:type="fixed"/>
        <w:tblCellMar>
          <w:top w:w="0" w:type="dxa"/>
          <w:left w:w="0" w:type="dxa"/>
          <w:bottom w:w="0" w:type="dxa"/>
          <w:right w:w="0" w:type="dxa"/>
        </w:tblCellMar>
      </w:tblPr>
      <w:tblGrid>
        <w:gridCol w:w="124"/>
        <w:gridCol w:w="3033"/>
        <w:gridCol w:w="209"/>
        <w:gridCol w:w="209"/>
        <w:gridCol w:w="2911"/>
        <w:gridCol w:w="209"/>
        <w:gridCol w:w="209"/>
        <w:gridCol w:w="3141"/>
        <w:gridCol w:w="160"/>
      </w:tblGrid>
      <w:tr>
        <w:trPr/>
        <w:tc>
          <w:tcPr>
            <w:tcW w:w="124" w:type="dxa"/>
            <w:tcBorders/>
            <w:shd w:fill="E9F9D8" w:val="clear"/>
            <w:vAlign w:val="center"/>
          </w:tcPr>
          <w:p>
            <w:pPr>
              <w:pStyle w:val="TableContents"/>
              <w:bidi w:val="0"/>
              <w:spacing w:before="0" w:after="283"/>
              <w:jc w:val="left"/>
              <w:rPr/>
            </w:pPr>
            <w:r>
              <w:rPr/>
              <w:t>​</w:t>
            </w:r>
          </w:p>
        </w:tc>
        <w:tc>
          <w:tcPr>
            <w:tcW w:w="9921" w:type="dxa"/>
            <w:gridSpan w:val="7"/>
            <w:tcBorders/>
            <w:shd w:fill="E9F9D8" w:val="clear"/>
            <w:vAlign w:val="center"/>
          </w:tcPr>
          <w:p>
            <w:pPr>
              <w:pStyle w:val="TableContents"/>
              <w:bidi w:val="0"/>
              <w:spacing w:lineRule="atLeast" w:line="400" w:before="0" w:after="0"/>
              <w:jc w:val="left"/>
              <w:rPr/>
            </w:pPr>
            <w:r>
              <w:rPr>
                <w:caps/>
                <w:spacing w:val="-4"/>
              </w:rPr>
              <w:t>ELECTION OF DIRECTORS</w:t>
            </w:r>
            <w:r>
              <w:rPr>
                <w:color w:val="000000"/>
              </w:rPr>
              <w:t>​</w:t>
            </w:r>
            <w:r>
              <w:rPr/>
              <w:t xml:space="preserve"> </w:t>
            </w:r>
          </w:p>
        </w:tc>
        <w:tc>
          <w:tcPr>
            <w:tcW w:w="160" w:type="dxa"/>
            <w:tcBorders/>
            <w:shd w:fill="E9F9D8" w:val="clear"/>
            <w:vAlign w:val="center"/>
          </w:tcPr>
          <w:p>
            <w:pPr>
              <w:pStyle w:val="TableContents"/>
              <w:bidi w:val="0"/>
              <w:spacing w:before="0" w:after="283"/>
              <w:jc w:val="left"/>
              <w:rPr/>
            </w:pPr>
            <w:r>
              <w:rPr/>
              <w:t>​</w:t>
            </w:r>
          </w:p>
        </w:tc>
      </w:tr>
      <w:tr>
        <w:trPr/>
        <w:tc>
          <w:tcPr>
            <w:tcW w:w="124" w:type="dxa"/>
            <w:tcBorders/>
            <w:shd w:fill="E9F9D8" w:val="clear"/>
            <w:vAlign w:val="center"/>
          </w:tcPr>
          <w:p>
            <w:pPr>
              <w:pStyle w:val="TableContents"/>
              <w:bidi w:val="0"/>
              <w:spacing w:before="0" w:after="283"/>
              <w:jc w:val="left"/>
              <w:rPr/>
            </w:pPr>
            <w:r>
              <w:rPr/>
              <w:t>​</w:t>
            </w:r>
          </w:p>
        </w:tc>
        <w:tc>
          <w:tcPr>
            <w:tcW w:w="9921" w:type="dxa"/>
            <w:gridSpan w:val="7"/>
            <w:tcBorders/>
            <w:shd w:fill="E9F9D8" w:val="clear"/>
            <w:vAlign w:val="center"/>
          </w:tcPr>
          <w:p>
            <w:pPr>
              <w:pStyle w:val="TableContents"/>
              <w:bidi w:val="0"/>
              <w:spacing w:lineRule="atLeast" w:line="220" w:before="0" w:after="0"/>
              <w:jc w:val="left"/>
              <w:rPr>
                <w:spacing w:val="-2"/>
              </w:rPr>
            </w:pPr>
            <w:r>
              <w:rPr>
                <w:spacing w:val="-2"/>
              </w:rPr>
              <w:t xml:space="preserve">The Board, upon the recommendation of the Nominating and Corporate Governance Committee, has nominated eight directors for election to serve until the 2027 Annual Meeting of stockholders and until their successors are duly elected and qualify: </w:t>
            </w:r>
          </w:p>
        </w:tc>
        <w:tc>
          <w:tcPr>
            <w:tcW w:w="160" w:type="dxa"/>
            <w:tcBorders/>
            <w:shd w:fill="E9F9D8" w:val="clear"/>
            <w:vAlign w:val="center"/>
          </w:tcPr>
          <w:p>
            <w:pPr>
              <w:pStyle w:val="TableContents"/>
              <w:bidi w:val="0"/>
              <w:spacing w:before="0" w:after="283"/>
              <w:jc w:val="left"/>
              <w:rPr/>
            </w:pPr>
            <w:r>
              <w:rPr/>
              <w:t>​</w:t>
            </w:r>
          </w:p>
        </w:tc>
      </w:tr>
      <w:tr>
        <w:trPr/>
        <w:tc>
          <w:tcPr>
            <w:tcW w:w="124" w:type="dxa"/>
            <w:tcBorders/>
            <w:shd w:fill="E9F9D8" w:val="clear"/>
            <w:vAlign w:val="center"/>
          </w:tcPr>
          <w:p>
            <w:pPr>
              <w:pStyle w:val="TableContents"/>
              <w:bidi w:val="0"/>
              <w:spacing w:before="0" w:after="283"/>
              <w:jc w:val="left"/>
              <w:rPr/>
            </w:pPr>
            <w:r>
              <w:rPr/>
              <w:t>​</w:t>
            </w:r>
          </w:p>
        </w:tc>
        <w:tc>
          <w:tcPr>
            <w:tcW w:w="3033" w:type="dxa"/>
            <w:tcBorders/>
            <w:shd w:fill="E9F9D8" w:val="clear"/>
            <w:vAlign w:val="center"/>
          </w:tcPr>
          <w:p>
            <w:pPr>
              <w:pStyle w:val="TableContents"/>
              <w:bidi w:val="0"/>
              <w:spacing w:lineRule="atLeast" w:line="180" w:before="0" w:after="0"/>
              <w:ind w:left="180" w:right="0" w:hanging="0"/>
              <w:jc w:val="left"/>
              <w:rPr>
                <w:spacing w:val="-2"/>
              </w:rPr>
            </w:pPr>
            <w:r>
              <w:rPr>
                <w:spacing w:val="-2"/>
              </w:rPr>
              <w:t xml:space="preserve">John H. Alschuler </w:t>
            </w:r>
            <w:r>
              <mc:AlternateContent>
                <mc:Choice Requires="wps">
                  <w:drawing>
                    <wp:anchor behindDoc="0" distT="0" distB="0" distL="0" distR="0" simplePos="0" locked="0" layoutInCell="1" allowOverlap="1" relativeHeight="358">
                      <wp:simplePos x="0" y="0"/>
                      <wp:positionH relativeFrom="column">
                        <wp:align>left</wp:align>
                      </wp:positionH>
                      <wp:positionV relativeFrom="line">
                        <wp:posOffset>635</wp:posOffset>
                      </wp:positionV>
                      <wp:extent cx="114300" cy="350520"/>
                      <wp:effectExtent l="0" t="0" r="0" b="0"/>
                      <wp:wrapSquare wrapText="right"/>
                      <wp:docPr id="112" name="Frame61"/>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00" w:after="0"/>
              <w:ind w:left="180" w:right="0" w:hanging="0"/>
              <w:jc w:val="left"/>
              <w:rPr>
                <w:spacing w:val="-2"/>
              </w:rPr>
            </w:pPr>
            <w:r>
              <w:rPr>
                <w:spacing w:val="-2"/>
              </w:rPr>
              <w:t xml:space="preserve">Carol N. Brown </w:t>
            </w:r>
            <w:r>
              <mc:AlternateContent>
                <mc:Choice Requires="wps">
                  <w:drawing>
                    <wp:anchor behindDoc="0" distT="63500" distB="0" distL="0" distR="0" simplePos="0" locked="0" layoutInCell="1" allowOverlap="1" relativeHeight="359">
                      <wp:simplePos x="0" y="0"/>
                      <wp:positionH relativeFrom="column">
                        <wp:align>left</wp:align>
                      </wp:positionH>
                      <wp:positionV relativeFrom="line">
                        <wp:align>top</wp:align>
                      </wp:positionV>
                      <wp:extent cx="114300" cy="350520"/>
                      <wp:effectExtent l="0" t="0" r="0" b="0"/>
                      <wp:wrapSquare wrapText="right"/>
                      <wp:docPr id="113" name="Frame62"/>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00" w:after="0"/>
              <w:ind w:left="180" w:right="0" w:hanging="0"/>
              <w:jc w:val="left"/>
              <w:rPr>
                <w:spacing w:val="-2"/>
              </w:rPr>
            </w:pPr>
            <w:r>
              <w:rPr>
                <w:spacing w:val="-2"/>
              </w:rPr>
              <w:t xml:space="preserve">Lauren B. Dillard </w:t>
            </w:r>
            <w:r>
              <mc:AlternateContent>
                <mc:Choice Requires="wps">
                  <w:drawing>
                    <wp:anchor behindDoc="0" distT="63500" distB="0" distL="0" distR="0" simplePos="0" locked="0" layoutInCell="1" allowOverlap="1" relativeHeight="360">
                      <wp:simplePos x="0" y="0"/>
                      <wp:positionH relativeFrom="column">
                        <wp:align>left</wp:align>
                      </wp:positionH>
                      <wp:positionV relativeFrom="line">
                        <wp:align>top</wp:align>
                      </wp:positionV>
                      <wp:extent cx="114300" cy="350520"/>
                      <wp:effectExtent l="0" t="0" r="0" b="0"/>
                      <wp:wrapSquare wrapText="right"/>
                      <wp:docPr id="114" name="Frame63"/>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209" w:type="dxa"/>
            <w:tcBorders/>
            <w:shd w:fill="E9F9D8" w:val="clear"/>
            <w:vAlign w:val="center"/>
          </w:tcPr>
          <w:p>
            <w:pPr>
              <w:pStyle w:val="TableContents"/>
              <w:bidi w:val="0"/>
              <w:spacing w:before="0" w:after="283"/>
              <w:jc w:val="left"/>
              <w:rPr/>
            </w:pPr>
            <w:r>
              <w:rPr/>
              <w:t>​</w:t>
            </w:r>
          </w:p>
        </w:tc>
        <w:tc>
          <w:tcPr>
            <w:tcW w:w="209" w:type="dxa"/>
            <w:tcBorders/>
            <w:shd w:fill="E9F9D8" w:val="clear"/>
            <w:vAlign w:val="center"/>
          </w:tcPr>
          <w:p>
            <w:pPr>
              <w:pStyle w:val="TableContents"/>
              <w:bidi w:val="0"/>
              <w:spacing w:before="0" w:after="283"/>
              <w:jc w:val="left"/>
              <w:rPr/>
            </w:pPr>
            <w:r>
              <w:rPr/>
              <w:t>​</w:t>
            </w:r>
          </w:p>
        </w:tc>
        <w:tc>
          <w:tcPr>
            <w:tcW w:w="2911" w:type="dxa"/>
            <w:tcBorders/>
            <w:shd w:fill="E9F9D8" w:val="clear"/>
            <w:vAlign w:val="center"/>
          </w:tcPr>
          <w:p>
            <w:pPr>
              <w:pStyle w:val="TableContents"/>
              <w:bidi w:val="0"/>
              <w:spacing w:lineRule="atLeast" w:line="180" w:before="0" w:after="0"/>
              <w:ind w:left="180" w:right="0" w:hanging="0"/>
              <w:jc w:val="left"/>
              <w:rPr/>
            </w:pPr>
            <w:r>
              <w:rPr>
                <w:spacing w:val="-2"/>
              </w:rPr>
              <w:t>Stephen L. Green</w:t>
            </w:r>
            <w:r>
              <w:rPr/>
              <w:t xml:space="preserve"> </w:t>
            </w:r>
            <w:r>
              <mc:AlternateContent>
                <mc:Choice Requires="wps">
                  <w:drawing>
                    <wp:anchor behindDoc="0" distT="0" distB="0" distL="0" distR="0" simplePos="0" locked="0" layoutInCell="1" allowOverlap="1" relativeHeight="361">
                      <wp:simplePos x="0" y="0"/>
                      <wp:positionH relativeFrom="column">
                        <wp:align>left</wp:align>
                      </wp:positionH>
                      <wp:positionV relativeFrom="line">
                        <wp:posOffset>635</wp:posOffset>
                      </wp:positionV>
                      <wp:extent cx="114300" cy="350520"/>
                      <wp:effectExtent l="0" t="0" r="0" b="0"/>
                      <wp:wrapSquare wrapText="right"/>
                      <wp:docPr id="115" name="Frame64"/>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00" w:after="0"/>
              <w:ind w:left="180" w:right="0" w:hanging="0"/>
              <w:jc w:val="left"/>
              <w:rPr/>
            </w:pPr>
            <w:r>
              <w:rPr>
                <w:spacing w:val="-2"/>
              </w:rPr>
              <w:t>Craig M. Hatkoff</w:t>
            </w:r>
            <w:r>
              <w:rPr/>
              <w:t xml:space="preserve"> </w:t>
            </w:r>
            <w:r>
              <mc:AlternateContent>
                <mc:Choice Requires="wps">
                  <w:drawing>
                    <wp:anchor behindDoc="0" distT="63500" distB="0" distL="0" distR="0" simplePos="0" locked="0" layoutInCell="1" allowOverlap="1" relativeHeight="362">
                      <wp:simplePos x="0" y="0"/>
                      <wp:positionH relativeFrom="column">
                        <wp:align>left</wp:align>
                      </wp:positionH>
                      <wp:positionV relativeFrom="line">
                        <wp:align>top</wp:align>
                      </wp:positionV>
                      <wp:extent cx="114300" cy="350520"/>
                      <wp:effectExtent l="0" t="0" r="0" b="0"/>
                      <wp:wrapSquare wrapText="right"/>
                      <wp:docPr id="116" name="Frame65"/>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00" w:after="0"/>
              <w:ind w:left="180" w:right="0" w:hanging="0"/>
              <w:jc w:val="left"/>
              <w:rPr>
                <w:spacing w:val="-2"/>
              </w:rPr>
            </w:pPr>
            <w:r>
              <w:rPr>
                <w:spacing w:val="-2"/>
              </w:rPr>
              <w:t xml:space="preserve">Marc Holliday </w:t>
            </w:r>
            <w:r>
              <mc:AlternateContent>
                <mc:Choice Requires="wps">
                  <w:drawing>
                    <wp:anchor behindDoc="0" distT="63500" distB="0" distL="0" distR="0" simplePos="0" locked="0" layoutInCell="1" allowOverlap="1" relativeHeight="363">
                      <wp:simplePos x="0" y="0"/>
                      <wp:positionH relativeFrom="column">
                        <wp:align>left</wp:align>
                      </wp:positionH>
                      <wp:positionV relativeFrom="line">
                        <wp:align>top</wp:align>
                      </wp:positionV>
                      <wp:extent cx="114300" cy="350520"/>
                      <wp:effectExtent l="0" t="0" r="0" b="0"/>
                      <wp:wrapSquare wrapText="right"/>
                      <wp:docPr id="117" name="Frame66"/>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209" w:type="dxa"/>
            <w:tcBorders/>
            <w:shd w:fill="E9F9D8" w:val="clear"/>
            <w:vAlign w:val="center"/>
          </w:tcPr>
          <w:p>
            <w:pPr>
              <w:pStyle w:val="TableContents"/>
              <w:bidi w:val="0"/>
              <w:spacing w:before="0" w:after="283"/>
              <w:jc w:val="left"/>
              <w:rPr/>
            </w:pPr>
            <w:r>
              <w:rPr/>
              <w:t>​</w:t>
            </w:r>
          </w:p>
        </w:tc>
        <w:tc>
          <w:tcPr>
            <w:tcW w:w="209" w:type="dxa"/>
            <w:tcBorders/>
            <w:shd w:fill="E9F9D8" w:val="clear"/>
            <w:vAlign w:val="center"/>
          </w:tcPr>
          <w:p>
            <w:pPr>
              <w:pStyle w:val="TableContents"/>
              <w:bidi w:val="0"/>
              <w:spacing w:before="0" w:after="283"/>
              <w:jc w:val="left"/>
              <w:rPr/>
            </w:pPr>
            <w:r>
              <w:rPr/>
              <w:t>​</w:t>
            </w:r>
          </w:p>
        </w:tc>
        <w:tc>
          <w:tcPr>
            <w:tcW w:w="3141" w:type="dxa"/>
            <w:tcBorders/>
            <w:shd w:fill="E9F9D8" w:val="clear"/>
            <w:vAlign w:val="center"/>
          </w:tcPr>
          <w:p>
            <w:pPr>
              <w:pStyle w:val="TableContents"/>
              <w:bidi w:val="0"/>
              <w:spacing w:lineRule="atLeast" w:line="180" w:before="0" w:after="0"/>
              <w:ind w:left="180" w:right="0" w:hanging="0"/>
              <w:jc w:val="left"/>
              <w:rPr/>
            </w:pPr>
            <w:r>
              <w:rPr>
                <w:spacing w:val="-2"/>
              </w:rPr>
              <w:t>Peggy Lamb</w:t>
            </w:r>
            <w:r>
              <w:rPr/>
              <w:t xml:space="preserve"> </w:t>
            </w:r>
            <w:r>
              <mc:AlternateContent>
                <mc:Choice Requires="wps">
                  <w:drawing>
                    <wp:anchor behindDoc="0" distT="0" distB="0" distL="0" distR="0" simplePos="0" locked="0" layoutInCell="1" allowOverlap="1" relativeHeight="364">
                      <wp:simplePos x="0" y="0"/>
                      <wp:positionH relativeFrom="column">
                        <wp:align>left</wp:align>
                      </wp:positionH>
                      <wp:positionV relativeFrom="line">
                        <wp:posOffset>635</wp:posOffset>
                      </wp:positionV>
                      <wp:extent cx="114300" cy="350520"/>
                      <wp:effectExtent l="0" t="0" r="0" b="0"/>
                      <wp:wrapSquare wrapText="right"/>
                      <wp:docPr id="118" name="Frame67"/>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00" w:after="0"/>
              <w:ind w:left="180" w:right="0" w:hanging="0"/>
              <w:jc w:val="left"/>
              <w:rPr/>
            </w:pPr>
            <w:r>
              <w:rPr>
                <w:spacing w:val="-2"/>
              </w:rPr>
              <w:t>Andrew W. Mathias</w:t>
            </w:r>
            <w:r>
              <w:rPr/>
              <w:t xml:space="preserve"> </w:t>
            </w:r>
            <w:r>
              <mc:AlternateContent>
                <mc:Choice Requires="wps">
                  <w:drawing>
                    <wp:anchor behindDoc="0" distT="63500" distB="0" distL="0" distR="0" simplePos="0" locked="0" layoutInCell="1" allowOverlap="1" relativeHeight="365">
                      <wp:simplePos x="0" y="0"/>
                      <wp:positionH relativeFrom="column">
                        <wp:align>left</wp:align>
                      </wp:positionH>
                      <wp:positionV relativeFrom="line">
                        <wp:align>top</wp:align>
                      </wp:positionV>
                      <wp:extent cx="114300" cy="350520"/>
                      <wp:effectExtent l="0" t="0" r="0" b="0"/>
                      <wp:wrapSquare wrapText="right"/>
                      <wp:docPr id="119" name="Frame68"/>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60" w:type="dxa"/>
            <w:tcBorders/>
            <w:shd w:fill="E9F9D8" w:val="clear"/>
            <w:vAlign w:val="center"/>
          </w:tcPr>
          <w:p>
            <w:pPr>
              <w:pStyle w:val="TableContents"/>
              <w:bidi w:val="0"/>
              <w:spacing w:before="0" w:after="283"/>
              <w:jc w:val="left"/>
              <w:rPr/>
            </w:pPr>
            <w:r>
              <w:rPr/>
              <w:t>​</w:t>
            </w:r>
          </w:p>
        </w:tc>
      </w:tr>
      <w:tr>
        <w:trPr/>
        <w:tc>
          <w:tcPr>
            <w:tcW w:w="124" w:type="dxa"/>
            <w:tcBorders/>
            <w:shd w:fill="E9F9D8" w:val="clear"/>
            <w:vAlign w:val="center"/>
          </w:tcPr>
          <w:p>
            <w:pPr>
              <w:pStyle w:val="TableContents"/>
              <w:bidi w:val="0"/>
              <w:spacing w:before="0" w:after="283"/>
              <w:jc w:val="left"/>
              <w:rPr/>
            </w:pPr>
            <w:r>
              <w:rPr/>
              <w:t>​</w:t>
            </w:r>
          </w:p>
        </w:tc>
        <w:tc>
          <w:tcPr>
            <w:tcW w:w="9921" w:type="dxa"/>
            <w:gridSpan w:val="7"/>
            <w:tcBorders/>
            <w:shd w:fill="E9F9D8" w:val="clear"/>
            <w:vAlign w:val="center"/>
          </w:tcPr>
          <w:p>
            <w:pPr>
              <w:pStyle w:val="TableContents"/>
              <w:bidi w:val="0"/>
              <w:spacing w:lineRule="atLeast" w:line="220" w:before="0" w:after="0"/>
              <w:jc w:val="left"/>
              <w:rPr>
                <w:spacing w:val="-2"/>
              </w:rPr>
            </w:pPr>
            <w:r>
              <w:rPr>
                <w:spacing w:val="-2"/>
              </w:rPr>
              <w:t xml:space="preserve">Each of the nominees is currently serving as a director, and has consented to being named in this proxy statement and to serve as a director if elected. However, if any of the nominees is unable to accept election, proxies voted in favor of such nominee will be voted for the election of such other person as the Board nominates or the Board may reduce the size of the Board. </w:t>
            </w:r>
          </w:p>
          <w:p>
            <w:pPr>
              <w:pStyle w:val="TableContents"/>
              <w:bidi w:val="0"/>
              <w:spacing w:lineRule="atLeast" w:line="300" w:before="360" w:after="283"/>
              <w:jc w:val="left"/>
              <w:rPr>
                <w:b/>
                <w:color w:val="1F2668"/>
                <w:sz w:val="26"/>
              </w:rPr>
            </w:pPr>
            <w:r>
              <w:rPr>
                <w:b/>
                <w:color w:val="1F2668"/>
                <w:spacing w:val="-3"/>
                <w:sz w:val="26"/>
              </w:rPr>
              <w:t>Majority Voting Standard</w:t>
            </w:r>
            <w:r>
              <w:rPr>
                <w:b/>
                <w:color w:val="000000"/>
                <w:sz w:val="26"/>
              </w:rPr>
              <w:t>​</w:t>
            </w:r>
            <w:r>
              <w:rPr>
                <w:b/>
                <w:color w:val="1F2668"/>
                <w:sz w:val="26"/>
              </w:rPr>
              <w:t xml:space="preserve"> </w:t>
            </w:r>
          </w:p>
          <w:p>
            <w:pPr>
              <w:pStyle w:val="TableContents"/>
              <w:bidi w:val="0"/>
              <w:spacing w:lineRule="atLeast" w:line="220" w:before="120" w:after="283"/>
              <w:jc w:val="left"/>
              <w:rPr/>
            </w:pPr>
            <w:r>
              <w:rPr>
                <w:spacing w:val="-2"/>
              </w:rPr>
              <w:t>A majority of all the votes cast with respect to a nominee’s election is required for such nominee to be elected to serve on the Board. This means that the number of votes cast “for” a nominee must exceed the number of votes cast “against” such nominee, with abstentions and broker non-votes not counted as a vote cast either “for” or “against” a nominee. For more information on the operation of our majority voting standard in director elections, see the section entitled “Our Board of Directors and Corporate Governance—Corporate Governance—Majority Voting Standard and Director Resignation Policy.”</w:t>
            </w:r>
            <w:r>
              <w:rPr/>
              <w:t xml:space="preserve"> </w:t>
            </w:r>
          </w:p>
        </w:tc>
        <w:tc>
          <w:tcPr>
            <w:tcW w:w="160" w:type="dxa"/>
            <w:tcBorders/>
            <w:shd w:fill="E9F9D8" w:val="clear"/>
            <w:vAlign w:val="center"/>
          </w:tcPr>
          <w:p>
            <w:pPr>
              <w:pStyle w:val="TableContents"/>
              <w:bidi w:val="0"/>
              <w:spacing w:before="0" w:after="283"/>
              <w:jc w:val="left"/>
              <w:rPr/>
            </w:pPr>
            <w:r>
              <w:rPr/>
              <w:t>​</w:t>
            </w:r>
          </w:p>
        </w:tc>
      </w:tr>
    </w:tbl>
    <w:tbl>
      <w:tblPr>
        <w:tblW w:w="10205" w:type="dxa"/>
        <w:jc w:val="left"/>
        <w:tblInd w:w="0" w:type="dxa"/>
        <w:tblLayout w:type="fixed"/>
        <w:tblCellMar>
          <w:top w:w="0" w:type="dxa"/>
          <w:left w:w="0" w:type="dxa"/>
          <w:bottom w:w="0" w:type="dxa"/>
          <w:right w:w="0" w:type="dxa"/>
        </w:tblCellMar>
      </w:tblPr>
      <w:tblGrid>
        <w:gridCol w:w="124"/>
        <w:gridCol w:w="109"/>
        <w:gridCol w:w="8656"/>
        <w:gridCol w:w="109"/>
        <w:gridCol w:w="109"/>
        <w:gridCol w:w="834"/>
        <w:gridCol w:w="109"/>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96" w:space="0" w:color="E9F9D8"/>
            </w:tcBorders>
            <w:tcMar>
              <w:bottom w:w="28" w:type="dxa"/>
            </w:tcMar>
            <w:vAlign w:val="center"/>
          </w:tcPr>
          <w:p>
            <w:pPr>
              <w:pStyle w:val="TableContents"/>
              <w:bidi w:val="0"/>
              <w:spacing w:before="0" w:after="283"/>
              <w:jc w:val="left"/>
              <w:rPr/>
            </w:pPr>
            <w:r>
              <w:rPr/>
              <w:t>​</w:t>
            </w:r>
          </w:p>
        </w:tc>
        <w:tc>
          <w:tcPr>
            <w:tcW w:w="8656" w:type="dxa"/>
            <w:tcBorders>
              <w:bottom w:val="single" w:sz="96" w:space="0" w:color="E9F9D8"/>
            </w:tcBorders>
            <w:tcMar>
              <w:bottom w:w="190" w:type="dxa"/>
            </w:tcMar>
            <w:vAlign w:val="center"/>
          </w:tcPr>
          <w:p>
            <w:pPr>
              <w:pStyle w:val="TableContents"/>
              <w:bidi w:val="0"/>
              <w:spacing w:lineRule="atLeast" w:line="260" w:before="0" w:after="0"/>
              <w:jc w:val="left"/>
              <w:rPr/>
            </w:pPr>
            <w:r>
              <w:rPr>
                <w:spacing w:val="-2"/>
              </w:rPr>
              <w:t xml:space="preserve">The Board unanimously recommends a vote </w:t>
            </w:r>
            <w:r>
              <w:rPr>
                <w:color w:val="83AD40"/>
              </w:rPr>
              <w:t>“FOR”</w:t>
            </w:r>
            <w:r>
              <w:rPr>
                <w:spacing w:val="-2"/>
              </w:rPr>
              <w:t xml:space="preserve"> the election of Mr. Alschuler, Ms. Brown, Ms. Dillard, Mr. Green, Mr. Hatkoff, Mr. Holliday, Ms. Lamb and Mr. Mathias. </w:t>
            </w:r>
          </w:p>
        </w:tc>
        <w:tc>
          <w:tcPr>
            <w:tcW w:w="109" w:type="dxa"/>
            <w:tcBorders>
              <w:bottom w:val="single" w:sz="96" w:space="0" w:color="E9F9D8"/>
            </w:tcBorders>
            <w:tcMar>
              <w:bottom w:w="28" w:type="dxa"/>
            </w:tcMar>
            <w:vAlign w:val="center"/>
          </w:tcPr>
          <w:p>
            <w:pPr>
              <w:pStyle w:val="TableContents"/>
              <w:bidi w:val="0"/>
              <w:spacing w:before="0" w:after="283"/>
              <w:jc w:val="left"/>
              <w:rPr/>
            </w:pPr>
            <w:r>
              <w:rPr/>
              <w:t>​</w:t>
            </w:r>
          </w:p>
        </w:tc>
        <w:tc>
          <w:tcPr>
            <w:tcW w:w="109" w:type="dxa"/>
            <w:tcBorders>
              <w:bottom w:val="single" w:sz="96" w:space="0" w:color="E9F9D8"/>
            </w:tcBorders>
            <w:tcMar>
              <w:bottom w:w="28" w:type="dxa"/>
            </w:tcMar>
            <w:vAlign w:val="center"/>
          </w:tcPr>
          <w:p>
            <w:pPr>
              <w:pStyle w:val="TableContents"/>
              <w:bidi w:val="0"/>
              <w:spacing w:before="0" w:after="283"/>
              <w:jc w:val="left"/>
              <w:rPr/>
            </w:pPr>
            <w:r>
              <w:rPr/>
              <w:t>​</w:t>
            </w:r>
          </w:p>
        </w:tc>
        <w:tc>
          <w:tcPr>
            <w:tcW w:w="834" w:type="dxa"/>
            <w:tcBorders>
              <w:bottom w:val="single" w:sz="96" w:space="0" w:color="E9F9D8"/>
            </w:tcBorders>
            <w:tcMar>
              <w:bottom w:w="190" w:type="dxa"/>
            </w:tcMar>
            <w:vAlign w:val="center"/>
          </w:tcPr>
          <w:p>
            <w:pPr>
              <w:pStyle w:val="TableContents"/>
              <w:bidi w:val="0"/>
              <w:spacing w:before="0" w:after="283"/>
              <w:jc w:val="center"/>
              <w:rPr/>
            </w:pPr>
            <w:r>
              <w:rPr/>
              <w:drawing>
                <wp:inline distT="0" distB="0" distL="0" distR="0">
                  <wp:extent cx="457200" cy="457200"/>
                  <wp:effectExtent l="0" t="0" r="0" b="0"/>
                  <wp:docPr id="120"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41" descr=""/>
                          <pic:cNvPicPr>
                            <a:picLocks noChangeAspect="1" noChangeArrowheads="1"/>
                          </pic:cNvPicPr>
                        </pic:nvPicPr>
                        <pic:blipFill>
                          <a:blip r:embed="rId59"/>
                          <a:stretch>
                            <a:fillRect/>
                          </a:stretch>
                        </pic:blipFill>
                        <pic:spPr bwMode="auto">
                          <a:xfrm>
                            <a:off x="0" y="0"/>
                            <a:ext cx="457200" cy="457200"/>
                          </a:xfrm>
                          <a:prstGeom prst="rect">
                            <a:avLst/>
                          </a:prstGeom>
                        </pic:spPr>
                      </pic:pic>
                    </a:graphicData>
                  </a:graphic>
                </wp:inline>
              </w:drawing>
            </w:r>
            <w:r>
              <w:rPr/>
              <w:t xml:space="preserve"> </w:t>
            </w:r>
          </w:p>
        </w:tc>
        <w:tc>
          <w:tcPr>
            <w:tcW w:w="109" w:type="dxa"/>
            <w:tcBorders>
              <w:bottom w:val="single" w:sz="96" w:space="0" w:color="E9F9D8"/>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tIRTD"/>
      <w:bookmarkEnd w:id="10"/>
      <w:r>
        <w:rPr>
          <w:rFonts w:ascii="calibri;arial;sans-serif" w:hAnsi="calibri;arial;sans-serif"/>
          <w:b w:val="false"/>
          <w:i w:val="false"/>
          <w:caps w:val="false"/>
          <w:smallCaps w:val="false"/>
          <w:color w:val="000000"/>
          <w:sz w:val="16"/>
        </w:rPr>
        <w:t xml:space="preserve">​ </w:t>
      </w:r>
    </w:p>
    <w:tbl>
      <w:tblPr>
        <w:tblW w:w="8095" w:type="dxa"/>
        <w:jc w:val="left"/>
        <w:tblInd w:w="900" w:type="dxa"/>
        <w:tblLayout w:type="fixed"/>
        <w:tblCellMar>
          <w:top w:w="0" w:type="dxa"/>
          <w:left w:w="0" w:type="dxa"/>
          <w:bottom w:w="0" w:type="dxa"/>
          <w:right w:w="0" w:type="dxa"/>
        </w:tblCellMar>
      </w:tblPr>
      <w:tblGrid>
        <w:gridCol w:w="124"/>
        <w:gridCol w:w="7253"/>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7253" w:type="dxa"/>
            <w:tcBorders/>
            <w:vAlign w:val="center"/>
          </w:tcPr>
          <w:p>
            <w:pPr>
              <w:pStyle w:val="TableContents"/>
              <w:bidi w:val="0"/>
              <w:spacing w:lineRule="atLeast" w:line="200" w:before="0" w:after="0"/>
              <w:jc w:val="left"/>
              <w:rPr/>
            </w:pPr>
            <w:r>
              <w:rPr>
                <w:spacing w:val="-2"/>
              </w:rPr>
              <w:t>OUR BOARD OF DIRECTORS AND CORPORATE GOVERNANCE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color w:val="1F2668"/>
                <w:sz w:val="24"/>
              </w:rPr>
            </w:pPr>
            <w:r>
              <w:rPr>
                <w:color w:val="1F2668"/>
                <w:sz w:val="24"/>
              </w:rPr>
              <w:t>11</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360" w:before="560" w:after="154"/>
        <w:ind w:left="900" w:right="0" w:hanging="0"/>
        <w:jc w:val="left"/>
        <w:rPr>
          <w:rFonts w:ascii="Arial;Helvetica;sans-serif" w:hAnsi="Arial;Helvetica;sans-serif"/>
          <w:b/>
          <w:i w:val="false"/>
          <w:caps w:val="false"/>
          <w:smallCaps w:val="false"/>
          <w:color w:val="83AD40"/>
          <w:sz w:val="32"/>
        </w:rPr>
      </w:pPr>
      <w:r>
        <w:rPr>
          <w:rFonts w:ascii="Arial;Helvetica;sans-serif" w:hAnsi="Arial;Helvetica;sans-serif"/>
          <w:b/>
          <w:i w:val="false"/>
          <w:caps/>
          <w:color w:val="83AD40"/>
          <w:spacing w:val="-3"/>
          <w:sz w:val="32"/>
        </w:rPr>
        <w:t>INFORMATION REGARDING THE DIRECTOR NOMINEES</w:t>
      </w:r>
      <w:r>
        <w:rPr>
          <w:rFonts w:ascii="Arial;Helvetica;sans-serif" w:hAnsi="Arial;Helvetica;sans-serif"/>
          <w:b/>
          <w:i w:val="false"/>
          <w:caps w:val="false"/>
          <w:smallCaps w:val="false"/>
          <w:color w:val="000000"/>
          <w:spacing w:val="6"/>
          <w:sz w:val="32"/>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The following table, matrix and biographical descriptions set forth certain information with respect to the nominees for election as directors at the 2026 Annual Meeting, based upon information furnished by each director.</w:t>
      </w:r>
      <w:r>
        <w:rPr>
          <w:rFonts w:ascii="Arial;Helvetica;sans-serif" w:hAnsi="Arial;Helvetica;sans-serif"/>
          <w:b w:val="false"/>
          <w:i w:val="false"/>
          <w:caps w:val="false"/>
          <w:smallCaps w:val="false"/>
          <w:color w:val="000000"/>
          <w:spacing w:val="4"/>
          <w:sz w:val="18"/>
        </w:rPr>
        <w:t xml:space="preserve"> </w:t>
      </w:r>
    </w:p>
    <w:tbl>
      <w:tblPr>
        <w:tblW w:w="9305" w:type="dxa"/>
        <w:jc w:val="left"/>
        <w:tblInd w:w="900" w:type="dxa"/>
        <w:tblLayout w:type="fixed"/>
        <w:tblCellMar>
          <w:top w:w="0" w:type="dxa"/>
          <w:left w:w="0" w:type="dxa"/>
          <w:bottom w:w="28" w:type="dxa"/>
          <w:right w:w="0" w:type="dxa"/>
        </w:tblCellMar>
      </w:tblPr>
      <w:tblGrid>
        <w:gridCol w:w="827"/>
        <w:gridCol w:w="109"/>
        <w:gridCol w:w="109"/>
        <w:gridCol w:w="920"/>
        <w:gridCol w:w="109"/>
        <w:gridCol w:w="109"/>
        <w:gridCol w:w="1515"/>
        <w:gridCol w:w="109"/>
        <w:gridCol w:w="109"/>
        <w:gridCol w:w="391"/>
        <w:gridCol w:w="109"/>
        <w:gridCol w:w="109"/>
        <w:gridCol w:w="960"/>
        <w:gridCol w:w="109"/>
        <w:gridCol w:w="109"/>
        <w:gridCol w:w="711"/>
        <w:gridCol w:w="109"/>
        <w:gridCol w:w="109"/>
        <w:gridCol w:w="334"/>
        <w:gridCol w:w="109"/>
        <w:gridCol w:w="109"/>
        <w:gridCol w:w="109"/>
        <w:gridCol w:w="322"/>
        <w:gridCol w:w="109"/>
        <w:gridCol w:w="109"/>
        <w:gridCol w:w="109"/>
        <w:gridCol w:w="554"/>
        <w:gridCol w:w="109"/>
        <w:gridCol w:w="109"/>
        <w:gridCol w:w="109"/>
        <w:gridCol w:w="322"/>
        <w:gridCol w:w="160"/>
      </w:tblGrid>
      <w:tr>
        <w:trPr/>
        <w:tc>
          <w:tcPr>
            <w:tcW w:w="827" w:type="dxa"/>
            <w:vMerge w:val="restart"/>
            <w:tcBorders>
              <w:bottom w:val="single" w:sz="8" w:space="0" w:color="1F2668"/>
            </w:tcBorders>
            <w:vAlign w:val="center"/>
          </w:tcPr>
          <w:p>
            <w:pPr>
              <w:pStyle w:val="TableContents"/>
              <w:bidi w:val="0"/>
              <w:spacing w:before="0" w:after="283"/>
              <w:jc w:val="left"/>
              <w:rPr/>
            </w:pPr>
            <w:r>
              <w:rPr/>
              <w:t>​</w:t>
            </w:r>
          </w:p>
        </w:tc>
        <w:tc>
          <w:tcPr>
            <w:tcW w:w="109" w:type="dxa"/>
            <w:vMerge w:val="restart"/>
            <w:tcBorders>
              <w:bottom w:val="single" w:sz="12" w:space="0" w:color="FFFFFF"/>
            </w:tcBorders>
            <w:vAlign w:val="center"/>
          </w:tcPr>
          <w:p>
            <w:pPr>
              <w:pStyle w:val="TableContents"/>
              <w:bidi w:val="0"/>
              <w:spacing w:before="0" w:after="283"/>
              <w:jc w:val="left"/>
              <w:rPr/>
            </w:pPr>
            <w:r>
              <w:rPr/>
              <w:t>​</w:t>
            </w:r>
          </w:p>
        </w:tc>
        <w:tc>
          <w:tcPr>
            <w:tcW w:w="109" w:type="dxa"/>
            <w:vMerge w:val="restart"/>
            <w:tcBorders>
              <w:bottom w:val="single" w:sz="12" w:space="0" w:color="FFFFFF"/>
            </w:tcBorders>
            <w:vAlign w:val="center"/>
          </w:tcPr>
          <w:p>
            <w:pPr>
              <w:pStyle w:val="TableContents"/>
              <w:bidi w:val="0"/>
              <w:spacing w:before="0" w:after="283"/>
              <w:jc w:val="left"/>
              <w:rPr/>
            </w:pPr>
            <w:r>
              <w:rPr/>
              <w:t>​</w:t>
            </w:r>
          </w:p>
        </w:tc>
        <w:tc>
          <w:tcPr>
            <w:tcW w:w="920" w:type="dxa"/>
            <w:vMerge w:val="restart"/>
            <w:tcBorders>
              <w:bottom w:val="single" w:sz="8" w:space="0" w:color="1F2668"/>
            </w:tcBorders>
            <w:tcMar>
              <w:bottom w:w="50" w:type="dxa"/>
            </w:tcMar>
            <w:vAlign w:val="center"/>
          </w:tcPr>
          <w:p>
            <w:pPr>
              <w:pStyle w:val="TableContents"/>
              <w:bidi w:val="0"/>
              <w:spacing w:lineRule="atLeast" w:line="180" w:before="0" w:after="0"/>
              <w:jc w:val="left"/>
              <w:rPr>
                <w:spacing w:val="-2"/>
                <w:sz w:val="16"/>
              </w:rPr>
            </w:pPr>
            <w:r>
              <w:rPr>
                <w:spacing w:val="-2"/>
                <w:sz w:val="16"/>
              </w:rPr>
              <w:t xml:space="preserve">Name </w:t>
            </w:r>
          </w:p>
        </w:tc>
        <w:tc>
          <w:tcPr>
            <w:tcW w:w="109" w:type="dxa"/>
            <w:vMerge w:val="restart"/>
            <w:tcBorders>
              <w:bottom w:val="single" w:sz="8" w:space="0" w:color="1F2668"/>
            </w:tcBorders>
            <w:vAlign w:val="center"/>
          </w:tcPr>
          <w:p>
            <w:pPr>
              <w:pStyle w:val="TableContents"/>
              <w:bidi w:val="0"/>
              <w:spacing w:before="0" w:after="283"/>
              <w:jc w:val="left"/>
              <w:rPr/>
            </w:pPr>
            <w:r>
              <w:rPr/>
              <w:t>​</w:t>
            </w:r>
          </w:p>
        </w:tc>
        <w:tc>
          <w:tcPr>
            <w:tcW w:w="109" w:type="dxa"/>
            <w:vMerge w:val="restart"/>
            <w:tcBorders>
              <w:bottom w:val="single" w:sz="8" w:space="0" w:color="1F2668"/>
            </w:tcBorders>
            <w:vAlign w:val="center"/>
          </w:tcPr>
          <w:p>
            <w:pPr>
              <w:pStyle w:val="TableContents"/>
              <w:bidi w:val="0"/>
              <w:spacing w:before="0" w:after="283"/>
              <w:jc w:val="left"/>
              <w:rPr/>
            </w:pPr>
            <w:r>
              <w:rPr/>
              <w:t>​</w:t>
            </w:r>
          </w:p>
        </w:tc>
        <w:tc>
          <w:tcPr>
            <w:tcW w:w="1515" w:type="dxa"/>
            <w:vMerge w:val="restart"/>
            <w:tcBorders>
              <w:bottom w:val="single" w:sz="8" w:space="0" w:color="1F2668"/>
            </w:tcBorders>
            <w:tcMar>
              <w:bottom w:w="50" w:type="dxa"/>
            </w:tcMar>
            <w:vAlign w:val="center"/>
          </w:tcPr>
          <w:p>
            <w:pPr>
              <w:pStyle w:val="TableContents"/>
              <w:bidi w:val="0"/>
              <w:spacing w:lineRule="atLeast" w:line="180" w:before="0" w:after="0"/>
              <w:jc w:val="left"/>
              <w:rPr>
                <w:spacing w:val="-2"/>
                <w:sz w:val="16"/>
              </w:rPr>
            </w:pPr>
            <w:r>
              <w:rPr>
                <w:spacing w:val="-2"/>
                <w:sz w:val="16"/>
              </w:rPr>
              <w:t xml:space="preserve">Other Current Public Board </w:t>
              <w:br/>
              <w:t xml:space="preserve">Directorships </w:t>
            </w:r>
          </w:p>
        </w:tc>
        <w:tc>
          <w:tcPr>
            <w:tcW w:w="109" w:type="dxa"/>
            <w:vMerge w:val="restart"/>
            <w:tcBorders>
              <w:bottom w:val="single" w:sz="12" w:space="0" w:color="FFFFFF"/>
            </w:tcBorders>
            <w:vAlign w:val="center"/>
          </w:tcPr>
          <w:p>
            <w:pPr>
              <w:pStyle w:val="TableContents"/>
              <w:bidi w:val="0"/>
              <w:spacing w:before="0" w:after="283"/>
              <w:jc w:val="left"/>
              <w:rPr/>
            </w:pPr>
            <w:r>
              <w:rPr/>
              <w:t>​</w:t>
            </w:r>
          </w:p>
        </w:tc>
        <w:tc>
          <w:tcPr>
            <w:tcW w:w="109" w:type="dxa"/>
            <w:vMerge w:val="restart"/>
            <w:tcBorders>
              <w:bottom w:val="single" w:sz="12" w:space="0" w:color="FFFFFF"/>
            </w:tcBorders>
            <w:vAlign w:val="center"/>
          </w:tcPr>
          <w:p>
            <w:pPr>
              <w:pStyle w:val="TableContents"/>
              <w:bidi w:val="0"/>
              <w:spacing w:before="0" w:after="283"/>
              <w:jc w:val="left"/>
              <w:rPr/>
            </w:pPr>
            <w:r>
              <w:rPr/>
              <w:t>​</w:t>
            </w:r>
          </w:p>
        </w:tc>
        <w:tc>
          <w:tcPr>
            <w:tcW w:w="391" w:type="dxa"/>
            <w:vMerge w:val="restart"/>
            <w:tcBorders>
              <w:bottom w:val="single" w:sz="8" w:space="0" w:color="1F2668"/>
            </w:tcBorders>
            <w:tcMar>
              <w:bottom w:w="50" w:type="dxa"/>
            </w:tcMar>
            <w:vAlign w:val="center"/>
          </w:tcPr>
          <w:p>
            <w:pPr>
              <w:pStyle w:val="TableContents"/>
              <w:bidi w:val="0"/>
              <w:spacing w:lineRule="atLeast" w:line="180" w:before="0" w:after="0"/>
              <w:jc w:val="center"/>
              <w:rPr>
                <w:spacing w:val="-2"/>
                <w:sz w:val="16"/>
              </w:rPr>
            </w:pPr>
            <w:r>
              <w:rPr>
                <w:spacing w:val="-2"/>
                <w:sz w:val="16"/>
              </w:rPr>
              <w:t xml:space="preserve">Age </w:t>
            </w:r>
          </w:p>
        </w:tc>
        <w:tc>
          <w:tcPr>
            <w:tcW w:w="109" w:type="dxa"/>
            <w:vMerge w:val="restart"/>
            <w:tcBorders>
              <w:bottom w:val="single" w:sz="12" w:space="0" w:color="FFFFFF"/>
            </w:tcBorders>
            <w:vAlign w:val="center"/>
          </w:tcPr>
          <w:p>
            <w:pPr>
              <w:pStyle w:val="TableContents"/>
              <w:bidi w:val="0"/>
              <w:spacing w:before="0" w:after="283"/>
              <w:jc w:val="left"/>
              <w:rPr/>
            </w:pPr>
            <w:r>
              <w:rPr/>
              <w:t>​</w:t>
            </w:r>
          </w:p>
        </w:tc>
        <w:tc>
          <w:tcPr>
            <w:tcW w:w="109" w:type="dxa"/>
            <w:vMerge w:val="restart"/>
            <w:tcBorders>
              <w:bottom w:val="single" w:sz="12" w:space="0" w:color="FFFFFF"/>
            </w:tcBorders>
            <w:vAlign w:val="center"/>
          </w:tcPr>
          <w:p>
            <w:pPr>
              <w:pStyle w:val="TableContents"/>
              <w:bidi w:val="0"/>
              <w:spacing w:before="0" w:after="283"/>
              <w:jc w:val="left"/>
              <w:rPr/>
            </w:pPr>
            <w:r>
              <w:rPr/>
              <w:t>​</w:t>
            </w:r>
          </w:p>
        </w:tc>
        <w:tc>
          <w:tcPr>
            <w:tcW w:w="960" w:type="dxa"/>
            <w:vMerge w:val="restart"/>
            <w:tcBorders>
              <w:bottom w:val="single" w:sz="8" w:space="0" w:color="1F2668"/>
            </w:tcBorders>
            <w:tcMar>
              <w:bottom w:w="50" w:type="dxa"/>
            </w:tcMar>
            <w:vAlign w:val="center"/>
          </w:tcPr>
          <w:p>
            <w:pPr>
              <w:pStyle w:val="TableContents"/>
              <w:bidi w:val="0"/>
              <w:spacing w:lineRule="atLeast" w:line="180" w:before="0" w:after="0"/>
              <w:jc w:val="center"/>
              <w:rPr>
                <w:spacing w:val="-2"/>
                <w:sz w:val="16"/>
              </w:rPr>
            </w:pPr>
            <w:r>
              <w:rPr>
                <w:spacing w:val="-2"/>
                <w:sz w:val="16"/>
              </w:rPr>
              <w:t xml:space="preserve">Independent </w:t>
            </w:r>
          </w:p>
        </w:tc>
        <w:tc>
          <w:tcPr>
            <w:tcW w:w="109" w:type="dxa"/>
            <w:vMerge w:val="restart"/>
            <w:tcBorders>
              <w:bottom w:val="single" w:sz="12" w:space="0" w:color="FFFFFF"/>
            </w:tcBorders>
            <w:vAlign w:val="center"/>
          </w:tcPr>
          <w:p>
            <w:pPr>
              <w:pStyle w:val="TableContents"/>
              <w:bidi w:val="0"/>
              <w:spacing w:before="0" w:after="283"/>
              <w:jc w:val="left"/>
              <w:rPr/>
            </w:pPr>
            <w:r>
              <w:rPr/>
              <w:t>​</w:t>
            </w:r>
          </w:p>
        </w:tc>
        <w:tc>
          <w:tcPr>
            <w:tcW w:w="109" w:type="dxa"/>
            <w:vMerge w:val="restart"/>
            <w:tcBorders>
              <w:bottom w:val="single" w:sz="12" w:space="0" w:color="FFFFFF"/>
            </w:tcBorders>
            <w:vAlign w:val="center"/>
          </w:tcPr>
          <w:p>
            <w:pPr>
              <w:pStyle w:val="TableContents"/>
              <w:bidi w:val="0"/>
              <w:spacing w:before="0" w:after="283"/>
              <w:jc w:val="left"/>
              <w:rPr/>
            </w:pPr>
            <w:r>
              <w:rPr/>
              <w:t>​</w:t>
            </w:r>
          </w:p>
        </w:tc>
        <w:tc>
          <w:tcPr>
            <w:tcW w:w="711" w:type="dxa"/>
            <w:vMerge w:val="restart"/>
            <w:tcBorders>
              <w:bottom w:val="single" w:sz="8" w:space="0" w:color="1F2668"/>
            </w:tcBorders>
            <w:tcMar>
              <w:bottom w:w="50" w:type="dxa"/>
            </w:tcMar>
            <w:vAlign w:val="center"/>
          </w:tcPr>
          <w:p>
            <w:pPr>
              <w:pStyle w:val="TableContents"/>
              <w:bidi w:val="0"/>
              <w:spacing w:lineRule="atLeast" w:line="180" w:before="0" w:after="0"/>
              <w:jc w:val="center"/>
              <w:rPr>
                <w:spacing w:val="-2"/>
                <w:sz w:val="16"/>
              </w:rPr>
            </w:pPr>
            <w:r>
              <w:rPr>
                <w:spacing w:val="-2"/>
                <w:sz w:val="16"/>
              </w:rPr>
              <w:t xml:space="preserve">Director Since </w:t>
            </w:r>
          </w:p>
        </w:tc>
        <w:tc>
          <w:tcPr>
            <w:tcW w:w="109" w:type="dxa"/>
            <w:vMerge w:val="restart"/>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2513" w:type="dxa"/>
            <w:gridSpan w:val="13"/>
            <w:tcBorders>
              <w:bottom w:val="single" w:sz="8" w:space="0" w:color="1F2668"/>
            </w:tcBorders>
            <w:tcMar>
              <w:bottom w:w="50" w:type="dxa"/>
            </w:tcMar>
            <w:vAlign w:val="center"/>
          </w:tcPr>
          <w:p>
            <w:pPr>
              <w:pStyle w:val="TableContents"/>
              <w:bidi w:val="0"/>
              <w:spacing w:lineRule="atLeast" w:line="142" w:before="0" w:after="0"/>
              <w:jc w:val="center"/>
              <w:rPr>
                <w:sz w:val="16"/>
              </w:rPr>
            </w:pPr>
            <w:r>
              <w:rPr>
                <w:spacing w:val="-2"/>
                <w:sz w:val="16"/>
              </w:rPr>
              <w:t>Committee Memberships</w:t>
            </w:r>
            <w:r>
              <w:rPr>
                <w:spacing w:val="-1"/>
                <w:sz w:val="10"/>
              </w:rPr>
              <w:t>(1)</w:t>
            </w:r>
            <w:r>
              <w:rPr>
                <w:sz w:val="16"/>
              </w:rPr>
              <w:t xml:space="preserve"> </w:t>
            </w:r>
          </w:p>
        </w:tc>
        <w:tc>
          <w:tcPr>
            <w:tcW w:w="160" w:type="dxa"/>
            <w:tcBorders>
              <w:bottom w:val="single" w:sz="12" w:space="0" w:color="FFFFFF"/>
            </w:tcBorders>
            <w:vAlign w:val="center"/>
          </w:tcPr>
          <w:p>
            <w:pPr>
              <w:pStyle w:val="TableContents"/>
              <w:bidi w:val="0"/>
              <w:spacing w:before="0" w:after="283"/>
              <w:jc w:val="left"/>
              <w:rPr/>
            </w:pPr>
            <w:r>
              <w:rPr/>
              <w:t>​</w:t>
            </w:r>
          </w:p>
        </w:tc>
      </w:tr>
      <w:tr>
        <w:trPr/>
        <w:tc>
          <w:tcPr>
            <w:tcW w:w="827" w:type="dxa"/>
            <w:vMerge w:val="continue"/>
            <w:tcBorders>
              <w:bottom w:val="single" w:sz="8" w:space="0" w:color="1F2668"/>
            </w:tcBorders>
            <w:vAlign w:val="center"/>
          </w:tcPr>
          <w:p>
            <w:pPr>
              <w:pStyle w:val="Normal"/>
              <w:bidi w:val="0"/>
              <w:jc w:val="left"/>
              <w:rPr/>
            </w:pPr>
            <w:r>
              <w:rPr/>
            </w:r>
          </w:p>
        </w:tc>
        <w:tc>
          <w:tcPr>
            <w:tcW w:w="109" w:type="dxa"/>
            <w:vMerge w:val="continue"/>
            <w:tcBorders>
              <w:bottom w:val="single" w:sz="12" w:space="0" w:color="FFFFFF"/>
            </w:tcBorders>
            <w:vAlign w:val="center"/>
          </w:tcPr>
          <w:p>
            <w:pPr>
              <w:pStyle w:val="Normal"/>
              <w:bidi w:val="0"/>
              <w:jc w:val="left"/>
              <w:rPr/>
            </w:pPr>
            <w:r>
              <w:rPr/>
            </w:r>
          </w:p>
        </w:tc>
        <w:tc>
          <w:tcPr>
            <w:tcW w:w="109" w:type="dxa"/>
            <w:vMerge w:val="continue"/>
            <w:tcBorders>
              <w:bottom w:val="single" w:sz="12" w:space="0" w:color="FFFFFF"/>
            </w:tcBorders>
            <w:vAlign w:val="center"/>
          </w:tcPr>
          <w:p>
            <w:pPr>
              <w:pStyle w:val="Normal"/>
              <w:bidi w:val="0"/>
              <w:jc w:val="left"/>
              <w:rPr/>
            </w:pPr>
            <w:r>
              <w:rPr/>
            </w:r>
          </w:p>
        </w:tc>
        <w:tc>
          <w:tcPr>
            <w:tcW w:w="920" w:type="dxa"/>
            <w:vMerge w:val="continue"/>
            <w:tcBorders>
              <w:bottom w:val="single" w:sz="8" w:space="0" w:color="1F2668"/>
            </w:tcBorders>
            <w:tcMar>
              <w:bottom w:w="50" w:type="dxa"/>
            </w:tcMar>
            <w:vAlign w:val="center"/>
          </w:tcPr>
          <w:p>
            <w:pPr>
              <w:pStyle w:val="Normal"/>
              <w:bidi w:val="0"/>
              <w:jc w:val="left"/>
              <w:rPr/>
            </w:pPr>
            <w:r>
              <w:rPr/>
            </w:r>
          </w:p>
        </w:tc>
        <w:tc>
          <w:tcPr>
            <w:tcW w:w="109" w:type="dxa"/>
            <w:vMerge w:val="continue"/>
            <w:tcBorders>
              <w:bottom w:val="single" w:sz="8" w:space="0" w:color="1F2668"/>
            </w:tcBorders>
            <w:vAlign w:val="center"/>
          </w:tcPr>
          <w:p>
            <w:pPr>
              <w:pStyle w:val="Normal"/>
              <w:bidi w:val="0"/>
              <w:jc w:val="left"/>
              <w:rPr/>
            </w:pPr>
            <w:r>
              <w:rPr/>
            </w:r>
          </w:p>
        </w:tc>
        <w:tc>
          <w:tcPr>
            <w:tcW w:w="109" w:type="dxa"/>
            <w:vMerge w:val="continue"/>
            <w:tcBorders>
              <w:bottom w:val="single" w:sz="8" w:space="0" w:color="1F2668"/>
            </w:tcBorders>
            <w:vAlign w:val="center"/>
          </w:tcPr>
          <w:p>
            <w:pPr>
              <w:pStyle w:val="Normal"/>
              <w:bidi w:val="0"/>
              <w:jc w:val="left"/>
              <w:rPr/>
            </w:pPr>
            <w:r>
              <w:rPr/>
            </w:r>
          </w:p>
        </w:tc>
        <w:tc>
          <w:tcPr>
            <w:tcW w:w="1515" w:type="dxa"/>
            <w:vMerge w:val="continue"/>
            <w:tcBorders>
              <w:bottom w:val="single" w:sz="8" w:space="0" w:color="1F2668"/>
            </w:tcBorders>
            <w:tcMar>
              <w:bottom w:w="50" w:type="dxa"/>
            </w:tcMar>
            <w:vAlign w:val="center"/>
          </w:tcPr>
          <w:p>
            <w:pPr>
              <w:pStyle w:val="Normal"/>
              <w:bidi w:val="0"/>
              <w:jc w:val="left"/>
              <w:rPr/>
            </w:pPr>
            <w:r>
              <w:rPr/>
            </w:r>
          </w:p>
        </w:tc>
        <w:tc>
          <w:tcPr>
            <w:tcW w:w="109" w:type="dxa"/>
            <w:vMerge w:val="continue"/>
            <w:tcBorders>
              <w:bottom w:val="single" w:sz="12" w:space="0" w:color="FFFFFF"/>
            </w:tcBorders>
            <w:vAlign w:val="center"/>
          </w:tcPr>
          <w:p>
            <w:pPr>
              <w:pStyle w:val="Normal"/>
              <w:bidi w:val="0"/>
              <w:jc w:val="left"/>
              <w:rPr/>
            </w:pPr>
            <w:r>
              <w:rPr/>
            </w:r>
          </w:p>
        </w:tc>
        <w:tc>
          <w:tcPr>
            <w:tcW w:w="109" w:type="dxa"/>
            <w:vMerge w:val="continue"/>
            <w:tcBorders>
              <w:bottom w:val="single" w:sz="12" w:space="0" w:color="FFFFFF"/>
            </w:tcBorders>
            <w:vAlign w:val="center"/>
          </w:tcPr>
          <w:p>
            <w:pPr>
              <w:pStyle w:val="Normal"/>
              <w:bidi w:val="0"/>
              <w:jc w:val="left"/>
              <w:rPr/>
            </w:pPr>
            <w:r>
              <w:rPr/>
            </w:r>
          </w:p>
        </w:tc>
        <w:tc>
          <w:tcPr>
            <w:tcW w:w="391" w:type="dxa"/>
            <w:vMerge w:val="continue"/>
            <w:tcBorders>
              <w:bottom w:val="single" w:sz="8" w:space="0" w:color="1F2668"/>
            </w:tcBorders>
            <w:tcMar>
              <w:bottom w:w="50" w:type="dxa"/>
            </w:tcMar>
            <w:vAlign w:val="center"/>
          </w:tcPr>
          <w:p>
            <w:pPr>
              <w:pStyle w:val="Normal"/>
              <w:bidi w:val="0"/>
              <w:jc w:val="left"/>
              <w:rPr/>
            </w:pPr>
            <w:r>
              <w:rPr/>
            </w:r>
          </w:p>
        </w:tc>
        <w:tc>
          <w:tcPr>
            <w:tcW w:w="109" w:type="dxa"/>
            <w:vMerge w:val="continue"/>
            <w:tcBorders>
              <w:bottom w:val="single" w:sz="12" w:space="0" w:color="FFFFFF"/>
            </w:tcBorders>
            <w:vAlign w:val="center"/>
          </w:tcPr>
          <w:p>
            <w:pPr>
              <w:pStyle w:val="Normal"/>
              <w:bidi w:val="0"/>
              <w:jc w:val="left"/>
              <w:rPr/>
            </w:pPr>
            <w:r>
              <w:rPr/>
            </w:r>
          </w:p>
        </w:tc>
        <w:tc>
          <w:tcPr>
            <w:tcW w:w="109" w:type="dxa"/>
            <w:vMerge w:val="continue"/>
            <w:tcBorders>
              <w:bottom w:val="single" w:sz="12" w:space="0" w:color="FFFFFF"/>
            </w:tcBorders>
            <w:vAlign w:val="center"/>
          </w:tcPr>
          <w:p>
            <w:pPr>
              <w:pStyle w:val="Normal"/>
              <w:bidi w:val="0"/>
              <w:jc w:val="left"/>
              <w:rPr/>
            </w:pPr>
            <w:r>
              <w:rPr/>
            </w:r>
          </w:p>
        </w:tc>
        <w:tc>
          <w:tcPr>
            <w:tcW w:w="960" w:type="dxa"/>
            <w:vMerge w:val="continue"/>
            <w:tcBorders>
              <w:bottom w:val="single" w:sz="8" w:space="0" w:color="1F2668"/>
            </w:tcBorders>
            <w:tcMar>
              <w:bottom w:w="50" w:type="dxa"/>
            </w:tcMar>
            <w:vAlign w:val="center"/>
          </w:tcPr>
          <w:p>
            <w:pPr>
              <w:pStyle w:val="Normal"/>
              <w:bidi w:val="0"/>
              <w:jc w:val="left"/>
              <w:rPr/>
            </w:pPr>
            <w:r>
              <w:rPr/>
            </w:r>
          </w:p>
        </w:tc>
        <w:tc>
          <w:tcPr>
            <w:tcW w:w="109" w:type="dxa"/>
            <w:vMerge w:val="continue"/>
            <w:tcBorders>
              <w:bottom w:val="single" w:sz="12" w:space="0" w:color="FFFFFF"/>
            </w:tcBorders>
            <w:vAlign w:val="center"/>
          </w:tcPr>
          <w:p>
            <w:pPr>
              <w:pStyle w:val="Normal"/>
              <w:bidi w:val="0"/>
              <w:jc w:val="left"/>
              <w:rPr/>
            </w:pPr>
            <w:r>
              <w:rPr/>
            </w:r>
          </w:p>
        </w:tc>
        <w:tc>
          <w:tcPr>
            <w:tcW w:w="109" w:type="dxa"/>
            <w:vMerge w:val="continue"/>
            <w:tcBorders>
              <w:bottom w:val="single" w:sz="12" w:space="0" w:color="FFFFFF"/>
            </w:tcBorders>
            <w:vAlign w:val="center"/>
          </w:tcPr>
          <w:p>
            <w:pPr>
              <w:pStyle w:val="Normal"/>
              <w:bidi w:val="0"/>
              <w:jc w:val="left"/>
              <w:rPr/>
            </w:pPr>
            <w:r>
              <w:rPr/>
            </w:r>
          </w:p>
        </w:tc>
        <w:tc>
          <w:tcPr>
            <w:tcW w:w="711" w:type="dxa"/>
            <w:vMerge w:val="continue"/>
            <w:tcBorders>
              <w:bottom w:val="single" w:sz="8" w:space="0" w:color="1F2668"/>
            </w:tcBorders>
            <w:tcMar>
              <w:bottom w:w="50" w:type="dxa"/>
            </w:tcMar>
            <w:vAlign w:val="center"/>
          </w:tcPr>
          <w:p>
            <w:pPr>
              <w:pStyle w:val="Normal"/>
              <w:bidi w:val="0"/>
              <w:jc w:val="left"/>
              <w:rPr/>
            </w:pPr>
            <w:r>
              <w:rPr/>
            </w:r>
          </w:p>
        </w:tc>
        <w:tc>
          <w:tcPr>
            <w:tcW w:w="109" w:type="dxa"/>
            <w:vMerge w:val="continue"/>
            <w:tcBorders>
              <w:bottom w:val="single" w:sz="12" w:space="0" w:color="FFFFFF"/>
            </w:tcBorders>
            <w:vAlign w:val="center"/>
          </w:tcPr>
          <w:p>
            <w:pPr>
              <w:pStyle w:val="Normal"/>
              <w:bidi w:val="0"/>
              <w:jc w:val="left"/>
              <w:rPr/>
            </w:pPr>
            <w:r>
              <w:rPr/>
            </w:r>
          </w:p>
        </w:tc>
        <w:tc>
          <w:tcPr>
            <w:tcW w:w="109" w:type="dxa"/>
            <w:tcBorders>
              <w:bottom w:val="single" w:sz="12" w:space="0" w:color="FFFFFF"/>
            </w:tcBorders>
            <w:vAlign w:val="center"/>
          </w:tcPr>
          <w:p>
            <w:pPr>
              <w:pStyle w:val="TableContents"/>
              <w:bidi w:val="0"/>
              <w:spacing w:before="0" w:after="283"/>
              <w:jc w:val="left"/>
              <w:rPr/>
            </w:pPr>
            <w:r>
              <w:rPr/>
              <w:t>​</w:t>
            </w:r>
          </w:p>
        </w:tc>
        <w:tc>
          <w:tcPr>
            <w:tcW w:w="334" w:type="dxa"/>
            <w:tcBorders>
              <w:bottom w:val="single" w:sz="8" w:space="0" w:color="1F2668"/>
            </w:tcBorders>
            <w:tcMar>
              <w:bottom w:w="50" w:type="dxa"/>
            </w:tcMar>
            <w:vAlign w:val="center"/>
          </w:tcPr>
          <w:p>
            <w:pPr>
              <w:pStyle w:val="TableContents"/>
              <w:bidi w:val="0"/>
              <w:spacing w:lineRule="atLeast" w:line="180" w:before="0" w:after="0"/>
              <w:jc w:val="center"/>
              <w:rPr>
                <w:spacing w:val="-2"/>
                <w:sz w:val="16"/>
              </w:rPr>
            </w:pPr>
            <w:r>
              <w:rPr>
                <w:spacing w:val="-2"/>
                <w:sz w:val="16"/>
              </w:rPr>
              <w:t xml:space="preserve">AC </w:t>
            </w:r>
          </w:p>
        </w:tc>
        <w:tc>
          <w:tcPr>
            <w:tcW w:w="109" w:type="dxa"/>
            <w:tcBorders>
              <w:bottom w:val="single" w:sz="8" w:space="0" w:color="1F2668"/>
            </w:tcBorders>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8" w:space="0" w:color="1F2668"/>
            </w:tcBorders>
            <w:vAlign w:val="center"/>
          </w:tcPr>
          <w:p>
            <w:pPr>
              <w:pStyle w:val="TableContents"/>
              <w:bidi w:val="0"/>
              <w:spacing w:before="0" w:after="283"/>
              <w:jc w:val="left"/>
              <w:rPr/>
            </w:pPr>
            <w:r>
              <w:rPr/>
              <w:t>​</w:t>
            </w:r>
          </w:p>
        </w:tc>
        <w:tc>
          <w:tcPr>
            <w:tcW w:w="322" w:type="dxa"/>
            <w:tcBorders>
              <w:bottom w:val="single" w:sz="8" w:space="0" w:color="1F2668"/>
            </w:tcBorders>
            <w:tcMar>
              <w:bottom w:w="50" w:type="dxa"/>
            </w:tcMar>
            <w:vAlign w:val="center"/>
          </w:tcPr>
          <w:p>
            <w:pPr>
              <w:pStyle w:val="TableContents"/>
              <w:bidi w:val="0"/>
              <w:spacing w:lineRule="atLeast" w:line="180" w:before="0" w:after="0"/>
              <w:jc w:val="center"/>
              <w:rPr>
                <w:spacing w:val="-2"/>
                <w:sz w:val="16"/>
              </w:rPr>
            </w:pPr>
            <w:r>
              <w:rPr>
                <w:spacing w:val="-2"/>
                <w:sz w:val="16"/>
              </w:rPr>
              <w:t xml:space="preserve">CC </w:t>
            </w:r>
          </w:p>
        </w:tc>
        <w:tc>
          <w:tcPr>
            <w:tcW w:w="109" w:type="dxa"/>
            <w:tcBorders>
              <w:bottom w:val="single" w:sz="8" w:space="0" w:color="1F2668"/>
            </w:tcBorders>
            <w:vAlign w:val="center"/>
          </w:tcPr>
          <w:p>
            <w:pPr>
              <w:pStyle w:val="TableContents"/>
              <w:bidi w:val="0"/>
              <w:spacing w:before="0" w:after="283"/>
              <w:jc w:val="left"/>
              <w:rPr/>
            </w:pPr>
            <w:r>
              <w:rPr/>
              <w:t>​</w:t>
            </w:r>
          </w:p>
        </w:tc>
        <w:tc>
          <w:tcPr>
            <w:tcW w:w="109" w:type="dxa"/>
            <w:tcBorders>
              <w:bottom w:val="single" w:sz="8" w:space="0" w:color="1F2668"/>
            </w:tcBorders>
            <w:vAlign w:val="center"/>
          </w:tcPr>
          <w:p>
            <w:pPr>
              <w:pStyle w:val="TableContents"/>
              <w:bidi w:val="0"/>
              <w:spacing w:before="0" w:after="283"/>
              <w:jc w:val="left"/>
              <w:rPr/>
            </w:pPr>
            <w:r>
              <w:rPr/>
              <w:t>​</w:t>
            </w:r>
          </w:p>
        </w:tc>
        <w:tc>
          <w:tcPr>
            <w:tcW w:w="109" w:type="dxa"/>
            <w:tcBorders>
              <w:bottom w:val="single" w:sz="8" w:space="0" w:color="1F2668"/>
            </w:tcBorders>
            <w:vAlign w:val="center"/>
          </w:tcPr>
          <w:p>
            <w:pPr>
              <w:pStyle w:val="TableContents"/>
              <w:bidi w:val="0"/>
              <w:spacing w:before="0" w:after="283"/>
              <w:jc w:val="left"/>
              <w:rPr/>
            </w:pPr>
            <w:r>
              <w:rPr/>
              <w:t>​</w:t>
            </w:r>
          </w:p>
        </w:tc>
        <w:tc>
          <w:tcPr>
            <w:tcW w:w="554" w:type="dxa"/>
            <w:tcBorders>
              <w:bottom w:val="single" w:sz="8" w:space="0" w:color="1F2668"/>
            </w:tcBorders>
            <w:tcMar>
              <w:bottom w:w="50" w:type="dxa"/>
            </w:tcMar>
            <w:vAlign w:val="center"/>
          </w:tcPr>
          <w:p>
            <w:pPr>
              <w:pStyle w:val="TableContents"/>
              <w:bidi w:val="0"/>
              <w:spacing w:lineRule="atLeast" w:line="180" w:before="0" w:after="0"/>
              <w:jc w:val="center"/>
              <w:rPr>
                <w:spacing w:val="-2"/>
                <w:sz w:val="16"/>
              </w:rPr>
            </w:pPr>
            <w:r>
              <w:rPr>
                <w:spacing w:val="-2"/>
                <w:sz w:val="16"/>
              </w:rPr>
              <w:t xml:space="preserve">NCGC </w:t>
            </w:r>
          </w:p>
        </w:tc>
        <w:tc>
          <w:tcPr>
            <w:tcW w:w="109" w:type="dxa"/>
            <w:tcBorders>
              <w:bottom w:val="single" w:sz="8" w:space="0" w:color="1F2668"/>
            </w:tcBorders>
            <w:vAlign w:val="center"/>
          </w:tcPr>
          <w:p>
            <w:pPr>
              <w:pStyle w:val="TableContents"/>
              <w:bidi w:val="0"/>
              <w:spacing w:before="0" w:after="283"/>
              <w:jc w:val="left"/>
              <w:rPr/>
            </w:pPr>
            <w:r>
              <w:rPr/>
              <w:t>​</w:t>
            </w:r>
          </w:p>
        </w:tc>
        <w:tc>
          <w:tcPr>
            <w:tcW w:w="109" w:type="dxa"/>
            <w:tcBorders>
              <w:bottom w:val="single" w:sz="8" w:space="0" w:color="1F2668"/>
            </w:tcBorders>
            <w:vAlign w:val="center"/>
          </w:tcPr>
          <w:p>
            <w:pPr>
              <w:pStyle w:val="TableContents"/>
              <w:bidi w:val="0"/>
              <w:spacing w:before="0" w:after="283"/>
              <w:jc w:val="left"/>
              <w:rPr/>
            </w:pPr>
            <w:r>
              <w:rPr/>
              <w:t>​</w:t>
            </w:r>
          </w:p>
        </w:tc>
        <w:tc>
          <w:tcPr>
            <w:tcW w:w="109" w:type="dxa"/>
            <w:tcBorders>
              <w:bottom w:val="single" w:sz="8" w:space="0" w:color="1F2668"/>
            </w:tcBorders>
            <w:vAlign w:val="center"/>
          </w:tcPr>
          <w:p>
            <w:pPr>
              <w:pStyle w:val="TableContents"/>
              <w:bidi w:val="0"/>
              <w:spacing w:before="0" w:after="283"/>
              <w:jc w:val="left"/>
              <w:rPr/>
            </w:pPr>
            <w:r>
              <w:rPr/>
              <w:t>​</w:t>
            </w:r>
          </w:p>
        </w:tc>
        <w:tc>
          <w:tcPr>
            <w:tcW w:w="322" w:type="dxa"/>
            <w:tcBorders>
              <w:bottom w:val="single" w:sz="8" w:space="0" w:color="1F2668"/>
            </w:tcBorders>
            <w:tcMar>
              <w:bottom w:w="50" w:type="dxa"/>
            </w:tcMar>
            <w:vAlign w:val="center"/>
          </w:tcPr>
          <w:p>
            <w:pPr>
              <w:pStyle w:val="TableContents"/>
              <w:bidi w:val="0"/>
              <w:spacing w:lineRule="atLeast" w:line="180" w:before="0" w:after="0"/>
              <w:jc w:val="center"/>
              <w:rPr>
                <w:spacing w:val="-2"/>
                <w:sz w:val="16"/>
              </w:rPr>
            </w:pPr>
            <w:r>
              <w:rPr>
                <w:spacing w:val="-2"/>
                <w:sz w:val="16"/>
              </w:rPr>
              <w:t xml:space="preserve">EC </w:t>
            </w:r>
          </w:p>
        </w:tc>
        <w:tc>
          <w:tcPr>
            <w:tcW w:w="160" w:type="dxa"/>
            <w:tcBorders>
              <w:bottom w:val="single" w:sz="8" w:space="0" w:color="1F2668"/>
            </w:tcBorders>
            <w:vAlign w:val="center"/>
          </w:tcPr>
          <w:p>
            <w:pPr>
              <w:pStyle w:val="TableContents"/>
              <w:bidi w:val="0"/>
              <w:spacing w:before="0" w:after="283"/>
              <w:jc w:val="left"/>
              <w:rPr/>
            </w:pPr>
            <w:r>
              <w:rPr/>
              <w:t>​</w:t>
            </w:r>
          </w:p>
        </w:tc>
      </w:tr>
      <w:tr>
        <w:trPr/>
        <w:tc>
          <w:tcPr>
            <w:tcW w:w="827" w:type="dxa"/>
            <w:tcBorders>
              <w:bottom w:val="single" w:sz="2" w:space="0" w:color="4B5088"/>
            </w:tcBorders>
            <w:tcMar>
              <w:bottom w:w="85" w:type="dxa"/>
            </w:tcMar>
            <w:vAlign w:val="center"/>
          </w:tcPr>
          <w:p>
            <w:pPr>
              <w:pStyle w:val="TableContents"/>
              <w:bidi w:val="0"/>
              <w:spacing w:before="0" w:after="0"/>
              <w:jc w:val="center"/>
              <w:rPr/>
            </w:pPr>
            <w:r>
              <w:rPr/>
              <w:drawing>
                <wp:inline distT="0" distB="0" distL="0" distR="0">
                  <wp:extent cx="457200" cy="561975"/>
                  <wp:effectExtent l="0" t="0" r="0" b="0"/>
                  <wp:docPr id="121"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42" descr=""/>
                          <pic:cNvPicPr>
                            <a:picLocks noChangeAspect="1" noChangeArrowheads="1"/>
                          </pic:cNvPicPr>
                        </pic:nvPicPr>
                        <pic:blipFill>
                          <a:blip r:embed="rId60"/>
                          <a:stretch>
                            <a:fillRect/>
                          </a:stretch>
                        </pic:blipFill>
                        <pic:spPr bwMode="auto">
                          <a:xfrm>
                            <a:off x="0" y="0"/>
                            <a:ext cx="457200" cy="561975"/>
                          </a:xfrm>
                          <a:prstGeom prst="rect">
                            <a:avLst/>
                          </a:prstGeom>
                        </pic:spPr>
                      </pic:pic>
                    </a:graphicData>
                  </a:graphic>
                </wp:inline>
              </w:drawing>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20" w:type="dxa"/>
            <w:tcBorders>
              <w:bottom w:val="single" w:sz="2" w:space="0" w:color="4B5088"/>
            </w:tcBorders>
            <w:vAlign w:val="center"/>
          </w:tcPr>
          <w:p>
            <w:pPr>
              <w:pStyle w:val="TableContents"/>
              <w:bidi w:val="0"/>
              <w:spacing w:lineRule="atLeast" w:line="220" w:before="0" w:after="0"/>
              <w:jc w:val="left"/>
              <w:rPr>
                <w:b/>
                <w:sz w:val="18"/>
              </w:rPr>
            </w:pPr>
            <w:r>
              <w:rPr>
                <w:b/>
                <w:spacing w:val="-2"/>
                <w:sz w:val="18"/>
              </w:rPr>
              <w:t>John H. Alschuler</w:t>
            </w:r>
            <w:r>
              <w:rPr>
                <w:b/>
                <w:sz w:val="18"/>
              </w:rPr>
              <w:t xml:space="preserve"> </w:t>
            </w:r>
          </w:p>
        </w:tc>
        <w:tc>
          <w:tcPr>
            <w:tcW w:w="109"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1515"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91" w:type="dxa"/>
            <w:tcBorders>
              <w:bottom w:val="single" w:sz="2" w:space="0" w:color="4B5088"/>
            </w:tcBorders>
            <w:vAlign w:val="center"/>
          </w:tcPr>
          <w:p>
            <w:pPr>
              <w:pStyle w:val="TableContents"/>
              <w:bidi w:val="0"/>
              <w:spacing w:lineRule="atLeast" w:line="220" w:before="0" w:after="0"/>
              <w:jc w:val="center"/>
              <w:rPr>
                <w:color w:val="000000"/>
                <w:spacing w:val="-2"/>
                <w:sz w:val="18"/>
              </w:rPr>
            </w:pPr>
            <w:r>
              <w:rPr>
                <w:color w:val="000000"/>
                <w:spacing w:val="-2"/>
                <w:sz w:val="18"/>
              </w:rPr>
              <w:t xml:space="preserve">78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60" w:type="dxa"/>
            <w:tcBorders>
              <w:bottom w:val="single" w:sz="2" w:space="0" w:color="4B5088"/>
            </w:tcBorders>
            <w:vAlign w:val="center"/>
          </w:tcPr>
          <w:p>
            <w:pPr>
              <w:pStyle w:val="TableContents"/>
              <w:bidi w:val="0"/>
              <w:spacing w:before="0" w:after="0"/>
              <w:jc w:val="center"/>
              <w:rPr/>
            </w:pPr>
            <w:r>
              <w:rPr/>
              <w:drawing>
                <wp:inline distT="0" distB="0" distL="0" distR="0">
                  <wp:extent cx="180975" cy="123825"/>
                  <wp:effectExtent l="0" t="0" r="0" b="0"/>
                  <wp:docPr id="122"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43" descr=""/>
                          <pic:cNvPicPr>
                            <a:picLocks noChangeAspect="1" noChangeArrowheads="1"/>
                          </pic:cNvPicPr>
                        </pic:nvPicPr>
                        <pic:blipFill>
                          <a:blip r:embed="rId61"/>
                          <a:stretch>
                            <a:fillRect/>
                          </a:stretch>
                        </pic:blipFill>
                        <pic:spPr bwMode="auto">
                          <a:xfrm>
                            <a:off x="0" y="0"/>
                            <a:ext cx="180975" cy="123825"/>
                          </a:xfrm>
                          <a:prstGeom prst="rect">
                            <a:avLst/>
                          </a:prstGeom>
                        </pic:spPr>
                      </pic:pic>
                    </a:graphicData>
                  </a:graphic>
                </wp:inline>
              </w:drawing>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11" w:type="dxa"/>
            <w:tcBorders>
              <w:bottom w:val="single" w:sz="2" w:space="0" w:color="4B5088"/>
            </w:tcBorders>
            <w:vAlign w:val="center"/>
          </w:tcPr>
          <w:p>
            <w:pPr>
              <w:pStyle w:val="TableContents"/>
              <w:bidi w:val="0"/>
              <w:spacing w:lineRule="atLeast" w:line="220" w:before="0" w:after="0"/>
              <w:jc w:val="center"/>
              <w:rPr>
                <w:color w:val="000000"/>
                <w:spacing w:val="-2"/>
                <w:sz w:val="18"/>
              </w:rPr>
            </w:pPr>
            <w:r>
              <w:rPr>
                <w:color w:val="000000"/>
                <w:spacing w:val="-2"/>
                <w:sz w:val="18"/>
              </w:rPr>
              <w:t xml:space="preserve">1997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34"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4B5088"/>
            </w:tcBorders>
            <w:shd w:fill="4B5088" w:val="clear"/>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322" w:type="dxa"/>
            <w:tcBorders>
              <w:bottom w:val="single" w:sz="2" w:space="0" w:color="4B5088"/>
            </w:tcBorders>
            <w:vAlign w:val="center"/>
          </w:tcPr>
          <w:p>
            <w:pPr>
              <w:pStyle w:val="TableContents"/>
              <w:bidi w:val="0"/>
              <w:spacing w:before="0" w:after="0"/>
              <w:jc w:val="center"/>
              <w:rPr>
                <w:b/>
                <w:sz w:val="22"/>
              </w:rPr>
            </w:pPr>
            <w:r>
              <w:rPr>
                <w:b/>
                <w:spacing w:val="-2"/>
                <w:sz w:val="22"/>
              </w:rPr>
              <w:t>M</w:t>
            </w:r>
            <w:r>
              <w:rPr>
                <w:b/>
                <w:sz w:val="22"/>
              </w:rPr>
              <w:t xml:space="preserve"> </w:t>
            </w:r>
          </w:p>
        </w:tc>
        <w:tc>
          <w:tcPr>
            <w:tcW w:w="109"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4B5088"/>
            </w:tcBorders>
            <w:shd w:fill="4B5088" w:val="clear"/>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554" w:type="dxa"/>
            <w:tcBorders>
              <w:bottom w:val="single" w:sz="2" w:space="0" w:color="4B5088"/>
            </w:tcBorders>
            <w:vAlign w:val="center"/>
          </w:tcPr>
          <w:p>
            <w:pPr>
              <w:pStyle w:val="TableContents"/>
              <w:bidi w:val="0"/>
              <w:spacing w:before="0" w:after="0"/>
              <w:jc w:val="center"/>
              <w:rPr>
                <w:b/>
                <w:sz w:val="22"/>
              </w:rPr>
            </w:pPr>
            <w:r>
              <w:rPr>
                <w:b/>
                <w:spacing w:val="-2"/>
                <w:sz w:val="22"/>
              </w:rPr>
              <w:t>M</w:t>
            </w:r>
            <w:r>
              <w:rPr>
                <w:b/>
                <w:sz w:val="22"/>
              </w:rPr>
              <w:t xml:space="preserve"> </w:t>
            </w:r>
          </w:p>
        </w:tc>
        <w:tc>
          <w:tcPr>
            <w:tcW w:w="109"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4B5088"/>
            </w:tcBorders>
            <w:shd w:fill="4B5088" w:val="clear"/>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322" w:type="dxa"/>
            <w:tcBorders>
              <w:bottom w:val="single" w:sz="2" w:space="0" w:color="4B5088"/>
            </w:tcBorders>
            <w:vAlign w:val="center"/>
          </w:tcPr>
          <w:p>
            <w:pPr>
              <w:pStyle w:val="TableContents"/>
              <w:bidi w:val="0"/>
              <w:spacing w:before="0" w:after="0"/>
              <w:jc w:val="center"/>
              <w:rPr>
                <w:b/>
                <w:sz w:val="22"/>
              </w:rPr>
            </w:pPr>
            <w:r>
              <w:rPr>
                <w:b/>
                <w:spacing w:val="-2"/>
                <w:sz w:val="22"/>
              </w:rPr>
              <w:t>M</w:t>
            </w:r>
            <w:r>
              <w:rPr>
                <w:b/>
                <w:sz w:val="22"/>
              </w:rPr>
              <w:t xml:space="preserve"> </w:t>
            </w:r>
          </w:p>
        </w:tc>
        <w:tc>
          <w:tcPr>
            <w:tcW w:w="160" w:type="dxa"/>
            <w:tcBorders>
              <w:bottom w:val="single" w:sz="2" w:space="0" w:color="4B5088"/>
            </w:tcBorders>
            <w:vAlign w:val="center"/>
          </w:tcPr>
          <w:p>
            <w:pPr>
              <w:pStyle w:val="TableContents"/>
              <w:bidi w:val="0"/>
              <w:spacing w:before="0" w:after="283"/>
              <w:jc w:val="left"/>
              <w:rPr/>
            </w:pPr>
            <w:r>
              <w:rPr/>
              <w:t>​</w:t>
            </w:r>
          </w:p>
        </w:tc>
      </w:tr>
      <w:tr>
        <w:trPr/>
        <w:tc>
          <w:tcPr>
            <w:tcW w:w="827" w:type="dxa"/>
            <w:tcBorders>
              <w:bottom w:val="single" w:sz="2" w:space="0" w:color="4B5088"/>
            </w:tcBorders>
            <w:tcMar>
              <w:bottom w:w="85" w:type="dxa"/>
            </w:tcMar>
            <w:vAlign w:val="center"/>
          </w:tcPr>
          <w:p>
            <w:pPr>
              <w:pStyle w:val="TableContents"/>
              <w:bidi w:val="0"/>
              <w:spacing w:before="0" w:after="0"/>
              <w:jc w:val="center"/>
              <w:rPr/>
            </w:pPr>
            <w:r>
              <w:rPr/>
              <w:drawing>
                <wp:inline distT="0" distB="0" distL="0" distR="0">
                  <wp:extent cx="447675" cy="552450"/>
                  <wp:effectExtent l="0" t="0" r="0" b="0"/>
                  <wp:docPr id="123"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44" descr=""/>
                          <pic:cNvPicPr>
                            <a:picLocks noChangeAspect="1" noChangeArrowheads="1"/>
                          </pic:cNvPicPr>
                        </pic:nvPicPr>
                        <pic:blipFill>
                          <a:blip r:embed="rId62"/>
                          <a:stretch>
                            <a:fillRect/>
                          </a:stretch>
                        </pic:blipFill>
                        <pic:spPr bwMode="auto">
                          <a:xfrm>
                            <a:off x="0" y="0"/>
                            <a:ext cx="447675" cy="552450"/>
                          </a:xfrm>
                          <a:prstGeom prst="rect">
                            <a:avLst/>
                          </a:prstGeom>
                        </pic:spPr>
                      </pic:pic>
                    </a:graphicData>
                  </a:graphic>
                </wp:inline>
              </w:drawing>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20" w:type="dxa"/>
            <w:tcBorders>
              <w:bottom w:val="single" w:sz="2" w:space="0" w:color="4B5088"/>
            </w:tcBorders>
            <w:vAlign w:val="center"/>
          </w:tcPr>
          <w:p>
            <w:pPr>
              <w:pStyle w:val="TableContents"/>
              <w:bidi w:val="0"/>
              <w:spacing w:lineRule="atLeast" w:line="220" w:before="0" w:after="0"/>
              <w:jc w:val="left"/>
              <w:rPr>
                <w:b/>
                <w:sz w:val="18"/>
              </w:rPr>
            </w:pPr>
            <w:r>
              <w:rPr>
                <w:b/>
                <w:spacing w:val="-2"/>
                <w:sz w:val="18"/>
              </w:rPr>
              <w:t>Carol N. Brown</w:t>
            </w:r>
            <w:r>
              <w:rPr>
                <w:b/>
                <w:sz w:val="18"/>
              </w:rPr>
              <w:t xml:space="preserve"> </w:t>
            </w:r>
          </w:p>
        </w:tc>
        <w:tc>
          <w:tcPr>
            <w:tcW w:w="109"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1515"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91" w:type="dxa"/>
            <w:tcBorders>
              <w:bottom w:val="single" w:sz="2" w:space="0" w:color="4B5088"/>
            </w:tcBorders>
            <w:vAlign w:val="center"/>
          </w:tcPr>
          <w:p>
            <w:pPr>
              <w:pStyle w:val="TableContents"/>
              <w:bidi w:val="0"/>
              <w:spacing w:lineRule="atLeast" w:line="220" w:before="0" w:after="0"/>
              <w:jc w:val="center"/>
              <w:rPr>
                <w:color w:val="000000"/>
                <w:spacing w:val="-2"/>
                <w:sz w:val="18"/>
              </w:rPr>
            </w:pPr>
            <w:r>
              <w:rPr>
                <w:color w:val="000000"/>
                <w:spacing w:val="-2"/>
                <w:sz w:val="18"/>
              </w:rPr>
              <w:t xml:space="preserve">56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60" w:type="dxa"/>
            <w:tcBorders>
              <w:bottom w:val="single" w:sz="2" w:space="0" w:color="4B5088"/>
            </w:tcBorders>
            <w:vAlign w:val="center"/>
          </w:tcPr>
          <w:p>
            <w:pPr>
              <w:pStyle w:val="TableContents"/>
              <w:bidi w:val="0"/>
              <w:spacing w:before="0" w:after="0"/>
              <w:jc w:val="center"/>
              <w:rPr/>
            </w:pPr>
            <w:r>
              <w:rPr/>
              <w:drawing>
                <wp:inline distT="0" distB="0" distL="0" distR="0">
                  <wp:extent cx="180975" cy="123825"/>
                  <wp:effectExtent l="0" t="0" r="0" b="0"/>
                  <wp:docPr id="124"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45" descr=""/>
                          <pic:cNvPicPr>
                            <a:picLocks noChangeAspect="1" noChangeArrowheads="1"/>
                          </pic:cNvPicPr>
                        </pic:nvPicPr>
                        <pic:blipFill>
                          <a:blip r:embed="rId63"/>
                          <a:stretch>
                            <a:fillRect/>
                          </a:stretch>
                        </pic:blipFill>
                        <pic:spPr bwMode="auto">
                          <a:xfrm>
                            <a:off x="0" y="0"/>
                            <a:ext cx="180975" cy="123825"/>
                          </a:xfrm>
                          <a:prstGeom prst="rect">
                            <a:avLst/>
                          </a:prstGeom>
                        </pic:spPr>
                      </pic:pic>
                    </a:graphicData>
                  </a:graphic>
                </wp:inline>
              </w:drawing>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11" w:type="dxa"/>
            <w:tcBorders>
              <w:bottom w:val="single" w:sz="2" w:space="0" w:color="4B5088"/>
            </w:tcBorders>
            <w:vAlign w:val="center"/>
          </w:tcPr>
          <w:p>
            <w:pPr>
              <w:pStyle w:val="TableContents"/>
              <w:bidi w:val="0"/>
              <w:spacing w:lineRule="atLeast" w:line="220" w:before="0" w:after="0"/>
              <w:jc w:val="center"/>
              <w:rPr>
                <w:color w:val="000000"/>
                <w:spacing w:val="-2"/>
                <w:sz w:val="18"/>
              </w:rPr>
            </w:pPr>
            <w:r>
              <w:rPr>
                <w:color w:val="000000"/>
                <w:spacing w:val="-2"/>
                <w:sz w:val="18"/>
              </w:rPr>
              <w:t xml:space="preserve">2022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34" w:type="dxa"/>
            <w:tcBorders>
              <w:bottom w:val="single" w:sz="2" w:space="0" w:color="4B5088"/>
            </w:tcBorders>
            <w:vAlign w:val="center"/>
          </w:tcPr>
          <w:p>
            <w:pPr>
              <w:pStyle w:val="TableContents"/>
              <w:bidi w:val="0"/>
              <w:spacing w:before="0" w:after="0"/>
              <w:jc w:val="center"/>
              <w:rPr>
                <w:b/>
                <w:sz w:val="22"/>
              </w:rPr>
            </w:pPr>
            <w:r>
              <w:rPr>
                <w:b/>
                <w:spacing w:val="-2"/>
                <w:sz w:val="22"/>
              </w:rPr>
              <w:t>M</w:t>
            </w:r>
            <w:r>
              <w:rPr>
                <w:b/>
                <w:sz w:val="22"/>
              </w:rPr>
              <w:t xml:space="preserve"> </w:t>
            </w:r>
          </w:p>
        </w:tc>
        <w:tc>
          <w:tcPr>
            <w:tcW w:w="109"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4B5088"/>
            </w:tcBorders>
            <w:shd w:fill="4B5088" w:val="clear"/>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322"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4B5088"/>
            </w:tcBorders>
            <w:shd w:fill="4B5088" w:val="clear"/>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554" w:type="dxa"/>
            <w:tcBorders>
              <w:bottom w:val="single" w:sz="2" w:space="0" w:color="4B5088"/>
            </w:tcBorders>
            <w:vAlign w:val="center"/>
          </w:tcPr>
          <w:p>
            <w:pPr>
              <w:pStyle w:val="TableContents"/>
              <w:bidi w:val="0"/>
              <w:spacing w:before="0" w:after="0"/>
              <w:jc w:val="center"/>
              <w:rPr>
                <w:b/>
                <w:sz w:val="22"/>
              </w:rPr>
            </w:pPr>
            <w:r>
              <w:rPr>
                <w:b/>
                <w:spacing w:val="-2"/>
                <w:sz w:val="22"/>
              </w:rPr>
              <w:t>M</w:t>
            </w:r>
            <w:r>
              <w:rPr>
                <w:b/>
                <w:sz w:val="22"/>
              </w:rPr>
              <w:t xml:space="preserve"> </w:t>
            </w:r>
          </w:p>
        </w:tc>
        <w:tc>
          <w:tcPr>
            <w:tcW w:w="109"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4B5088"/>
            </w:tcBorders>
            <w:shd w:fill="4B5088" w:val="clear"/>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322" w:type="dxa"/>
            <w:tcBorders>
              <w:bottom w:val="single" w:sz="2" w:space="0" w:color="4B5088"/>
            </w:tcBorders>
            <w:vAlign w:val="center"/>
          </w:tcPr>
          <w:p>
            <w:pPr>
              <w:pStyle w:val="TableContents"/>
              <w:bidi w:val="0"/>
              <w:spacing w:before="0" w:after="283"/>
              <w:jc w:val="left"/>
              <w:rPr/>
            </w:pPr>
            <w:r>
              <w:rPr/>
              <w:t>​</w:t>
            </w:r>
          </w:p>
        </w:tc>
        <w:tc>
          <w:tcPr>
            <w:tcW w:w="160" w:type="dxa"/>
            <w:tcBorders>
              <w:bottom w:val="single" w:sz="2" w:space="0" w:color="4B5088"/>
            </w:tcBorders>
            <w:vAlign w:val="center"/>
          </w:tcPr>
          <w:p>
            <w:pPr>
              <w:pStyle w:val="TableContents"/>
              <w:bidi w:val="0"/>
              <w:spacing w:before="0" w:after="283"/>
              <w:jc w:val="left"/>
              <w:rPr/>
            </w:pPr>
            <w:r>
              <w:rPr/>
              <w:t>​</w:t>
            </w:r>
          </w:p>
        </w:tc>
      </w:tr>
      <w:tr>
        <w:trPr/>
        <w:tc>
          <w:tcPr>
            <w:tcW w:w="827" w:type="dxa"/>
            <w:tcBorders>
              <w:bottom w:val="single" w:sz="2" w:space="0" w:color="4B5088"/>
            </w:tcBorders>
            <w:tcMar>
              <w:bottom w:w="85" w:type="dxa"/>
            </w:tcMar>
            <w:vAlign w:val="center"/>
          </w:tcPr>
          <w:p>
            <w:pPr>
              <w:pStyle w:val="TableContents"/>
              <w:bidi w:val="0"/>
              <w:spacing w:before="0" w:after="0"/>
              <w:jc w:val="center"/>
              <w:rPr/>
            </w:pPr>
            <w:r>
              <w:rPr/>
              <w:drawing>
                <wp:inline distT="0" distB="0" distL="0" distR="0">
                  <wp:extent cx="447675" cy="561975"/>
                  <wp:effectExtent l="0" t="0" r="0" b="0"/>
                  <wp:docPr id="125"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46" descr=""/>
                          <pic:cNvPicPr>
                            <a:picLocks noChangeAspect="1" noChangeArrowheads="1"/>
                          </pic:cNvPicPr>
                        </pic:nvPicPr>
                        <pic:blipFill>
                          <a:blip r:embed="rId64"/>
                          <a:stretch>
                            <a:fillRect/>
                          </a:stretch>
                        </pic:blipFill>
                        <pic:spPr bwMode="auto">
                          <a:xfrm>
                            <a:off x="0" y="0"/>
                            <a:ext cx="447675" cy="561975"/>
                          </a:xfrm>
                          <a:prstGeom prst="rect">
                            <a:avLst/>
                          </a:prstGeom>
                        </pic:spPr>
                      </pic:pic>
                    </a:graphicData>
                  </a:graphic>
                </wp:inline>
              </w:drawing>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20" w:type="dxa"/>
            <w:tcBorders>
              <w:bottom w:val="single" w:sz="2" w:space="0" w:color="4B5088"/>
            </w:tcBorders>
            <w:vAlign w:val="center"/>
          </w:tcPr>
          <w:p>
            <w:pPr>
              <w:pStyle w:val="TableContents"/>
              <w:bidi w:val="0"/>
              <w:spacing w:lineRule="atLeast" w:line="220" w:before="0" w:after="0"/>
              <w:jc w:val="left"/>
              <w:rPr>
                <w:b/>
                <w:sz w:val="18"/>
              </w:rPr>
            </w:pPr>
            <w:r>
              <w:rPr>
                <w:b/>
                <w:spacing w:val="-2"/>
                <w:sz w:val="18"/>
              </w:rPr>
              <w:t>Lauren B. Dillard</w:t>
            </w:r>
            <w:r>
              <w:rPr>
                <w:b/>
                <w:sz w:val="18"/>
              </w:rPr>
              <w:t xml:space="preserve"> </w:t>
            </w:r>
          </w:p>
        </w:tc>
        <w:tc>
          <w:tcPr>
            <w:tcW w:w="109"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1515"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91" w:type="dxa"/>
            <w:tcBorders>
              <w:bottom w:val="single" w:sz="2" w:space="0" w:color="4B5088"/>
            </w:tcBorders>
            <w:vAlign w:val="center"/>
          </w:tcPr>
          <w:p>
            <w:pPr>
              <w:pStyle w:val="TableContents"/>
              <w:bidi w:val="0"/>
              <w:spacing w:lineRule="atLeast" w:line="220" w:before="0" w:after="0"/>
              <w:jc w:val="center"/>
              <w:rPr>
                <w:color w:val="000000"/>
                <w:spacing w:val="-2"/>
                <w:sz w:val="18"/>
              </w:rPr>
            </w:pPr>
            <w:r>
              <w:rPr>
                <w:color w:val="000000"/>
                <w:spacing w:val="-2"/>
                <w:sz w:val="18"/>
              </w:rPr>
              <w:t xml:space="preserve">50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60" w:type="dxa"/>
            <w:tcBorders>
              <w:bottom w:val="single" w:sz="2" w:space="0" w:color="4B5088"/>
            </w:tcBorders>
            <w:vAlign w:val="center"/>
          </w:tcPr>
          <w:p>
            <w:pPr>
              <w:pStyle w:val="TableContents"/>
              <w:bidi w:val="0"/>
              <w:spacing w:before="0" w:after="0"/>
              <w:jc w:val="center"/>
              <w:rPr/>
            </w:pPr>
            <w:r>
              <w:rPr/>
              <w:drawing>
                <wp:inline distT="0" distB="0" distL="0" distR="0">
                  <wp:extent cx="180975" cy="123825"/>
                  <wp:effectExtent l="0" t="0" r="0" b="0"/>
                  <wp:docPr id="126"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47" descr=""/>
                          <pic:cNvPicPr>
                            <a:picLocks noChangeAspect="1" noChangeArrowheads="1"/>
                          </pic:cNvPicPr>
                        </pic:nvPicPr>
                        <pic:blipFill>
                          <a:blip r:embed="rId65"/>
                          <a:stretch>
                            <a:fillRect/>
                          </a:stretch>
                        </pic:blipFill>
                        <pic:spPr bwMode="auto">
                          <a:xfrm>
                            <a:off x="0" y="0"/>
                            <a:ext cx="180975" cy="123825"/>
                          </a:xfrm>
                          <a:prstGeom prst="rect">
                            <a:avLst/>
                          </a:prstGeom>
                        </pic:spPr>
                      </pic:pic>
                    </a:graphicData>
                  </a:graphic>
                </wp:inline>
              </w:drawing>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11" w:type="dxa"/>
            <w:tcBorders>
              <w:bottom w:val="single" w:sz="2" w:space="0" w:color="4B5088"/>
            </w:tcBorders>
            <w:vAlign w:val="center"/>
          </w:tcPr>
          <w:p>
            <w:pPr>
              <w:pStyle w:val="TableContents"/>
              <w:bidi w:val="0"/>
              <w:spacing w:lineRule="atLeast" w:line="220" w:before="0" w:after="0"/>
              <w:jc w:val="center"/>
              <w:rPr>
                <w:color w:val="000000"/>
                <w:spacing w:val="-2"/>
                <w:sz w:val="18"/>
              </w:rPr>
            </w:pPr>
            <w:r>
              <w:rPr>
                <w:color w:val="000000"/>
                <w:spacing w:val="-2"/>
                <w:sz w:val="18"/>
              </w:rPr>
              <w:t xml:space="preserve">2016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34" w:type="dxa"/>
            <w:tcBorders>
              <w:bottom w:val="single" w:sz="2" w:space="0" w:color="4B5088"/>
            </w:tcBorders>
            <w:vAlign w:val="center"/>
          </w:tcPr>
          <w:p>
            <w:pPr>
              <w:pStyle w:val="TableContents"/>
              <w:bidi w:val="0"/>
              <w:spacing w:before="0" w:after="0"/>
              <w:jc w:val="center"/>
              <w:rPr>
                <w:b/>
                <w:color w:val="83AD40"/>
                <w:sz w:val="22"/>
              </w:rPr>
            </w:pPr>
            <w:r>
              <w:rPr>
                <w:b/>
                <w:color w:val="83AD40"/>
                <w:spacing w:val="-2"/>
                <w:sz w:val="22"/>
              </w:rPr>
              <w:t>C</w:t>
            </w:r>
            <w:r>
              <w:rPr>
                <w:b/>
                <w:color w:val="83AD40"/>
                <w:sz w:val="22"/>
              </w:rPr>
              <w:t xml:space="preserve"> </w:t>
            </w:r>
          </w:p>
        </w:tc>
        <w:tc>
          <w:tcPr>
            <w:tcW w:w="109"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4B5088"/>
            </w:tcBorders>
            <w:shd w:fill="4B5088" w:val="clear"/>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322" w:type="dxa"/>
            <w:tcBorders>
              <w:bottom w:val="single" w:sz="2" w:space="0" w:color="4B5088"/>
            </w:tcBorders>
            <w:vAlign w:val="center"/>
          </w:tcPr>
          <w:p>
            <w:pPr>
              <w:pStyle w:val="TableContents"/>
              <w:bidi w:val="0"/>
              <w:spacing w:before="0" w:after="0"/>
              <w:jc w:val="center"/>
              <w:rPr>
                <w:b/>
                <w:sz w:val="22"/>
              </w:rPr>
            </w:pPr>
            <w:r>
              <w:rPr>
                <w:b/>
                <w:spacing w:val="-2"/>
                <w:sz w:val="22"/>
              </w:rPr>
              <w:t>M</w:t>
            </w:r>
            <w:r>
              <w:rPr>
                <w:b/>
                <w:sz w:val="22"/>
              </w:rPr>
              <w:t xml:space="preserve"> </w:t>
            </w:r>
          </w:p>
        </w:tc>
        <w:tc>
          <w:tcPr>
            <w:tcW w:w="109"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4B5088"/>
            </w:tcBorders>
            <w:shd w:fill="4B5088" w:val="clear"/>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554"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4B5088"/>
            </w:tcBorders>
            <w:shd w:fill="4B5088" w:val="clear"/>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322" w:type="dxa"/>
            <w:tcBorders>
              <w:bottom w:val="single" w:sz="2" w:space="0" w:color="4B5088"/>
            </w:tcBorders>
            <w:vAlign w:val="center"/>
          </w:tcPr>
          <w:p>
            <w:pPr>
              <w:pStyle w:val="TableContents"/>
              <w:bidi w:val="0"/>
              <w:spacing w:before="0" w:after="283"/>
              <w:jc w:val="left"/>
              <w:rPr/>
            </w:pPr>
            <w:r>
              <w:rPr/>
              <w:t>​</w:t>
            </w:r>
          </w:p>
        </w:tc>
        <w:tc>
          <w:tcPr>
            <w:tcW w:w="160" w:type="dxa"/>
            <w:tcBorders>
              <w:bottom w:val="single" w:sz="2" w:space="0" w:color="4B5088"/>
            </w:tcBorders>
            <w:vAlign w:val="center"/>
          </w:tcPr>
          <w:p>
            <w:pPr>
              <w:pStyle w:val="TableContents"/>
              <w:bidi w:val="0"/>
              <w:spacing w:before="0" w:after="283"/>
              <w:jc w:val="left"/>
              <w:rPr/>
            </w:pPr>
            <w:r>
              <w:rPr/>
              <w:t>​</w:t>
            </w:r>
          </w:p>
        </w:tc>
      </w:tr>
      <w:tr>
        <w:trPr/>
        <w:tc>
          <w:tcPr>
            <w:tcW w:w="827" w:type="dxa"/>
            <w:tcBorders>
              <w:bottom w:val="single" w:sz="2" w:space="0" w:color="4B5088"/>
            </w:tcBorders>
            <w:tcMar>
              <w:bottom w:w="85" w:type="dxa"/>
            </w:tcMar>
            <w:vAlign w:val="center"/>
          </w:tcPr>
          <w:p>
            <w:pPr>
              <w:pStyle w:val="TableContents"/>
              <w:bidi w:val="0"/>
              <w:spacing w:before="0" w:after="0"/>
              <w:jc w:val="center"/>
              <w:rPr/>
            </w:pPr>
            <w:r>
              <w:rPr/>
              <w:drawing>
                <wp:inline distT="0" distB="0" distL="0" distR="0">
                  <wp:extent cx="447675" cy="561975"/>
                  <wp:effectExtent l="0" t="0" r="0" b="0"/>
                  <wp:docPr id="127"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48" descr=""/>
                          <pic:cNvPicPr>
                            <a:picLocks noChangeAspect="1" noChangeArrowheads="1"/>
                          </pic:cNvPicPr>
                        </pic:nvPicPr>
                        <pic:blipFill>
                          <a:blip r:embed="rId66"/>
                          <a:stretch>
                            <a:fillRect/>
                          </a:stretch>
                        </pic:blipFill>
                        <pic:spPr bwMode="auto">
                          <a:xfrm>
                            <a:off x="0" y="0"/>
                            <a:ext cx="447675" cy="561975"/>
                          </a:xfrm>
                          <a:prstGeom prst="rect">
                            <a:avLst/>
                          </a:prstGeom>
                        </pic:spPr>
                      </pic:pic>
                    </a:graphicData>
                  </a:graphic>
                </wp:inline>
              </w:drawing>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20" w:type="dxa"/>
            <w:tcBorders>
              <w:bottom w:val="single" w:sz="2" w:space="0" w:color="4B5088"/>
            </w:tcBorders>
            <w:vAlign w:val="center"/>
          </w:tcPr>
          <w:p>
            <w:pPr>
              <w:pStyle w:val="TableContents"/>
              <w:bidi w:val="0"/>
              <w:spacing w:lineRule="atLeast" w:line="220" w:before="0" w:after="0"/>
              <w:jc w:val="left"/>
              <w:rPr>
                <w:b/>
                <w:sz w:val="18"/>
              </w:rPr>
            </w:pPr>
            <w:r>
              <w:rPr>
                <w:b/>
                <w:spacing w:val="-2"/>
                <w:sz w:val="18"/>
              </w:rPr>
              <w:t>Stephen L. Green</w:t>
            </w:r>
            <w:r>
              <w:rPr>
                <w:b/>
                <w:sz w:val="18"/>
              </w:rPr>
              <w:t xml:space="preserve"> </w:t>
            </w:r>
          </w:p>
        </w:tc>
        <w:tc>
          <w:tcPr>
            <w:tcW w:w="109"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1515"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91" w:type="dxa"/>
            <w:tcBorders>
              <w:bottom w:val="single" w:sz="2" w:space="0" w:color="4B5088"/>
            </w:tcBorders>
            <w:vAlign w:val="center"/>
          </w:tcPr>
          <w:p>
            <w:pPr>
              <w:pStyle w:val="TableContents"/>
              <w:bidi w:val="0"/>
              <w:spacing w:lineRule="atLeast" w:line="220" w:before="0" w:after="0"/>
              <w:jc w:val="center"/>
              <w:rPr>
                <w:color w:val="000000"/>
                <w:spacing w:val="-2"/>
                <w:sz w:val="18"/>
              </w:rPr>
            </w:pPr>
            <w:r>
              <w:rPr>
                <w:color w:val="000000"/>
                <w:spacing w:val="-2"/>
                <w:sz w:val="18"/>
              </w:rPr>
              <w:t xml:space="preserve">88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60"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11" w:type="dxa"/>
            <w:tcBorders>
              <w:bottom w:val="single" w:sz="2" w:space="0" w:color="4B5088"/>
            </w:tcBorders>
            <w:vAlign w:val="center"/>
          </w:tcPr>
          <w:p>
            <w:pPr>
              <w:pStyle w:val="TableContents"/>
              <w:bidi w:val="0"/>
              <w:spacing w:lineRule="atLeast" w:line="220" w:before="0" w:after="0"/>
              <w:jc w:val="center"/>
              <w:rPr>
                <w:color w:val="000000"/>
                <w:spacing w:val="-2"/>
                <w:sz w:val="18"/>
              </w:rPr>
            </w:pPr>
            <w:r>
              <w:rPr>
                <w:color w:val="000000"/>
                <w:spacing w:val="-2"/>
                <w:sz w:val="18"/>
              </w:rPr>
              <w:t xml:space="preserve">1997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34"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4B5088"/>
            </w:tcBorders>
            <w:shd w:fill="4B5088" w:val="clear"/>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322"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4B5088"/>
            </w:tcBorders>
            <w:shd w:fill="4B5088" w:val="clear"/>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554"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4B5088"/>
            </w:tcBorders>
            <w:shd w:fill="4B5088" w:val="clear"/>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322" w:type="dxa"/>
            <w:tcBorders>
              <w:bottom w:val="single" w:sz="2" w:space="0" w:color="4B5088"/>
            </w:tcBorders>
            <w:vAlign w:val="center"/>
          </w:tcPr>
          <w:p>
            <w:pPr>
              <w:pStyle w:val="TableContents"/>
              <w:bidi w:val="0"/>
              <w:spacing w:before="0" w:after="0"/>
              <w:jc w:val="center"/>
              <w:rPr>
                <w:b/>
                <w:sz w:val="22"/>
              </w:rPr>
            </w:pPr>
            <w:r>
              <w:rPr>
                <w:b/>
                <w:spacing w:val="-2"/>
                <w:sz w:val="22"/>
              </w:rPr>
              <w:t>M</w:t>
            </w:r>
            <w:r>
              <w:rPr>
                <w:b/>
                <w:sz w:val="22"/>
              </w:rPr>
              <w:t xml:space="preserve"> </w:t>
            </w:r>
          </w:p>
        </w:tc>
        <w:tc>
          <w:tcPr>
            <w:tcW w:w="160" w:type="dxa"/>
            <w:tcBorders>
              <w:bottom w:val="single" w:sz="2" w:space="0" w:color="4B5088"/>
            </w:tcBorders>
            <w:vAlign w:val="center"/>
          </w:tcPr>
          <w:p>
            <w:pPr>
              <w:pStyle w:val="TableContents"/>
              <w:bidi w:val="0"/>
              <w:spacing w:before="0" w:after="283"/>
              <w:jc w:val="left"/>
              <w:rPr/>
            </w:pPr>
            <w:r>
              <w:rPr/>
              <w:t>​</w:t>
            </w:r>
          </w:p>
        </w:tc>
      </w:tr>
      <w:tr>
        <w:trPr/>
        <w:tc>
          <w:tcPr>
            <w:tcW w:w="827" w:type="dxa"/>
            <w:tcBorders>
              <w:bottom w:val="single" w:sz="2" w:space="0" w:color="4B5088"/>
            </w:tcBorders>
            <w:tcMar>
              <w:bottom w:w="85" w:type="dxa"/>
            </w:tcMar>
            <w:vAlign w:val="center"/>
          </w:tcPr>
          <w:p>
            <w:pPr>
              <w:pStyle w:val="TableContents"/>
              <w:bidi w:val="0"/>
              <w:spacing w:before="0" w:after="0"/>
              <w:jc w:val="center"/>
              <w:rPr/>
            </w:pPr>
            <w:r>
              <w:rPr/>
              <w:drawing>
                <wp:inline distT="0" distB="0" distL="0" distR="0">
                  <wp:extent cx="447675" cy="561975"/>
                  <wp:effectExtent l="0" t="0" r="0" b="0"/>
                  <wp:docPr id="128"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49" descr=""/>
                          <pic:cNvPicPr>
                            <a:picLocks noChangeAspect="1" noChangeArrowheads="1"/>
                          </pic:cNvPicPr>
                        </pic:nvPicPr>
                        <pic:blipFill>
                          <a:blip r:embed="rId67"/>
                          <a:stretch>
                            <a:fillRect/>
                          </a:stretch>
                        </pic:blipFill>
                        <pic:spPr bwMode="auto">
                          <a:xfrm>
                            <a:off x="0" y="0"/>
                            <a:ext cx="447675" cy="561975"/>
                          </a:xfrm>
                          <a:prstGeom prst="rect">
                            <a:avLst/>
                          </a:prstGeom>
                        </pic:spPr>
                      </pic:pic>
                    </a:graphicData>
                  </a:graphic>
                </wp:inline>
              </w:drawing>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20" w:type="dxa"/>
            <w:tcBorders>
              <w:bottom w:val="single" w:sz="2" w:space="0" w:color="4B5088"/>
            </w:tcBorders>
            <w:vAlign w:val="center"/>
          </w:tcPr>
          <w:p>
            <w:pPr>
              <w:pStyle w:val="TableContents"/>
              <w:bidi w:val="0"/>
              <w:spacing w:lineRule="atLeast" w:line="220" w:before="0" w:after="0"/>
              <w:jc w:val="left"/>
              <w:rPr>
                <w:b/>
                <w:color w:val="1F2668"/>
                <w:sz w:val="18"/>
              </w:rPr>
            </w:pPr>
            <w:r>
              <w:rPr>
                <w:b/>
                <w:color w:val="1F2668"/>
                <w:spacing w:val="-2"/>
                <w:sz w:val="18"/>
              </w:rPr>
              <w:t>Craig M. Hatkoff</w:t>
            </w:r>
            <w:r>
              <w:rPr>
                <w:b/>
                <w:color w:val="1F2668"/>
                <w:sz w:val="18"/>
              </w:rPr>
              <w:t xml:space="preserve"> </w:t>
            </w:r>
          </w:p>
        </w:tc>
        <w:tc>
          <w:tcPr>
            <w:tcW w:w="109"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1515" w:type="dxa"/>
            <w:tcBorders>
              <w:bottom w:val="single" w:sz="2" w:space="0" w:color="4B5088"/>
            </w:tcBorders>
            <w:vAlign w:val="center"/>
          </w:tcPr>
          <w:p>
            <w:pPr>
              <w:pStyle w:val="TableContents"/>
              <w:bidi w:val="0"/>
              <w:spacing w:lineRule="atLeast" w:line="200" w:before="0" w:after="0"/>
              <w:ind w:left="160" w:right="0" w:hanging="0"/>
              <w:jc w:val="left"/>
              <w:rPr>
                <w:sz w:val="16"/>
              </w:rPr>
            </w:pPr>
            <w:r>
              <w:rPr>
                <w:spacing w:val="-2"/>
                <w:sz w:val="16"/>
              </w:rPr>
              <w:t>Jaguar Global Growth Corporation I</w:t>
            </w:r>
            <w:r>
              <w:rPr>
                <w:sz w:val="16"/>
              </w:rPr>
              <w:t xml:space="preserve"> </w:t>
            </w:r>
            <w:r>
              <mc:AlternateContent>
                <mc:Choice Requires="wps">
                  <w:drawing>
                    <wp:anchor behindDoc="0" distT="0" distB="0" distL="0" distR="0" simplePos="0" locked="0" layoutInCell="1" allowOverlap="1" relativeHeight="366">
                      <wp:simplePos x="0" y="0"/>
                      <wp:positionH relativeFrom="column">
                        <wp:align>left</wp:align>
                      </wp:positionH>
                      <wp:positionV relativeFrom="line">
                        <wp:posOffset>635</wp:posOffset>
                      </wp:positionV>
                      <wp:extent cx="101600" cy="350520"/>
                      <wp:effectExtent l="0" t="0" r="0" b="0"/>
                      <wp:wrapSquare wrapText="right"/>
                      <wp:docPr id="129" name="Frame69"/>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sz w:val="16"/>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sz w:val="16"/>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60" w:before="100" w:after="0"/>
              <w:ind w:left="160" w:right="0" w:hanging="0"/>
              <w:jc w:val="left"/>
              <w:rPr>
                <w:spacing w:val="-2"/>
                <w:sz w:val="16"/>
              </w:rPr>
            </w:pPr>
            <w:r>
              <w:rPr>
                <w:spacing w:val="-2"/>
                <w:sz w:val="16"/>
              </w:rPr>
              <w:t xml:space="preserve">Captivision Inc. </w:t>
            </w:r>
            <w:r>
              <mc:AlternateContent>
                <mc:Choice Requires="wps">
                  <w:drawing>
                    <wp:anchor behindDoc="0" distT="63500" distB="0" distL="0" distR="0" simplePos="0" locked="0" layoutInCell="1" allowOverlap="1" relativeHeight="367">
                      <wp:simplePos x="0" y="0"/>
                      <wp:positionH relativeFrom="column">
                        <wp:align>left</wp:align>
                      </wp:positionH>
                      <wp:positionV relativeFrom="line">
                        <wp:align>top</wp:align>
                      </wp:positionV>
                      <wp:extent cx="101600" cy="350520"/>
                      <wp:effectExtent l="0" t="0" r="0" b="0"/>
                      <wp:wrapSquare wrapText="right"/>
                      <wp:docPr id="130" name="Frame70"/>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60" w:before="0" w:after="283"/>
                                    <w:jc w:val="left"/>
                                    <w:rPr/>
                                  </w:pPr>
                                  <w:r>
                                    <w:rPr>
                                      <w:spacing w:val="-2"/>
                                    </w:rPr>
                                    <w:t>•</w:t>
                                  </w:r>
                                  <w:r>
                                    <w:rPr/>
                                    <w:t xml:space="preserve"> </w:t>
                                  </w:r>
                                  <w:r>
                                    <w:rPr>
                                      <w:sz w:val="16"/>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160" w:before="0" w:after="283"/>
                              <w:jc w:val="left"/>
                              <w:rPr/>
                            </w:pPr>
                            <w:r>
                              <w:rPr>
                                <w:spacing w:val="-2"/>
                              </w:rPr>
                              <w:t>•</w:t>
                            </w:r>
                            <w:r>
                              <w:rPr/>
                              <w:t xml:space="preserve"> </w:t>
                            </w:r>
                            <w:r>
                              <w:rPr>
                                <w:sz w:val="16"/>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91" w:type="dxa"/>
            <w:tcBorders>
              <w:bottom w:val="single" w:sz="2" w:space="0" w:color="4B5088"/>
            </w:tcBorders>
            <w:vAlign w:val="center"/>
          </w:tcPr>
          <w:p>
            <w:pPr>
              <w:pStyle w:val="TableContents"/>
              <w:bidi w:val="0"/>
              <w:spacing w:lineRule="atLeast" w:line="220" w:before="0" w:after="0"/>
              <w:jc w:val="center"/>
              <w:rPr>
                <w:spacing w:val="-2"/>
                <w:sz w:val="18"/>
              </w:rPr>
            </w:pPr>
            <w:r>
              <w:rPr>
                <w:spacing w:val="-2"/>
                <w:sz w:val="18"/>
              </w:rPr>
              <w:t xml:space="preserve">72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60" w:type="dxa"/>
            <w:tcBorders>
              <w:bottom w:val="single" w:sz="2" w:space="0" w:color="4B5088"/>
            </w:tcBorders>
            <w:vAlign w:val="center"/>
          </w:tcPr>
          <w:p>
            <w:pPr>
              <w:pStyle w:val="TableContents"/>
              <w:bidi w:val="0"/>
              <w:spacing w:before="0" w:after="0"/>
              <w:jc w:val="center"/>
              <w:rPr/>
            </w:pPr>
            <w:r>
              <w:rPr/>
              <w:drawing>
                <wp:inline distT="0" distB="0" distL="0" distR="0">
                  <wp:extent cx="180975" cy="123825"/>
                  <wp:effectExtent l="0" t="0" r="0" b="0"/>
                  <wp:docPr id="131"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50" descr=""/>
                          <pic:cNvPicPr>
                            <a:picLocks noChangeAspect="1" noChangeArrowheads="1"/>
                          </pic:cNvPicPr>
                        </pic:nvPicPr>
                        <pic:blipFill>
                          <a:blip r:embed="rId68"/>
                          <a:stretch>
                            <a:fillRect/>
                          </a:stretch>
                        </pic:blipFill>
                        <pic:spPr bwMode="auto">
                          <a:xfrm>
                            <a:off x="0" y="0"/>
                            <a:ext cx="180975" cy="123825"/>
                          </a:xfrm>
                          <a:prstGeom prst="rect">
                            <a:avLst/>
                          </a:prstGeom>
                        </pic:spPr>
                      </pic:pic>
                    </a:graphicData>
                  </a:graphic>
                </wp:inline>
              </w:drawing>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11" w:type="dxa"/>
            <w:tcBorders>
              <w:bottom w:val="single" w:sz="2" w:space="0" w:color="4B5088"/>
            </w:tcBorders>
            <w:vAlign w:val="center"/>
          </w:tcPr>
          <w:p>
            <w:pPr>
              <w:pStyle w:val="TableContents"/>
              <w:bidi w:val="0"/>
              <w:spacing w:lineRule="atLeast" w:line="220" w:before="0" w:after="0"/>
              <w:jc w:val="center"/>
              <w:rPr>
                <w:spacing w:val="-2"/>
                <w:sz w:val="18"/>
              </w:rPr>
            </w:pPr>
            <w:r>
              <w:rPr>
                <w:spacing w:val="-2"/>
                <w:sz w:val="18"/>
              </w:rPr>
              <w:t xml:space="preserve">2011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34" w:type="dxa"/>
            <w:tcBorders>
              <w:bottom w:val="single" w:sz="2" w:space="0" w:color="4B5088"/>
            </w:tcBorders>
            <w:vAlign w:val="center"/>
          </w:tcPr>
          <w:p>
            <w:pPr>
              <w:pStyle w:val="TableContents"/>
              <w:bidi w:val="0"/>
              <w:spacing w:before="0" w:after="0"/>
              <w:jc w:val="center"/>
              <w:rPr>
                <w:b/>
                <w:color w:val="1F2668"/>
                <w:sz w:val="22"/>
              </w:rPr>
            </w:pPr>
            <w:r>
              <w:rPr>
                <w:b/>
                <w:color w:val="1F2668"/>
                <w:spacing w:val="-2"/>
                <w:sz w:val="22"/>
              </w:rPr>
              <w:t>M</w:t>
            </w:r>
            <w:r>
              <w:rPr>
                <w:b/>
                <w:color w:val="1F2668"/>
                <w:sz w:val="22"/>
              </w:rPr>
              <w:t xml:space="preserve"> </w:t>
            </w:r>
          </w:p>
        </w:tc>
        <w:tc>
          <w:tcPr>
            <w:tcW w:w="109"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4B5088"/>
            </w:tcBorders>
            <w:shd w:fill="4B5088" w:val="clear"/>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322"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4B5088"/>
            </w:tcBorders>
            <w:shd w:fill="4B5088" w:val="clear"/>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554" w:type="dxa"/>
            <w:tcBorders>
              <w:bottom w:val="single" w:sz="2" w:space="0" w:color="4B5088"/>
            </w:tcBorders>
            <w:vAlign w:val="center"/>
          </w:tcPr>
          <w:p>
            <w:pPr>
              <w:pStyle w:val="TableContents"/>
              <w:bidi w:val="0"/>
              <w:spacing w:before="0" w:after="0"/>
              <w:jc w:val="center"/>
              <w:rPr>
                <w:b/>
                <w:color w:val="83AD40"/>
                <w:sz w:val="22"/>
              </w:rPr>
            </w:pPr>
            <w:r>
              <w:rPr>
                <w:b/>
                <w:color w:val="83AD40"/>
                <w:spacing w:val="-2"/>
                <w:sz w:val="22"/>
              </w:rPr>
              <w:t>C</w:t>
            </w:r>
            <w:r>
              <w:rPr>
                <w:b/>
                <w:color w:val="83AD40"/>
                <w:sz w:val="22"/>
              </w:rPr>
              <w:t xml:space="preserve"> </w:t>
            </w:r>
          </w:p>
        </w:tc>
        <w:tc>
          <w:tcPr>
            <w:tcW w:w="109"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4B5088"/>
            </w:tcBorders>
            <w:shd w:fill="4B5088" w:val="clear"/>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322" w:type="dxa"/>
            <w:tcBorders>
              <w:bottom w:val="single" w:sz="2" w:space="0" w:color="4B5088"/>
            </w:tcBorders>
            <w:vAlign w:val="center"/>
          </w:tcPr>
          <w:p>
            <w:pPr>
              <w:pStyle w:val="TableContents"/>
              <w:bidi w:val="0"/>
              <w:spacing w:before="0" w:after="283"/>
              <w:jc w:val="left"/>
              <w:rPr/>
            </w:pPr>
            <w:r>
              <w:rPr/>
              <w:t>​</w:t>
            </w:r>
          </w:p>
        </w:tc>
        <w:tc>
          <w:tcPr>
            <w:tcW w:w="160" w:type="dxa"/>
            <w:tcBorders>
              <w:bottom w:val="single" w:sz="2" w:space="0" w:color="4B5088"/>
            </w:tcBorders>
            <w:vAlign w:val="center"/>
          </w:tcPr>
          <w:p>
            <w:pPr>
              <w:pStyle w:val="TableContents"/>
              <w:bidi w:val="0"/>
              <w:spacing w:before="0" w:after="283"/>
              <w:jc w:val="left"/>
              <w:rPr/>
            </w:pPr>
            <w:r>
              <w:rPr/>
              <w:t>​</w:t>
            </w:r>
          </w:p>
        </w:tc>
      </w:tr>
      <w:tr>
        <w:trPr/>
        <w:tc>
          <w:tcPr>
            <w:tcW w:w="827" w:type="dxa"/>
            <w:tcBorders>
              <w:bottom w:val="single" w:sz="2" w:space="0" w:color="4B5088"/>
            </w:tcBorders>
            <w:tcMar>
              <w:bottom w:w="85" w:type="dxa"/>
            </w:tcMar>
            <w:vAlign w:val="center"/>
          </w:tcPr>
          <w:p>
            <w:pPr>
              <w:pStyle w:val="TableContents"/>
              <w:bidi w:val="0"/>
              <w:spacing w:before="0" w:after="0"/>
              <w:jc w:val="center"/>
              <w:rPr/>
            </w:pPr>
            <w:r>
              <w:rPr/>
              <w:drawing>
                <wp:inline distT="0" distB="0" distL="0" distR="0">
                  <wp:extent cx="447675" cy="542925"/>
                  <wp:effectExtent l="0" t="0" r="0" b="0"/>
                  <wp:docPr id="132"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51" descr=""/>
                          <pic:cNvPicPr>
                            <a:picLocks noChangeAspect="1" noChangeArrowheads="1"/>
                          </pic:cNvPicPr>
                        </pic:nvPicPr>
                        <pic:blipFill>
                          <a:blip r:embed="rId69"/>
                          <a:stretch>
                            <a:fillRect/>
                          </a:stretch>
                        </pic:blipFill>
                        <pic:spPr bwMode="auto">
                          <a:xfrm>
                            <a:off x="0" y="0"/>
                            <a:ext cx="447675" cy="542925"/>
                          </a:xfrm>
                          <a:prstGeom prst="rect">
                            <a:avLst/>
                          </a:prstGeom>
                        </pic:spPr>
                      </pic:pic>
                    </a:graphicData>
                  </a:graphic>
                </wp:inline>
              </w:drawing>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20" w:type="dxa"/>
            <w:tcBorders>
              <w:bottom w:val="single" w:sz="2" w:space="0" w:color="4B5088"/>
            </w:tcBorders>
            <w:vAlign w:val="center"/>
          </w:tcPr>
          <w:p>
            <w:pPr>
              <w:pStyle w:val="TableContents"/>
              <w:bidi w:val="0"/>
              <w:spacing w:lineRule="atLeast" w:line="220" w:before="0" w:after="0"/>
              <w:jc w:val="left"/>
              <w:rPr>
                <w:b/>
                <w:color w:val="1F2668"/>
                <w:sz w:val="18"/>
              </w:rPr>
            </w:pPr>
            <w:r>
              <w:rPr>
                <w:b/>
                <w:color w:val="1F2668"/>
                <w:spacing w:val="-2"/>
                <w:sz w:val="18"/>
              </w:rPr>
              <w:t>Marc Holliday</w:t>
            </w:r>
            <w:r>
              <w:rPr>
                <w:b/>
                <w:color w:val="1F2668"/>
                <w:sz w:val="18"/>
              </w:rPr>
              <w:t xml:space="preserve"> </w:t>
            </w:r>
          </w:p>
        </w:tc>
        <w:tc>
          <w:tcPr>
            <w:tcW w:w="109"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1515"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91" w:type="dxa"/>
            <w:tcBorders>
              <w:bottom w:val="single" w:sz="2" w:space="0" w:color="4B5088"/>
            </w:tcBorders>
            <w:vAlign w:val="center"/>
          </w:tcPr>
          <w:p>
            <w:pPr>
              <w:pStyle w:val="TableContents"/>
              <w:bidi w:val="0"/>
              <w:spacing w:lineRule="atLeast" w:line="220" w:before="0" w:after="0"/>
              <w:jc w:val="center"/>
              <w:rPr>
                <w:spacing w:val="-2"/>
                <w:sz w:val="18"/>
              </w:rPr>
            </w:pPr>
            <w:r>
              <w:rPr>
                <w:spacing w:val="-2"/>
                <w:sz w:val="18"/>
              </w:rPr>
              <w:t xml:space="preserve">59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60"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11" w:type="dxa"/>
            <w:tcBorders>
              <w:bottom w:val="single" w:sz="2" w:space="0" w:color="4B5088"/>
            </w:tcBorders>
            <w:vAlign w:val="center"/>
          </w:tcPr>
          <w:p>
            <w:pPr>
              <w:pStyle w:val="TableContents"/>
              <w:bidi w:val="0"/>
              <w:spacing w:lineRule="atLeast" w:line="220" w:before="0" w:after="0"/>
              <w:jc w:val="center"/>
              <w:rPr>
                <w:spacing w:val="-2"/>
                <w:sz w:val="18"/>
              </w:rPr>
            </w:pPr>
            <w:r>
              <w:rPr>
                <w:spacing w:val="-2"/>
                <w:sz w:val="18"/>
              </w:rPr>
              <w:t xml:space="preserve">2001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34"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4B5088"/>
            </w:tcBorders>
            <w:shd w:fill="4B5088" w:val="clear"/>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322"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4B5088"/>
            </w:tcBorders>
            <w:shd w:fill="4B5088" w:val="clear"/>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554"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4B5088"/>
            </w:tcBorders>
            <w:shd w:fill="4B5088" w:val="clear"/>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322" w:type="dxa"/>
            <w:tcBorders>
              <w:bottom w:val="single" w:sz="2" w:space="0" w:color="4B5088"/>
            </w:tcBorders>
            <w:vAlign w:val="center"/>
          </w:tcPr>
          <w:p>
            <w:pPr>
              <w:pStyle w:val="TableContents"/>
              <w:bidi w:val="0"/>
              <w:spacing w:before="0" w:after="0"/>
              <w:jc w:val="center"/>
              <w:rPr>
                <w:b/>
                <w:color w:val="83AD40"/>
                <w:sz w:val="22"/>
              </w:rPr>
            </w:pPr>
            <w:r>
              <w:rPr>
                <w:b/>
                <w:color w:val="83AD40"/>
                <w:spacing w:val="-2"/>
                <w:sz w:val="22"/>
              </w:rPr>
              <w:t>C</w:t>
            </w:r>
            <w:r>
              <w:rPr>
                <w:b/>
                <w:color w:val="83AD40"/>
                <w:sz w:val="22"/>
              </w:rPr>
              <w:t xml:space="preserve"> </w:t>
            </w:r>
          </w:p>
        </w:tc>
        <w:tc>
          <w:tcPr>
            <w:tcW w:w="160" w:type="dxa"/>
            <w:tcBorders>
              <w:bottom w:val="single" w:sz="2" w:space="0" w:color="4B5088"/>
            </w:tcBorders>
            <w:vAlign w:val="center"/>
          </w:tcPr>
          <w:p>
            <w:pPr>
              <w:pStyle w:val="TableContents"/>
              <w:bidi w:val="0"/>
              <w:spacing w:before="0" w:after="283"/>
              <w:jc w:val="left"/>
              <w:rPr/>
            </w:pPr>
            <w:r>
              <w:rPr/>
              <w:t>​</w:t>
            </w:r>
          </w:p>
        </w:tc>
      </w:tr>
      <w:tr>
        <w:trPr/>
        <w:tc>
          <w:tcPr>
            <w:tcW w:w="827" w:type="dxa"/>
            <w:tcBorders>
              <w:bottom w:val="single" w:sz="2" w:space="0" w:color="4B5088"/>
            </w:tcBorders>
            <w:tcMar>
              <w:bottom w:w="85" w:type="dxa"/>
            </w:tcMar>
            <w:vAlign w:val="center"/>
          </w:tcPr>
          <w:p>
            <w:pPr>
              <w:pStyle w:val="TableContents"/>
              <w:bidi w:val="0"/>
              <w:spacing w:before="0" w:after="0"/>
              <w:jc w:val="center"/>
              <w:rPr/>
            </w:pPr>
            <w:r>
              <w:rPr/>
              <w:drawing>
                <wp:inline distT="0" distB="0" distL="0" distR="0">
                  <wp:extent cx="447675" cy="542925"/>
                  <wp:effectExtent l="0" t="0" r="0" b="0"/>
                  <wp:docPr id="133"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52" descr=""/>
                          <pic:cNvPicPr>
                            <a:picLocks noChangeAspect="1" noChangeArrowheads="1"/>
                          </pic:cNvPicPr>
                        </pic:nvPicPr>
                        <pic:blipFill>
                          <a:blip r:embed="rId70"/>
                          <a:stretch>
                            <a:fillRect/>
                          </a:stretch>
                        </pic:blipFill>
                        <pic:spPr bwMode="auto">
                          <a:xfrm>
                            <a:off x="0" y="0"/>
                            <a:ext cx="447675" cy="542925"/>
                          </a:xfrm>
                          <a:prstGeom prst="rect">
                            <a:avLst/>
                          </a:prstGeom>
                        </pic:spPr>
                      </pic:pic>
                    </a:graphicData>
                  </a:graphic>
                </wp:inline>
              </w:drawing>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20" w:type="dxa"/>
            <w:tcBorders>
              <w:bottom w:val="single" w:sz="2" w:space="0" w:color="4B5088"/>
            </w:tcBorders>
            <w:vAlign w:val="center"/>
          </w:tcPr>
          <w:p>
            <w:pPr>
              <w:pStyle w:val="TableContents"/>
              <w:bidi w:val="0"/>
              <w:spacing w:lineRule="atLeast" w:line="220" w:before="0" w:after="0"/>
              <w:jc w:val="left"/>
              <w:rPr>
                <w:b/>
                <w:color w:val="1F2668"/>
                <w:sz w:val="18"/>
              </w:rPr>
            </w:pPr>
            <w:r>
              <w:rPr>
                <w:b/>
                <w:color w:val="1F2668"/>
                <w:spacing w:val="-2"/>
                <w:sz w:val="18"/>
              </w:rPr>
              <w:t>Peggy Lamb</w:t>
            </w:r>
            <w:r>
              <w:rPr>
                <w:b/>
                <w:color w:val="1F2668"/>
                <w:sz w:val="18"/>
              </w:rPr>
              <w:t xml:space="preserve"> </w:t>
            </w:r>
          </w:p>
        </w:tc>
        <w:tc>
          <w:tcPr>
            <w:tcW w:w="109"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1515" w:type="dxa"/>
            <w:tcBorders>
              <w:bottom w:val="single" w:sz="2" w:space="0" w:color="4B5088"/>
            </w:tcBorders>
            <w:vAlign w:val="center"/>
          </w:tcPr>
          <w:p>
            <w:pPr>
              <w:pStyle w:val="TableContents"/>
              <w:bidi w:val="0"/>
              <w:spacing w:lineRule="atLeast" w:line="200" w:before="0" w:after="0"/>
              <w:ind w:left="160" w:right="0" w:hanging="0"/>
              <w:jc w:val="left"/>
              <w:rPr>
                <w:spacing w:val="-2"/>
                <w:sz w:val="16"/>
              </w:rPr>
            </w:pPr>
            <w:r>
              <w:rPr>
                <w:spacing w:val="-2"/>
                <w:sz w:val="16"/>
              </w:rPr>
              <w:t xml:space="preserve">Starwood Real Estate Income Trust, Inc. (non-exchange traded) </w:t>
            </w:r>
            <w:r>
              <mc:AlternateContent>
                <mc:Choice Requires="wps">
                  <w:drawing>
                    <wp:anchor behindDoc="0" distT="0" distB="0" distL="0" distR="0" simplePos="0" locked="0" layoutInCell="1" allowOverlap="1" relativeHeight="368">
                      <wp:simplePos x="0" y="0"/>
                      <wp:positionH relativeFrom="column">
                        <wp:align>left</wp:align>
                      </wp:positionH>
                      <wp:positionV relativeFrom="line">
                        <wp:posOffset>635</wp:posOffset>
                      </wp:positionV>
                      <wp:extent cx="101600" cy="350520"/>
                      <wp:effectExtent l="0" t="0" r="0" b="0"/>
                      <wp:wrapSquare wrapText="right"/>
                      <wp:docPr id="134" name="Frame71"/>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sz w:val="16"/>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sz w:val="16"/>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91" w:type="dxa"/>
            <w:tcBorders>
              <w:bottom w:val="single" w:sz="2" w:space="0" w:color="4B5088"/>
            </w:tcBorders>
            <w:vAlign w:val="center"/>
          </w:tcPr>
          <w:p>
            <w:pPr>
              <w:pStyle w:val="TableContents"/>
              <w:bidi w:val="0"/>
              <w:spacing w:lineRule="atLeast" w:line="220" w:before="0" w:after="0"/>
              <w:jc w:val="center"/>
              <w:rPr>
                <w:spacing w:val="-2"/>
                <w:sz w:val="18"/>
              </w:rPr>
            </w:pPr>
            <w:r>
              <w:rPr>
                <w:spacing w:val="-2"/>
                <w:sz w:val="18"/>
              </w:rPr>
              <w:t xml:space="preserve">61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60" w:type="dxa"/>
            <w:tcBorders>
              <w:bottom w:val="single" w:sz="2" w:space="0" w:color="4B5088"/>
            </w:tcBorders>
            <w:vAlign w:val="center"/>
          </w:tcPr>
          <w:p>
            <w:pPr>
              <w:pStyle w:val="TableContents"/>
              <w:bidi w:val="0"/>
              <w:spacing w:before="0" w:after="0"/>
              <w:jc w:val="center"/>
              <w:rPr/>
            </w:pPr>
            <w:r>
              <w:rPr/>
              <w:drawing>
                <wp:inline distT="0" distB="0" distL="0" distR="0">
                  <wp:extent cx="180975" cy="123825"/>
                  <wp:effectExtent l="0" t="0" r="0" b="0"/>
                  <wp:docPr id="135"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53" descr=""/>
                          <pic:cNvPicPr>
                            <a:picLocks noChangeAspect="1" noChangeArrowheads="1"/>
                          </pic:cNvPicPr>
                        </pic:nvPicPr>
                        <pic:blipFill>
                          <a:blip r:embed="rId71"/>
                          <a:stretch>
                            <a:fillRect/>
                          </a:stretch>
                        </pic:blipFill>
                        <pic:spPr bwMode="auto">
                          <a:xfrm>
                            <a:off x="0" y="0"/>
                            <a:ext cx="180975" cy="123825"/>
                          </a:xfrm>
                          <a:prstGeom prst="rect">
                            <a:avLst/>
                          </a:prstGeom>
                        </pic:spPr>
                      </pic:pic>
                    </a:graphicData>
                  </a:graphic>
                </wp:inline>
              </w:drawing>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11" w:type="dxa"/>
            <w:tcBorders>
              <w:bottom w:val="single" w:sz="2" w:space="0" w:color="4B5088"/>
            </w:tcBorders>
            <w:vAlign w:val="center"/>
          </w:tcPr>
          <w:p>
            <w:pPr>
              <w:pStyle w:val="TableContents"/>
              <w:bidi w:val="0"/>
              <w:spacing w:lineRule="atLeast" w:line="220" w:before="0" w:after="0"/>
              <w:jc w:val="center"/>
              <w:rPr>
                <w:spacing w:val="-2"/>
                <w:sz w:val="18"/>
              </w:rPr>
            </w:pPr>
            <w:r>
              <w:rPr>
                <w:spacing w:val="-2"/>
                <w:sz w:val="18"/>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34"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4B5088"/>
            </w:tcBorders>
            <w:shd w:fill="4B5088" w:val="clear"/>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322" w:type="dxa"/>
            <w:tcBorders>
              <w:bottom w:val="single" w:sz="2" w:space="0" w:color="4B5088"/>
            </w:tcBorders>
            <w:vAlign w:val="center"/>
          </w:tcPr>
          <w:p>
            <w:pPr>
              <w:pStyle w:val="TableContents"/>
              <w:bidi w:val="0"/>
              <w:spacing w:before="0" w:after="0"/>
              <w:jc w:val="center"/>
              <w:rPr>
                <w:b/>
                <w:color w:val="83AD40"/>
                <w:sz w:val="22"/>
              </w:rPr>
            </w:pPr>
            <w:r>
              <w:rPr>
                <w:b/>
                <w:color w:val="83AD40"/>
                <w:spacing w:val="-2"/>
                <w:sz w:val="22"/>
              </w:rPr>
              <w:t>C</w:t>
            </w:r>
            <w:r>
              <w:rPr>
                <w:b/>
                <w:color w:val="83AD40"/>
                <w:sz w:val="22"/>
              </w:rPr>
              <w:t xml:space="preserve"> </w:t>
            </w:r>
          </w:p>
        </w:tc>
        <w:tc>
          <w:tcPr>
            <w:tcW w:w="109"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4B5088"/>
            </w:tcBorders>
            <w:shd w:fill="4B5088" w:val="clear"/>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554"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4B5088"/>
            </w:tcBorders>
            <w:shd w:fill="4B5088" w:val="clear"/>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322" w:type="dxa"/>
            <w:tcBorders>
              <w:bottom w:val="single" w:sz="2" w:space="0" w:color="4B5088"/>
            </w:tcBorders>
            <w:vAlign w:val="center"/>
          </w:tcPr>
          <w:p>
            <w:pPr>
              <w:pStyle w:val="TableContents"/>
              <w:bidi w:val="0"/>
              <w:spacing w:before="0" w:after="283"/>
              <w:jc w:val="left"/>
              <w:rPr/>
            </w:pPr>
            <w:r>
              <w:rPr/>
              <w:t>​</w:t>
            </w:r>
          </w:p>
        </w:tc>
        <w:tc>
          <w:tcPr>
            <w:tcW w:w="160" w:type="dxa"/>
            <w:tcBorders>
              <w:bottom w:val="single" w:sz="2" w:space="0" w:color="4B5088"/>
            </w:tcBorders>
            <w:vAlign w:val="center"/>
          </w:tcPr>
          <w:p>
            <w:pPr>
              <w:pStyle w:val="TableContents"/>
              <w:bidi w:val="0"/>
              <w:spacing w:before="0" w:after="283"/>
              <w:jc w:val="left"/>
              <w:rPr/>
            </w:pPr>
            <w:r>
              <w:rPr/>
              <w:t>​</w:t>
            </w:r>
          </w:p>
        </w:tc>
      </w:tr>
      <w:tr>
        <w:trPr/>
        <w:tc>
          <w:tcPr>
            <w:tcW w:w="827" w:type="dxa"/>
            <w:tcBorders>
              <w:bottom w:val="single" w:sz="8" w:space="0" w:color="1F2668"/>
            </w:tcBorders>
            <w:tcMar>
              <w:bottom w:w="85" w:type="dxa"/>
            </w:tcMar>
            <w:vAlign w:val="center"/>
          </w:tcPr>
          <w:p>
            <w:pPr>
              <w:pStyle w:val="TableContents"/>
              <w:bidi w:val="0"/>
              <w:spacing w:before="0" w:after="0"/>
              <w:jc w:val="center"/>
              <w:rPr/>
            </w:pPr>
            <w:r>
              <w:rPr/>
              <w:drawing>
                <wp:inline distT="0" distB="0" distL="0" distR="0">
                  <wp:extent cx="447675" cy="542925"/>
                  <wp:effectExtent l="0" t="0" r="0" b="0"/>
                  <wp:docPr id="136"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54" descr=""/>
                          <pic:cNvPicPr>
                            <a:picLocks noChangeAspect="1" noChangeArrowheads="1"/>
                          </pic:cNvPicPr>
                        </pic:nvPicPr>
                        <pic:blipFill>
                          <a:blip r:embed="rId72"/>
                          <a:stretch>
                            <a:fillRect/>
                          </a:stretch>
                        </pic:blipFill>
                        <pic:spPr bwMode="auto">
                          <a:xfrm>
                            <a:off x="0" y="0"/>
                            <a:ext cx="447675" cy="542925"/>
                          </a:xfrm>
                          <a:prstGeom prst="rect">
                            <a:avLst/>
                          </a:prstGeom>
                        </pic:spPr>
                      </pic:pic>
                    </a:graphicData>
                  </a:graphic>
                </wp:inline>
              </w:drawing>
            </w:r>
            <w:r>
              <w:rPr/>
              <w:t xml:space="preserve"> </w:t>
            </w:r>
          </w:p>
        </w:tc>
        <w:tc>
          <w:tcPr>
            <w:tcW w:w="109"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920" w:type="dxa"/>
            <w:tcBorders>
              <w:bottom w:val="single" w:sz="8" w:space="0" w:color="1F2668"/>
            </w:tcBorders>
            <w:vAlign w:val="center"/>
          </w:tcPr>
          <w:p>
            <w:pPr>
              <w:pStyle w:val="TableContents"/>
              <w:bidi w:val="0"/>
              <w:spacing w:lineRule="atLeast" w:line="220" w:before="0" w:after="0"/>
              <w:jc w:val="left"/>
              <w:rPr>
                <w:b/>
                <w:color w:val="1F2668"/>
                <w:sz w:val="18"/>
              </w:rPr>
            </w:pPr>
            <w:r>
              <w:rPr>
                <w:b/>
                <w:color w:val="1F2668"/>
                <w:spacing w:val="-2"/>
                <w:sz w:val="18"/>
              </w:rPr>
              <w:t>Andrew W. Mathias</w:t>
            </w:r>
            <w:r>
              <w:rPr>
                <w:b/>
                <w:color w:val="1F2668"/>
                <w:sz w:val="18"/>
              </w:rPr>
              <w:t xml:space="preserve"> </w:t>
            </w:r>
          </w:p>
        </w:tc>
        <w:tc>
          <w:tcPr>
            <w:tcW w:w="109" w:type="dxa"/>
            <w:tcBorders>
              <w:bottom w:val="single" w:sz="8" w:space="0" w:color="1F2668"/>
            </w:tcBorders>
            <w:vAlign w:val="center"/>
          </w:tcPr>
          <w:p>
            <w:pPr>
              <w:pStyle w:val="TableContents"/>
              <w:bidi w:val="0"/>
              <w:spacing w:before="0" w:after="283"/>
              <w:jc w:val="left"/>
              <w:rPr/>
            </w:pPr>
            <w:r>
              <w:rPr/>
              <w:t>​</w:t>
            </w:r>
          </w:p>
        </w:tc>
        <w:tc>
          <w:tcPr>
            <w:tcW w:w="109" w:type="dxa"/>
            <w:tcBorders>
              <w:bottom w:val="single" w:sz="8" w:space="0" w:color="1F2668"/>
            </w:tcBorders>
            <w:vAlign w:val="center"/>
          </w:tcPr>
          <w:p>
            <w:pPr>
              <w:pStyle w:val="TableContents"/>
              <w:bidi w:val="0"/>
              <w:spacing w:before="0" w:after="283"/>
              <w:jc w:val="left"/>
              <w:rPr/>
            </w:pPr>
            <w:r>
              <w:rPr/>
              <w:t>​</w:t>
            </w:r>
          </w:p>
        </w:tc>
        <w:tc>
          <w:tcPr>
            <w:tcW w:w="1515" w:type="dxa"/>
            <w:tcBorders>
              <w:bottom w:val="single" w:sz="8" w:space="0" w:color="1F2668"/>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391" w:type="dxa"/>
            <w:tcBorders>
              <w:bottom w:val="single" w:sz="8" w:space="0" w:color="1F2668"/>
            </w:tcBorders>
            <w:vAlign w:val="center"/>
          </w:tcPr>
          <w:p>
            <w:pPr>
              <w:pStyle w:val="TableContents"/>
              <w:bidi w:val="0"/>
              <w:spacing w:lineRule="atLeast" w:line="220" w:before="0" w:after="0"/>
              <w:jc w:val="center"/>
              <w:rPr>
                <w:spacing w:val="-2"/>
                <w:sz w:val="18"/>
              </w:rPr>
            </w:pPr>
            <w:r>
              <w:rPr>
                <w:spacing w:val="-2"/>
                <w:sz w:val="18"/>
              </w:rPr>
              <w:t xml:space="preserve">52 </w:t>
            </w:r>
          </w:p>
        </w:tc>
        <w:tc>
          <w:tcPr>
            <w:tcW w:w="109"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960" w:type="dxa"/>
            <w:tcBorders>
              <w:bottom w:val="single" w:sz="8" w:space="0" w:color="1F2668"/>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711" w:type="dxa"/>
            <w:tcBorders>
              <w:bottom w:val="single" w:sz="8" w:space="0" w:color="1F2668"/>
            </w:tcBorders>
            <w:vAlign w:val="center"/>
          </w:tcPr>
          <w:p>
            <w:pPr>
              <w:pStyle w:val="TableContents"/>
              <w:bidi w:val="0"/>
              <w:spacing w:lineRule="atLeast" w:line="220" w:before="0" w:after="0"/>
              <w:jc w:val="center"/>
              <w:rPr>
                <w:spacing w:val="-2"/>
                <w:sz w:val="18"/>
              </w:rPr>
            </w:pPr>
            <w:r>
              <w:rPr>
                <w:spacing w:val="-2"/>
                <w:sz w:val="18"/>
              </w:rPr>
              <w:t xml:space="preserve">2014 </w:t>
            </w:r>
          </w:p>
        </w:tc>
        <w:tc>
          <w:tcPr>
            <w:tcW w:w="109"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334" w:type="dxa"/>
            <w:tcBorders>
              <w:bottom w:val="single" w:sz="8" w:space="0" w:color="1F2668"/>
            </w:tcBorders>
            <w:vAlign w:val="center"/>
          </w:tcPr>
          <w:p>
            <w:pPr>
              <w:pStyle w:val="TableContents"/>
              <w:bidi w:val="0"/>
              <w:spacing w:before="0" w:after="283"/>
              <w:jc w:val="left"/>
              <w:rPr/>
            </w:pPr>
            <w:r>
              <w:rPr/>
              <w:t>​</w:t>
            </w:r>
          </w:p>
        </w:tc>
        <w:tc>
          <w:tcPr>
            <w:tcW w:w="109" w:type="dxa"/>
            <w:tcBorders>
              <w:bottom w:val="single" w:sz="8" w:space="0" w:color="1F2668"/>
            </w:tcBorders>
            <w:vAlign w:val="center"/>
          </w:tcPr>
          <w:p>
            <w:pPr>
              <w:pStyle w:val="TableContents"/>
              <w:bidi w:val="0"/>
              <w:spacing w:before="0" w:after="283"/>
              <w:jc w:val="left"/>
              <w:rPr/>
            </w:pPr>
            <w:r>
              <w:rPr/>
              <w:t>​</w:t>
            </w:r>
          </w:p>
        </w:tc>
        <w:tc>
          <w:tcPr>
            <w:tcW w:w="109" w:type="dxa"/>
            <w:tcBorders>
              <w:bottom w:val="single" w:sz="8" w:space="0" w:color="4B5088"/>
            </w:tcBorders>
            <w:shd w:fill="4B5088" w:val="clear"/>
            <w:vAlign w:val="center"/>
          </w:tcPr>
          <w:p>
            <w:pPr>
              <w:pStyle w:val="TableContents"/>
              <w:bidi w:val="0"/>
              <w:spacing w:before="0" w:after="283"/>
              <w:jc w:val="left"/>
              <w:rPr/>
            </w:pPr>
            <w:r>
              <w:rPr/>
              <w:t>​</w:t>
            </w:r>
          </w:p>
        </w:tc>
        <w:tc>
          <w:tcPr>
            <w:tcW w:w="109" w:type="dxa"/>
            <w:tcBorders>
              <w:bottom w:val="single" w:sz="8" w:space="0" w:color="1F2668"/>
            </w:tcBorders>
            <w:vAlign w:val="center"/>
          </w:tcPr>
          <w:p>
            <w:pPr>
              <w:pStyle w:val="TableContents"/>
              <w:bidi w:val="0"/>
              <w:spacing w:before="0" w:after="283"/>
              <w:jc w:val="left"/>
              <w:rPr/>
            </w:pPr>
            <w:r>
              <w:rPr/>
              <w:t>​</w:t>
            </w:r>
          </w:p>
        </w:tc>
        <w:tc>
          <w:tcPr>
            <w:tcW w:w="322" w:type="dxa"/>
            <w:tcBorders>
              <w:bottom w:val="single" w:sz="8" w:space="0" w:color="1F2668"/>
            </w:tcBorders>
            <w:vAlign w:val="center"/>
          </w:tcPr>
          <w:p>
            <w:pPr>
              <w:pStyle w:val="TableContents"/>
              <w:bidi w:val="0"/>
              <w:spacing w:before="0" w:after="283"/>
              <w:jc w:val="left"/>
              <w:rPr/>
            </w:pPr>
            <w:r>
              <w:rPr/>
              <w:t>​</w:t>
            </w:r>
          </w:p>
        </w:tc>
        <w:tc>
          <w:tcPr>
            <w:tcW w:w="109" w:type="dxa"/>
            <w:tcBorders>
              <w:bottom w:val="single" w:sz="8" w:space="0" w:color="1F2668"/>
            </w:tcBorders>
            <w:vAlign w:val="center"/>
          </w:tcPr>
          <w:p>
            <w:pPr>
              <w:pStyle w:val="TableContents"/>
              <w:bidi w:val="0"/>
              <w:spacing w:before="0" w:after="283"/>
              <w:jc w:val="left"/>
              <w:rPr/>
            </w:pPr>
            <w:r>
              <w:rPr/>
              <w:t>​</w:t>
            </w:r>
          </w:p>
        </w:tc>
        <w:tc>
          <w:tcPr>
            <w:tcW w:w="109" w:type="dxa"/>
            <w:tcBorders>
              <w:bottom w:val="single" w:sz="8" w:space="0" w:color="4B5088"/>
            </w:tcBorders>
            <w:shd w:fill="4B5088" w:val="clear"/>
            <w:vAlign w:val="center"/>
          </w:tcPr>
          <w:p>
            <w:pPr>
              <w:pStyle w:val="TableContents"/>
              <w:bidi w:val="0"/>
              <w:spacing w:before="0" w:after="283"/>
              <w:jc w:val="left"/>
              <w:rPr/>
            </w:pPr>
            <w:r>
              <w:rPr/>
              <w:t>​</w:t>
            </w:r>
          </w:p>
        </w:tc>
        <w:tc>
          <w:tcPr>
            <w:tcW w:w="109" w:type="dxa"/>
            <w:tcBorders>
              <w:bottom w:val="single" w:sz="8" w:space="0" w:color="1F2668"/>
            </w:tcBorders>
            <w:vAlign w:val="center"/>
          </w:tcPr>
          <w:p>
            <w:pPr>
              <w:pStyle w:val="TableContents"/>
              <w:bidi w:val="0"/>
              <w:spacing w:before="0" w:after="283"/>
              <w:jc w:val="left"/>
              <w:rPr/>
            </w:pPr>
            <w:r>
              <w:rPr/>
              <w:t>​</w:t>
            </w:r>
          </w:p>
        </w:tc>
        <w:tc>
          <w:tcPr>
            <w:tcW w:w="554" w:type="dxa"/>
            <w:tcBorders>
              <w:bottom w:val="single" w:sz="8" w:space="0" w:color="1F2668"/>
            </w:tcBorders>
            <w:vAlign w:val="center"/>
          </w:tcPr>
          <w:p>
            <w:pPr>
              <w:pStyle w:val="TableContents"/>
              <w:bidi w:val="0"/>
              <w:spacing w:before="0" w:after="283"/>
              <w:jc w:val="left"/>
              <w:rPr/>
            </w:pPr>
            <w:r>
              <w:rPr/>
              <w:t>​</w:t>
            </w:r>
          </w:p>
        </w:tc>
        <w:tc>
          <w:tcPr>
            <w:tcW w:w="109" w:type="dxa"/>
            <w:tcBorders>
              <w:bottom w:val="single" w:sz="8" w:space="0" w:color="1F2668"/>
            </w:tcBorders>
            <w:vAlign w:val="center"/>
          </w:tcPr>
          <w:p>
            <w:pPr>
              <w:pStyle w:val="TableContents"/>
              <w:bidi w:val="0"/>
              <w:spacing w:before="0" w:after="283"/>
              <w:jc w:val="left"/>
              <w:rPr/>
            </w:pPr>
            <w:r>
              <w:rPr/>
              <w:t>​</w:t>
            </w:r>
          </w:p>
        </w:tc>
        <w:tc>
          <w:tcPr>
            <w:tcW w:w="109" w:type="dxa"/>
            <w:tcBorders>
              <w:bottom w:val="single" w:sz="8" w:space="0" w:color="4B5088"/>
            </w:tcBorders>
            <w:shd w:fill="4B5088" w:val="clear"/>
            <w:vAlign w:val="center"/>
          </w:tcPr>
          <w:p>
            <w:pPr>
              <w:pStyle w:val="TableContents"/>
              <w:bidi w:val="0"/>
              <w:spacing w:before="0" w:after="283"/>
              <w:jc w:val="left"/>
              <w:rPr/>
            </w:pPr>
            <w:r>
              <w:rPr/>
              <w:t>​</w:t>
            </w:r>
          </w:p>
        </w:tc>
        <w:tc>
          <w:tcPr>
            <w:tcW w:w="109" w:type="dxa"/>
            <w:tcBorders>
              <w:bottom w:val="single" w:sz="8" w:space="0" w:color="1F2668"/>
            </w:tcBorders>
            <w:vAlign w:val="center"/>
          </w:tcPr>
          <w:p>
            <w:pPr>
              <w:pStyle w:val="TableContents"/>
              <w:bidi w:val="0"/>
              <w:spacing w:before="0" w:after="283"/>
              <w:jc w:val="left"/>
              <w:rPr/>
            </w:pPr>
            <w:r>
              <w:rPr/>
              <w:t>​</w:t>
            </w:r>
          </w:p>
        </w:tc>
        <w:tc>
          <w:tcPr>
            <w:tcW w:w="322" w:type="dxa"/>
            <w:tcBorders>
              <w:bottom w:val="single" w:sz="8" w:space="0" w:color="1F2668"/>
            </w:tcBorders>
            <w:vAlign w:val="center"/>
          </w:tcPr>
          <w:p>
            <w:pPr>
              <w:pStyle w:val="TableContents"/>
              <w:bidi w:val="0"/>
              <w:spacing w:before="0" w:after="0"/>
              <w:jc w:val="center"/>
              <w:rPr>
                <w:b/>
                <w:color w:val="1F2668"/>
                <w:sz w:val="22"/>
              </w:rPr>
            </w:pPr>
            <w:r>
              <w:rPr>
                <w:b/>
                <w:color w:val="1F2668"/>
                <w:spacing w:val="-2"/>
                <w:sz w:val="22"/>
              </w:rPr>
              <w:t>M</w:t>
            </w:r>
            <w:r>
              <w:rPr>
                <w:b/>
                <w:color w:val="1F2668"/>
                <w:sz w:val="22"/>
              </w:rPr>
              <w:t xml:space="preserve"> </w:t>
            </w:r>
          </w:p>
        </w:tc>
        <w:tc>
          <w:tcPr>
            <w:tcW w:w="160" w:type="dxa"/>
            <w:tcBorders>
              <w:bottom w:val="single" w:sz="8" w:space="0" w:color="1F2668"/>
            </w:tcBorders>
            <w:vAlign w:val="center"/>
          </w:tcPr>
          <w:p>
            <w:pPr>
              <w:pStyle w:val="TableContents"/>
              <w:bidi w:val="0"/>
              <w:spacing w:before="0" w:after="283"/>
              <w:jc w:val="left"/>
              <w:rPr/>
            </w:pPr>
            <w:r>
              <w:rPr/>
              <w:t>​</w:t>
            </w:r>
          </w:p>
        </w:tc>
      </w:tr>
    </w:tbl>
    <w:tbl>
      <w:tblPr>
        <w:tblW w:w="9305" w:type="dxa"/>
        <w:jc w:val="left"/>
        <w:tblInd w:w="900" w:type="dxa"/>
        <w:tblLayout w:type="fixed"/>
        <w:tblCellMar>
          <w:top w:w="0" w:type="dxa"/>
          <w:left w:w="0" w:type="dxa"/>
          <w:bottom w:w="0" w:type="dxa"/>
          <w:right w:w="0" w:type="dxa"/>
        </w:tblCellMar>
      </w:tblPr>
      <w:tblGrid>
        <w:gridCol w:w="124"/>
        <w:gridCol w:w="1313"/>
        <w:gridCol w:w="109"/>
        <w:gridCol w:w="109"/>
        <w:gridCol w:w="2712"/>
        <w:gridCol w:w="109"/>
        <w:gridCol w:w="109"/>
        <w:gridCol w:w="4564"/>
        <w:gridCol w:w="156"/>
      </w:tblGrid>
      <w:tr>
        <w:trPr/>
        <w:tc>
          <w:tcPr>
            <w:tcW w:w="124" w:type="dxa"/>
            <w:tcBorders/>
            <w:vAlign w:val="center"/>
          </w:tcPr>
          <w:p>
            <w:pPr>
              <w:pStyle w:val="TableContents"/>
              <w:bidi w:val="0"/>
              <w:spacing w:before="0" w:after="283"/>
              <w:jc w:val="left"/>
              <w:rPr/>
            </w:pPr>
            <w:r>
              <w:rPr/>
              <w:t>​</w:t>
            </w:r>
          </w:p>
        </w:tc>
        <w:tc>
          <w:tcPr>
            <w:tcW w:w="1313" w:type="dxa"/>
            <w:tcBorders/>
            <w:vAlign w:val="center"/>
          </w:tcPr>
          <w:p>
            <w:pPr>
              <w:pStyle w:val="TableContents"/>
              <w:bidi w:val="0"/>
              <w:spacing w:before="0" w:after="0"/>
              <w:jc w:val="left"/>
              <w:rPr>
                <w:b/>
              </w:rPr>
            </w:pPr>
            <w:r>
              <w:rPr>
                <w:b/>
                <w:color w:val="83AD40"/>
                <w:spacing w:val="-2"/>
              </w:rPr>
              <w:t>C</w:t>
            </w:r>
            <w:r>
              <w:rPr>
                <w:b/>
                <w:spacing w:val="-2"/>
              </w:rPr>
              <w:t xml:space="preserve"> </w:t>
            </w:r>
            <w:r>
              <w:rPr>
                <w:b w:val="false"/>
                <w:spacing w:val="-2"/>
              </w:rPr>
              <w:t xml:space="preserve">= Chair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12" w:type="dxa"/>
            <w:tcBorders/>
            <w:vAlign w:val="center"/>
          </w:tcPr>
          <w:p>
            <w:pPr>
              <w:pStyle w:val="TableContents"/>
              <w:bidi w:val="0"/>
              <w:spacing w:before="0" w:after="0"/>
              <w:jc w:val="left"/>
              <w:rPr>
                <w:b/>
              </w:rPr>
            </w:pPr>
            <w:r>
              <w:rPr>
                <w:b/>
                <w:color w:val="1F2668"/>
                <w:spacing w:val="-2"/>
              </w:rPr>
              <w:t>AC</w:t>
            </w:r>
            <w:r>
              <w:rPr>
                <w:b/>
                <w:spacing w:val="-2"/>
              </w:rPr>
              <w:t xml:space="preserve"> </w:t>
            </w:r>
            <w:r>
              <w:rPr>
                <w:b w:val="false"/>
                <w:spacing w:val="-2"/>
              </w:rPr>
              <w:t xml:space="preserve">= Audit Committee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564" w:type="dxa"/>
            <w:tcBorders/>
            <w:vAlign w:val="center"/>
          </w:tcPr>
          <w:p>
            <w:pPr>
              <w:pStyle w:val="TableContents"/>
              <w:bidi w:val="0"/>
              <w:spacing w:before="0" w:after="0"/>
              <w:jc w:val="left"/>
              <w:rPr>
                <w:b/>
              </w:rPr>
            </w:pPr>
            <w:r>
              <w:rPr>
                <w:b/>
                <w:color w:val="1F2668"/>
                <w:spacing w:val="-2"/>
              </w:rPr>
              <w:t>NCGC</w:t>
            </w:r>
            <w:r>
              <w:rPr>
                <w:b/>
                <w:spacing w:val="-2"/>
              </w:rPr>
              <w:t xml:space="preserve"> </w:t>
            </w:r>
            <w:r>
              <w:rPr>
                <w:b w:val="false"/>
                <w:spacing w:val="-2"/>
              </w:rPr>
              <w:t xml:space="preserve">= Nominating and Corporate Governance Committee </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313" w:type="dxa"/>
            <w:tcBorders/>
            <w:vAlign w:val="center"/>
          </w:tcPr>
          <w:p>
            <w:pPr>
              <w:pStyle w:val="TableContents"/>
              <w:bidi w:val="0"/>
              <w:spacing w:before="0" w:after="283"/>
              <w:jc w:val="left"/>
              <w:rPr/>
            </w:pPr>
            <w:r>
              <w:rPr>
                <w:color w:val="1F2668"/>
                <w:spacing w:val="-2"/>
              </w:rPr>
              <w:t>M</w:t>
            </w:r>
            <w:r>
              <w:rPr>
                <w:spacing w:val="-2"/>
              </w:rPr>
              <w:t xml:space="preserve"> </w:t>
            </w:r>
            <w:r>
              <w:rPr>
                <w:b w:val="false"/>
                <w:spacing w:val="-2"/>
              </w:rPr>
              <w:t xml:space="preserve">= Member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12" w:type="dxa"/>
            <w:tcBorders/>
            <w:vAlign w:val="center"/>
          </w:tcPr>
          <w:p>
            <w:pPr>
              <w:pStyle w:val="TableContents"/>
              <w:bidi w:val="0"/>
              <w:spacing w:before="0" w:after="283"/>
              <w:jc w:val="left"/>
              <w:rPr/>
            </w:pPr>
            <w:r>
              <w:rPr>
                <w:color w:val="1F2668"/>
                <w:spacing w:val="-2"/>
              </w:rPr>
              <w:t>CC</w:t>
            </w:r>
            <w:r>
              <w:rPr>
                <w:spacing w:val="-2"/>
              </w:rPr>
              <w:t xml:space="preserve"> </w:t>
            </w:r>
            <w:r>
              <w:rPr>
                <w:b w:val="false"/>
                <w:spacing w:val="-2"/>
              </w:rPr>
              <w:t xml:space="preserve">= Compensation Committee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564" w:type="dxa"/>
            <w:tcBorders/>
            <w:vAlign w:val="center"/>
          </w:tcPr>
          <w:p>
            <w:pPr>
              <w:pStyle w:val="TableContents"/>
              <w:bidi w:val="0"/>
              <w:spacing w:before="0" w:after="283"/>
              <w:jc w:val="left"/>
              <w:rPr/>
            </w:pPr>
            <w:r>
              <w:rPr>
                <w:color w:val="1F2668"/>
                <w:spacing w:val="-2"/>
              </w:rPr>
              <w:t>EC</w:t>
            </w:r>
            <w:r>
              <w:rPr>
                <w:spacing w:val="-2"/>
              </w:rPr>
              <w:t xml:space="preserve"> </w:t>
            </w:r>
            <w:r>
              <w:rPr>
                <w:b w:val="false"/>
                <w:spacing w:val="-2"/>
              </w:rPr>
              <w:t>= Executive Committee</w:t>
            </w:r>
            <w:r>
              <w:rPr/>
              <w:t xml:space="preserve"> </w:t>
            </w:r>
          </w:p>
        </w:tc>
        <w:tc>
          <w:tcPr>
            <w:tcW w:w="156" w:type="dxa"/>
            <w:tcBorders/>
            <w:vAlign w:val="center"/>
          </w:tcPr>
          <w:p>
            <w:pPr>
              <w:pStyle w:val="TableContents"/>
              <w:bidi w:val="0"/>
              <w:spacing w:before="0" w:after="283"/>
              <w:jc w:val="left"/>
              <w:rPr/>
            </w:pPr>
            <w:r>
              <w:rPr/>
              <w:t>​</w:t>
            </w:r>
          </w:p>
        </w:tc>
      </w:tr>
    </w:tbl>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320" w:after="0"/>
        <w:ind w:left="1300" w:right="0" w:hanging="0"/>
        <w:jc w:val="left"/>
        <w:rPr>
          <w:rFonts w:ascii="Arial;Helvetica;sans-serif" w:hAnsi="Arial;Helvetica;sans-serif"/>
          <w:b w:val="false"/>
          <w:i w:val="false"/>
          <w:caps w:val="false"/>
          <w:smallCaps w:val="false"/>
          <w:color w:val="000000"/>
          <w:spacing w:val="-2"/>
          <w:sz w:val="16"/>
        </w:rPr>
      </w:pPr>
      <w:r>
        <w:rPr>
          <w:rFonts w:ascii="Arial;Helvetica;sans-serif" w:hAnsi="Arial;Helvetica;sans-serif"/>
          <w:b w:val="false"/>
          <w:i w:val="false"/>
          <w:caps w:val="false"/>
          <w:smallCaps w:val="false"/>
          <w:color w:val="000000"/>
          <w:spacing w:val="-2"/>
          <w:sz w:val="16"/>
        </w:rPr>
        <w:t xml:space="preserve">This table reflects both current committee memberships and anticipated committee memberships if our full slate of director nominees is elected at the 2026 Annual Meeting. </w:t>
      </w:r>
      <w:r>
        <mc:AlternateContent>
          <mc:Choice Requires="wps">
            <w:drawing>
              <wp:anchor behindDoc="0" distT="203200" distB="0" distL="0" distR="0" simplePos="0" locked="0" layoutInCell="1" allowOverlap="1" relativeHeight="369">
                <wp:simplePos x="0" y="0"/>
                <wp:positionH relativeFrom="column">
                  <wp:align>left</wp:align>
                </wp:positionH>
                <wp:positionV relativeFrom="line">
                  <wp:align>top</wp:align>
                </wp:positionV>
                <wp:extent cx="254000" cy="254000"/>
                <wp:effectExtent l="0" t="0" r="0" b="0"/>
                <wp:wrapSquare wrapText="right"/>
                <wp:docPr id="137" name="Frame72"/>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2"/>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2"/>
                          <w:sz w:val="16"/>
                        </w:rPr>
                        <w:t>(1)</w:t>
                      </w:r>
                      <w:r>
                        <w:rPr>
                          <w:sz w:val="16"/>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1F2668"/>
          <w:sz w:val="16"/>
        </w:rPr>
        <w:t xml:space="preserve"> </w:t>
      </w:r>
    </w:p>
    <w:tbl>
      <w:tblPr>
        <w:tblW w:w="5225" w:type="dxa"/>
        <w:jc w:val="left"/>
        <w:tblInd w:w="900" w:type="dxa"/>
        <w:tblLayout w:type="fixed"/>
        <w:tblCellMar>
          <w:top w:w="0" w:type="dxa"/>
          <w:left w:w="0" w:type="dxa"/>
          <w:bottom w:w="0" w:type="dxa"/>
          <w:right w:w="0" w:type="dxa"/>
        </w:tblCellMar>
      </w:tblPr>
      <w:tblGrid>
        <w:gridCol w:w="124"/>
        <w:gridCol w:w="346"/>
        <w:gridCol w:w="109"/>
        <w:gridCol w:w="109"/>
        <w:gridCol w:w="4383"/>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12</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383" w:type="dxa"/>
            <w:tcBorders/>
            <w:vAlign w:val="center"/>
          </w:tcPr>
          <w:p>
            <w:pPr>
              <w:pStyle w:val="TableContents"/>
              <w:bidi w:val="0"/>
              <w:spacing w:lineRule="atLeast" w:line="200" w:before="0" w:after="0"/>
              <w:jc w:val="left"/>
              <w:rPr/>
            </w:pPr>
            <w:r>
              <w:rPr>
                <w:spacing w:val="-2"/>
              </w:rPr>
              <w:t>    </w:t>
            </w:r>
            <w:r>
              <w:rPr>
                <w:spacing w:val="-2"/>
                <w:sz w:val="16"/>
              </w:rPr>
              <w:t>SL GREEN REALTY CORP. 2026 PROXY STATEMENT</w:t>
            </w:r>
            <w:r>
              <w:rPr>
                <w:sz w:val="16"/>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560" w:after="154"/>
        <w:ind w:left="9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The matrix below represents some of the key skills that our Board has identified as particularly valuable to the effective oversight of the Company and the execution of our strategy. This matrix highlights the depth and breadth of skills of our director nominees.</w:t>
      </w:r>
      <w:r>
        <w:rPr>
          <w:rFonts w:ascii="Arial;Helvetica;sans-serif" w:hAnsi="Arial;Helvetica;sans-serif"/>
          <w:b w:val="false"/>
          <w:i w:val="false"/>
          <w:caps w:val="false"/>
          <w:smallCaps w:val="false"/>
          <w:color w:val="000000"/>
          <w:spacing w:val="4"/>
          <w:sz w:val="18"/>
        </w:rPr>
        <w:t xml:space="preserve"> </w:t>
      </w:r>
    </w:p>
    <w:tbl>
      <w:tblPr>
        <w:tblW w:w="12046" w:type="dxa"/>
        <w:jc w:val="left"/>
        <w:tblInd w:w="900" w:type="dxa"/>
        <w:tblLayout w:type="fixed"/>
        <w:tblCellMar>
          <w:top w:w="0" w:type="dxa"/>
          <w:left w:w="0" w:type="dxa"/>
          <w:bottom w:w="50" w:type="dxa"/>
          <w:right w:w="0" w:type="dxa"/>
        </w:tblCellMar>
      </w:tblPr>
      <w:tblGrid>
        <w:gridCol w:w="731"/>
        <w:gridCol w:w="109"/>
        <w:gridCol w:w="109"/>
        <w:gridCol w:w="1402"/>
        <w:gridCol w:w="109"/>
        <w:gridCol w:w="109"/>
        <w:gridCol w:w="109"/>
        <w:gridCol w:w="109"/>
        <w:gridCol w:w="109"/>
        <w:gridCol w:w="109"/>
        <w:gridCol w:w="109"/>
        <w:gridCol w:w="1013"/>
        <w:gridCol w:w="109"/>
        <w:gridCol w:w="109"/>
        <w:gridCol w:w="109"/>
        <w:gridCol w:w="762"/>
        <w:gridCol w:w="109"/>
        <w:gridCol w:w="109"/>
        <w:gridCol w:w="109"/>
        <w:gridCol w:w="760"/>
        <w:gridCol w:w="109"/>
        <w:gridCol w:w="109"/>
        <w:gridCol w:w="109"/>
        <w:gridCol w:w="687"/>
        <w:gridCol w:w="109"/>
        <w:gridCol w:w="109"/>
        <w:gridCol w:w="109"/>
        <w:gridCol w:w="835"/>
        <w:gridCol w:w="109"/>
        <w:gridCol w:w="109"/>
        <w:gridCol w:w="109"/>
        <w:gridCol w:w="924"/>
        <w:gridCol w:w="109"/>
        <w:gridCol w:w="109"/>
        <w:gridCol w:w="109"/>
        <w:gridCol w:w="658"/>
        <w:gridCol w:w="109"/>
        <w:gridCol w:w="109"/>
        <w:gridCol w:w="109"/>
        <w:gridCol w:w="850"/>
        <w:gridCol w:w="154"/>
      </w:tblGrid>
      <w:tr>
        <w:trPr/>
        <w:tc>
          <w:tcPr>
            <w:tcW w:w="731" w:type="dxa"/>
            <w:tcBorders>
              <w:bottom w:val="single" w:sz="4" w:space="0" w:color="1F2668"/>
            </w:tcBorders>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402" w:type="dxa"/>
            <w:tcBorders>
              <w:bottom w:val="single" w:sz="4" w:space="0" w:color="1F2668"/>
            </w:tcBorders>
            <w:vAlign w:val="center"/>
          </w:tcPr>
          <w:p>
            <w:pPr>
              <w:pStyle w:val="TableContents"/>
              <w:bidi w:val="0"/>
              <w:spacing w:before="0" w:after="0"/>
              <w:jc w:val="left"/>
              <w:rPr>
                <w:spacing w:val="-2"/>
                <w:sz w:val="16"/>
              </w:rPr>
            </w:pPr>
            <w:r>
              <w:rPr>
                <w:spacing w:val="-2"/>
                <w:sz w:val="16"/>
              </w:rPr>
              <w:t xml:space="preserve">Skills, Experiences and Attributes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13" w:type="dxa"/>
            <w:tcBorders>
              <w:bottom w:val="single" w:sz="4" w:space="0" w:color="1F2668"/>
            </w:tcBorders>
            <w:vAlign w:val="center"/>
          </w:tcPr>
          <w:p>
            <w:pPr>
              <w:pStyle w:val="TableContents"/>
              <w:bidi w:val="0"/>
              <w:spacing w:before="0" w:after="0"/>
              <w:jc w:val="center"/>
              <w:rPr>
                <w:spacing w:val="-1"/>
              </w:rPr>
            </w:pPr>
            <w:r>
              <w:rPr>
                <w:spacing w:val="-1"/>
              </w:rPr>
              <w:t xml:space="preserve">Alschuler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762" w:type="dxa"/>
            <w:tcBorders>
              <w:bottom w:val="single" w:sz="4" w:space="0" w:color="1F2668"/>
            </w:tcBorders>
            <w:vAlign w:val="center"/>
          </w:tcPr>
          <w:p>
            <w:pPr>
              <w:pStyle w:val="TableContents"/>
              <w:bidi w:val="0"/>
              <w:spacing w:before="0" w:after="0"/>
              <w:jc w:val="center"/>
              <w:rPr>
                <w:spacing w:val="-1"/>
              </w:rPr>
            </w:pPr>
            <w:r>
              <w:rPr>
                <w:spacing w:val="-1"/>
              </w:rPr>
              <w:t xml:space="preserve">Brown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760" w:type="dxa"/>
            <w:tcBorders>
              <w:bottom w:val="single" w:sz="4" w:space="0" w:color="1F2668"/>
            </w:tcBorders>
            <w:vAlign w:val="center"/>
          </w:tcPr>
          <w:p>
            <w:pPr>
              <w:pStyle w:val="TableContents"/>
              <w:bidi w:val="0"/>
              <w:spacing w:before="0" w:after="0"/>
              <w:jc w:val="center"/>
              <w:rPr>
                <w:spacing w:val="-1"/>
              </w:rPr>
            </w:pPr>
            <w:r>
              <w:rPr>
                <w:spacing w:val="-1"/>
              </w:rPr>
              <w:t xml:space="preserve">Dillard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687" w:type="dxa"/>
            <w:tcBorders>
              <w:bottom w:val="single" w:sz="4" w:space="0" w:color="1F2668"/>
            </w:tcBorders>
            <w:vAlign w:val="center"/>
          </w:tcPr>
          <w:p>
            <w:pPr>
              <w:pStyle w:val="TableContents"/>
              <w:bidi w:val="0"/>
              <w:spacing w:before="0" w:after="0"/>
              <w:jc w:val="center"/>
              <w:rPr>
                <w:spacing w:val="-1"/>
              </w:rPr>
            </w:pPr>
            <w:r>
              <w:rPr>
                <w:spacing w:val="-1"/>
              </w:rPr>
              <w:t xml:space="preserve">Green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835" w:type="dxa"/>
            <w:tcBorders>
              <w:bottom w:val="single" w:sz="4" w:space="0" w:color="1F2668"/>
            </w:tcBorders>
            <w:vAlign w:val="center"/>
          </w:tcPr>
          <w:p>
            <w:pPr>
              <w:pStyle w:val="TableContents"/>
              <w:bidi w:val="0"/>
              <w:spacing w:before="0" w:after="0"/>
              <w:jc w:val="center"/>
              <w:rPr>
                <w:spacing w:val="-1"/>
              </w:rPr>
            </w:pPr>
            <w:r>
              <w:rPr>
                <w:spacing w:val="-1"/>
              </w:rPr>
              <w:t xml:space="preserve">Hatkoff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924" w:type="dxa"/>
            <w:tcBorders>
              <w:bottom w:val="single" w:sz="4" w:space="0" w:color="1F2668"/>
            </w:tcBorders>
            <w:vAlign w:val="center"/>
          </w:tcPr>
          <w:p>
            <w:pPr>
              <w:pStyle w:val="TableContents"/>
              <w:bidi w:val="0"/>
              <w:spacing w:before="0" w:after="0"/>
              <w:jc w:val="center"/>
              <w:rPr>
                <w:spacing w:val="-1"/>
              </w:rPr>
            </w:pPr>
            <w:r>
              <w:rPr>
                <w:spacing w:val="-1"/>
              </w:rPr>
              <w:t xml:space="preserve">Holliday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658" w:type="dxa"/>
            <w:tcBorders>
              <w:bottom w:val="single" w:sz="4" w:space="0" w:color="1F2668"/>
            </w:tcBorders>
            <w:vAlign w:val="center"/>
          </w:tcPr>
          <w:p>
            <w:pPr>
              <w:pStyle w:val="TableContents"/>
              <w:bidi w:val="0"/>
              <w:spacing w:before="0" w:after="0"/>
              <w:jc w:val="center"/>
              <w:rPr>
                <w:spacing w:val="-1"/>
              </w:rPr>
            </w:pPr>
            <w:r>
              <w:rPr>
                <w:spacing w:val="-1"/>
              </w:rPr>
              <w:t xml:space="preserve">Lamb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850" w:type="dxa"/>
            <w:tcBorders>
              <w:bottom w:val="single" w:sz="4" w:space="0" w:color="1F2668"/>
            </w:tcBorders>
            <w:vAlign w:val="center"/>
          </w:tcPr>
          <w:p>
            <w:pPr>
              <w:pStyle w:val="TableContents"/>
              <w:bidi w:val="0"/>
              <w:spacing w:before="0" w:after="0"/>
              <w:jc w:val="center"/>
              <w:rPr>
                <w:spacing w:val="-1"/>
              </w:rPr>
            </w:pPr>
            <w:r>
              <w:rPr>
                <w:spacing w:val="-1"/>
              </w:rPr>
              <w:t xml:space="preserve">Mathias </w:t>
            </w:r>
          </w:p>
        </w:tc>
        <w:tc>
          <w:tcPr>
            <w:tcW w:w="154" w:type="dxa"/>
            <w:tcBorders>
              <w:bottom w:val="single" w:sz="4" w:space="0" w:color="1F2668"/>
            </w:tcBorders>
            <w:tcMar>
              <w:bottom w:w="28" w:type="dxa"/>
            </w:tcMar>
            <w:vAlign w:val="center"/>
          </w:tcPr>
          <w:p>
            <w:pPr>
              <w:pStyle w:val="TableContents"/>
              <w:bidi w:val="0"/>
              <w:spacing w:before="0" w:after="283"/>
              <w:jc w:val="left"/>
              <w:rPr/>
            </w:pPr>
            <w:r>
              <w:rPr/>
              <w:t>​</w:t>
            </w:r>
          </w:p>
        </w:tc>
      </w:tr>
      <w:tr>
        <w:trPr/>
        <w:tc>
          <w:tcPr>
            <w:tcW w:w="731" w:type="dxa"/>
            <w:tcBorders>
              <w:bottom w:val="single" w:sz="4" w:space="0" w:color="1F2668"/>
            </w:tcBorders>
            <w:tcMar>
              <w:bottom w:w="85" w:type="dxa"/>
            </w:tcMar>
            <w:vAlign w:val="center"/>
          </w:tcPr>
          <w:p>
            <w:pPr>
              <w:pStyle w:val="TableContents"/>
              <w:bidi w:val="0"/>
              <w:spacing w:before="0" w:after="0"/>
              <w:jc w:val="left"/>
              <w:rPr/>
            </w:pPr>
            <w:r>
              <w:rPr/>
              <w:drawing>
                <wp:inline distT="0" distB="0" distL="0" distR="0">
                  <wp:extent cx="371475" cy="390525"/>
                  <wp:effectExtent l="0" t="0" r="0" b="0"/>
                  <wp:docPr id="138"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55" descr=""/>
                          <pic:cNvPicPr>
                            <a:picLocks noChangeAspect="1" noChangeArrowheads="1"/>
                          </pic:cNvPicPr>
                        </pic:nvPicPr>
                        <pic:blipFill>
                          <a:blip r:embed="rId73"/>
                          <a:stretch>
                            <a:fillRect/>
                          </a:stretch>
                        </pic:blipFill>
                        <pic:spPr bwMode="auto">
                          <a:xfrm>
                            <a:off x="0" y="0"/>
                            <a:ext cx="371475" cy="390525"/>
                          </a:xfrm>
                          <a:prstGeom prst="rect">
                            <a:avLst/>
                          </a:prstGeom>
                        </pic:spPr>
                      </pic:pic>
                    </a:graphicData>
                  </a:graphic>
                </wp:inline>
              </w:drawing>
            </w:r>
            <w:r>
              <w:rPr/>
              <w:t xml:space="preserve">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402" w:type="dxa"/>
            <w:tcBorders>
              <w:bottom w:val="single" w:sz="4" w:space="0" w:color="1F2668"/>
            </w:tcBorders>
            <w:tcMar>
              <w:bottom w:w="28" w:type="dxa"/>
            </w:tcMar>
            <w:vAlign w:val="center"/>
          </w:tcPr>
          <w:p>
            <w:pPr>
              <w:pStyle w:val="TableContents"/>
              <w:bidi w:val="0"/>
              <w:spacing w:lineRule="atLeast" w:line="220" w:before="0" w:after="0"/>
              <w:jc w:val="left"/>
              <w:rPr/>
            </w:pPr>
            <w:r>
              <w:rPr>
                <w:spacing w:val="-2"/>
              </w:rPr>
              <w:t>Executive Leadership</w:t>
            </w:r>
            <w:r>
              <w:rPr/>
              <w:t xml:space="preserve">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13" w:type="dxa"/>
            <w:tcBorders>
              <w:bottom w:val="single" w:sz="4" w:space="0" w:color="1F2668"/>
            </w:tcBorders>
            <w:tcMar>
              <w:bottom w:w="28" w:type="dxa"/>
            </w:tcMar>
            <w:vAlign w:val="center"/>
          </w:tcPr>
          <w:p>
            <w:pPr>
              <w:pStyle w:val="TableContents"/>
              <w:bidi w:val="0"/>
              <w:spacing w:before="0" w:after="0"/>
              <w:jc w:val="center"/>
              <w:rPr/>
            </w:pPr>
            <w:r>
              <w:rPr/>
              <w:drawing>
                <wp:inline distT="0" distB="0" distL="0" distR="0">
                  <wp:extent cx="180975" cy="123825"/>
                  <wp:effectExtent l="0" t="0" r="0" b="0"/>
                  <wp:docPr id="139"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56" descr=""/>
                          <pic:cNvPicPr>
                            <a:picLocks noChangeAspect="1" noChangeArrowheads="1"/>
                          </pic:cNvPicPr>
                        </pic:nvPicPr>
                        <pic:blipFill>
                          <a:blip r:embed="rId74"/>
                          <a:stretch>
                            <a:fillRect/>
                          </a:stretch>
                        </pic:blipFill>
                        <pic:spPr bwMode="auto">
                          <a:xfrm>
                            <a:off x="0" y="0"/>
                            <a:ext cx="180975" cy="123825"/>
                          </a:xfrm>
                          <a:prstGeom prst="rect">
                            <a:avLst/>
                          </a:prstGeom>
                        </pic:spPr>
                      </pic:pic>
                    </a:graphicData>
                  </a:graphic>
                </wp:inline>
              </w:drawing>
            </w:r>
            <w:r>
              <w:rPr/>
              <w:t xml:space="preserve">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762"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760" w:type="dxa"/>
            <w:tcBorders>
              <w:bottom w:val="single" w:sz="4" w:space="0" w:color="1F2668"/>
            </w:tcBorders>
            <w:tcMar>
              <w:bottom w:w="28" w:type="dxa"/>
            </w:tcMar>
            <w:vAlign w:val="center"/>
          </w:tcPr>
          <w:p>
            <w:pPr>
              <w:pStyle w:val="TableContents"/>
              <w:bidi w:val="0"/>
              <w:spacing w:before="0" w:after="0"/>
              <w:jc w:val="center"/>
              <w:rPr/>
            </w:pPr>
            <w:r>
              <w:rPr/>
              <w:drawing>
                <wp:inline distT="0" distB="0" distL="0" distR="0">
                  <wp:extent cx="180975" cy="123825"/>
                  <wp:effectExtent l="0" t="0" r="0" b="0"/>
                  <wp:docPr id="140"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57" descr=""/>
                          <pic:cNvPicPr>
                            <a:picLocks noChangeAspect="1" noChangeArrowheads="1"/>
                          </pic:cNvPicPr>
                        </pic:nvPicPr>
                        <pic:blipFill>
                          <a:blip r:embed="rId75"/>
                          <a:stretch>
                            <a:fillRect/>
                          </a:stretch>
                        </pic:blipFill>
                        <pic:spPr bwMode="auto">
                          <a:xfrm>
                            <a:off x="0" y="0"/>
                            <a:ext cx="180975" cy="123825"/>
                          </a:xfrm>
                          <a:prstGeom prst="rect">
                            <a:avLst/>
                          </a:prstGeom>
                        </pic:spPr>
                      </pic:pic>
                    </a:graphicData>
                  </a:graphic>
                </wp:inline>
              </w:drawing>
            </w:r>
            <w:r>
              <w:rPr/>
              <w:t xml:space="preserve">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687" w:type="dxa"/>
            <w:tcBorders>
              <w:bottom w:val="single" w:sz="4" w:space="0" w:color="1F2668"/>
            </w:tcBorders>
            <w:tcMar>
              <w:bottom w:w="28" w:type="dxa"/>
            </w:tcMar>
            <w:vAlign w:val="center"/>
          </w:tcPr>
          <w:p>
            <w:pPr>
              <w:pStyle w:val="TableContents"/>
              <w:bidi w:val="0"/>
              <w:spacing w:before="0" w:after="0"/>
              <w:jc w:val="center"/>
              <w:rPr/>
            </w:pPr>
            <w:r>
              <w:rPr/>
              <w:drawing>
                <wp:inline distT="0" distB="0" distL="0" distR="0">
                  <wp:extent cx="180975" cy="123825"/>
                  <wp:effectExtent l="0" t="0" r="0" b="0"/>
                  <wp:docPr id="141"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58" descr=""/>
                          <pic:cNvPicPr>
                            <a:picLocks noChangeAspect="1" noChangeArrowheads="1"/>
                          </pic:cNvPicPr>
                        </pic:nvPicPr>
                        <pic:blipFill>
                          <a:blip r:embed="rId76"/>
                          <a:stretch>
                            <a:fillRect/>
                          </a:stretch>
                        </pic:blipFill>
                        <pic:spPr bwMode="auto">
                          <a:xfrm>
                            <a:off x="0" y="0"/>
                            <a:ext cx="180975" cy="123825"/>
                          </a:xfrm>
                          <a:prstGeom prst="rect">
                            <a:avLst/>
                          </a:prstGeom>
                        </pic:spPr>
                      </pic:pic>
                    </a:graphicData>
                  </a:graphic>
                </wp:inline>
              </w:drawing>
            </w:r>
            <w:r>
              <w:rPr/>
              <w:t xml:space="preserve">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835" w:type="dxa"/>
            <w:tcBorders>
              <w:bottom w:val="single" w:sz="4" w:space="0" w:color="1F2668"/>
            </w:tcBorders>
            <w:tcMar>
              <w:bottom w:w="28" w:type="dxa"/>
            </w:tcMar>
            <w:vAlign w:val="center"/>
          </w:tcPr>
          <w:p>
            <w:pPr>
              <w:pStyle w:val="TableContents"/>
              <w:bidi w:val="0"/>
              <w:spacing w:before="0" w:after="0"/>
              <w:jc w:val="center"/>
              <w:rPr/>
            </w:pPr>
            <w:r>
              <w:rPr/>
              <w:drawing>
                <wp:inline distT="0" distB="0" distL="0" distR="0">
                  <wp:extent cx="180975" cy="123825"/>
                  <wp:effectExtent l="0" t="0" r="0" b="0"/>
                  <wp:docPr id="142"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59" descr=""/>
                          <pic:cNvPicPr>
                            <a:picLocks noChangeAspect="1" noChangeArrowheads="1"/>
                          </pic:cNvPicPr>
                        </pic:nvPicPr>
                        <pic:blipFill>
                          <a:blip r:embed="rId77"/>
                          <a:stretch>
                            <a:fillRect/>
                          </a:stretch>
                        </pic:blipFill>
                        <pic:spPr bwMode="auto">
                          <a:xfrm>
                            <a:off x="0" y="0"/>
                            <a:ext cx="180975" cy="123825"/>
                          </a:xfrm>
                          <a:prstGeom prst="rect">
                            <a:avLst/>
                          </a:prstGeom>
                        </pic:spPr>
                      </pic:pic>
                    </a:graphicData>
                  </a:graphic>
                </wp:inline>
              </w:drawing>
            </w:r>
            <w:r>
              <w:rPr/>
              <w:t xml:space="preserve">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924" w:type="dxa"/>
            <w:tcBorders>
              <w:bottom w:val="single" w:sz="4" w:space="0" w:color="1F2668"/>
            </w:tcBorders>
            <w:tcMar>
              <w:bottom w:w="28" w:type="dxa"/>
            </w:tcMar>
            <w:vAlign w:val="center"/>
          </w:tcPr>
          <w:p>
            <w:pPr>
              <w:pStyle w:val="TableContents"/>
              <w:bidi w:val="0"/>
              <w:spacing w:before="0" w:after="0"/>
              <w:jc w:val="center"/>
              <w:rPr/>
            </w:pPr>
            <w:r>
              <w:rPr/>
              <w:drawing>
                <wp:inline distT="0" distB="0" distL="0" distR="0">
                  <wp:extent cx="180975" cy="123825"/>
                  <wp:effectExtent l="0" t="0" r="0" b="0"/>
                  <wp:docPr id="143"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60" descr=""/>
                          <pic:cNvPicPr>
                            <a:picLocks noChangeAspect="1" noChangeArrowheads="1"/>
                          </pic:cNvPicPr>
                        </pic:nvPicPr>
                        <pic:blipFill>
                          <a:blip r:embed="rId78"/>
                          <a:stretch>
                            <a:fillRect/>
                          </a:stretch>
                        </pic:blipFill>
                        <pic:spPr bwMode="auto">
                          <a:xfrm>
                            <a:off x="0" y="0"/>
                            <a:ext cx="180975" cy="123825"/>
                          </a:xfrm>
                          <a:prstGeom prst="rect">
                            <a:avLst/>
                          </a:prstGeom>
                        </pic:spPr>
                      </pic:pic>
                    </a:graphicData>
                  </a:graphic>
                </wp:inline>
              </w:drawing>
            </w:r>
            <w:r>
              <w:rPr/>
              <w:t xml:space="preserve">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658" w:type="dxa"/>
            <w:tcBorders>
              <w:bottom w:val="single" w:sz="4" w:space="0" w:color="1F2668"/>
            </w:tcBorders>
            <w:tcMar>
              <w:bottom w:w="28" w:type="dxa"/>
            </w:tcMar>
            <w:vAlign w:val="center"/>
          </w:tcPr>
          <w:p>
            <w:pPr>
              <w:pStyle w:val="TableContents"/>
              <w:bidi w:val="0"/>
              <w:spacing w:before="0" w:after="0"/>
              <w:jc w:val="center"/>
              <w:rPr/>
            </w:pPr>
            <w:r>
              <w:rPr/>
              <w:drawing>
                <wp:inline distT="0" distB="0" distL="0" distR="0">
                  <wp:extent cx="180975" cy="123825"/>
                  <wp:effectExtent l="0" t="0" r="0" b="0"/>
                  <wp:docPr id="144"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61" descr=""/>
                          <pic:cNvPicPr>
                            <a:picLocks noChangeAspect="1" noChangeArrowheads="1"/>
                          </pic:cNvPicPr>
                        </pic:nvPicPr>
                        <pic:blipFill>
                          <a:blip r:embed="rId79"/>
                          <a:stretch>
                            <a:fillRect/>
                          </a:stretch>
                        </pic:blipFill>
                        <pic:spPr bwMode="auto">
                          <a:xfrm>
                            <a:off x="0" y="0"/>
                            <a:ext cx="180975" cy="123825"/>
                          </a:xfrm>
                          <a:prstGeom prst="rect">
                            <a:avLst/>
                          </a:prstGeom>
                        </pic:spPr>
                      </pic:pic>
                    </a:graphicData>
                  </a:graphic>
                </wp:inline>
              </w:drawing>
            </w:r>
            <w:r>
              <w:rPr/>
              <w:t xml:space="preserve">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850" w:type="dxa"/>
            <w:tcBorders>
              <w:bottom w:val="single" w:sz="4" w:space="0" w:color="1F2668"/>
            </w:tcBorders>
            <w:tcMar>
              <w:bottom w:w="28" w:type="dxa"/>
            </w:tcMar>
            <w:vAlign w:val="center"/>
          </w:tcPr>
          <w:p>
            <w:pPr>
              <w:pStyle w:val="TableContents"/>
              <w:bidi w:val="0"/>
              <w:spacing w:before="0" w:after="0"/>
              <w:jc w:val="center"/>
              <w:rPr/>
            </w:pPr>
            <w:r>
              <w:rPr/>
              <w:drawing>
                <wp:inline distT="0" distB="0" distL="0" distR="0">
                  <wp:extent cx="180975" cy="123825"/>
                  <wp:effectExtent l="0" t="0" r="0" b="0"/>
                  <wp:docPr id="145"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62" descr=""/>
                          <pic:cNvPicPr>
                            <a:picLocks noChangeAspect="1" noChangeArrowheads="1"/>
                          </pic:cNvPicPr>
                        </pic:nvPicPr>
                        <pic:blipFill>
                          <a:blip r:embed="rId80"/>
                          <a:stretch>
                            <a:fillRect/>
                          </a:stretch>
                        </pic:blipFill>
                        <pic:spPr bwMode="auto">
                          <a:xfrm>
                            <a:off x="0" y="0"/>
                            <a:ext cx="180975" cy="123825"/>
                          </a:xfrm>
                          <a:prstGeom prst="rect">
                            <a:avLst/>
                          </a:prstGeom>
                        </pic:spPr>
                      </pic:pic>
                    </a:graphicData>
                  </a:graphic>
                </wp:inline>
              </w:drawing>
            </w:r>
            <w:r>
              <w:rPr/>
              <w:t xml:space="preserve"> </w:t>
            </w:r>
          </w:p>
        </w:tc>
        <w:tc>
          <w:tcPr>
            <w:tcW w:w="154" w:type="dxa"/>
            <w:tcBorders>
              <w:bottom w:val="single" w:sz="4" w:space="0" w:color="1F2668"/>
            </w:tcBorders>
            <w:tcMar>
              <w:bottom w:w="28" w:type="dxa"/>
            </w:tcMar>
            <w:vAlign w:val="center"/>
          </w:tcPr>
          <w:p>
            <w:pPr>
              <w:pStyle w:val="TableContents"/>
              <w:bidi w:val="0"/>
              <w:spacing w:before="0" w:after="283"/>
              <w:jc w:val="left"/>
              <w:rPr/>
            </w:pPr>
            <w:r>
              <w:rPr/>
              <w:t>​</w:t>
            </w:r>
          </w:p>
        </w:tc>
      </w:tr>
      <w:tr>
        <w:trPr/>
        <w:tc>
          <w:tcPr>
            <w:tcW w:w="731" w:type="dxa"/>
            <w:tcBorders>
              <w:bottom w:val="single" w:sz="4" w:space="0" w:color="1F2668"/>
            </w:tcBorders>
            <w:tcMar>
              <w:bottom w:w="85" w:type="dxa"/>
            </w:tcMar>
            <w:vAlign w:val="center"/>
          </w:tcPr>
          <w:p>
            <w:pPr>
              <w:pStyle w:val="TableContents"/>
              <w:bidi w:val="0"/>
              <w:spacing w:before="0" w:after="0"/>
              <w:jc w:val="left"/>
              <w:rPr/>
            </w:pPr>
            <w:r>
              <w:rPr/>
              <w:drawing>
                <wp:inline distT="0" distB="0" distL="0" distR="0">
                  <wp:extent cx="371475" cy="371475"/>
                  <wp:effectExtent l="0" t="0" r="0" b="0"/>
                  <wp:docPr id="146"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63" descr=""/>
                          <pic:cNvPicPr>
                            <a:picLocks noChangeAspect="1" noChangeArrowheads="1"/>
                          </pic:cNvPicPr>
                        </pic:nvPicPr>
                        <pic:blipFill>
                          <a:blip r:embed="rId81"/>
                          <a:stretch>
                            <a:fillRect/>
                          </a:stretch>
                        </pic:blipFill>
                        <pic:spPr bwMode="auto">
                          <a:xfrm>
                            <a:off x="0" y="0"/>
                            <a:ext cx="371475" cy="371475"/>
                          </a:xfrm>
                          <a:prstGeom prst="rect">
                            <a:avLst/>
                          </a:prstGeom>
                        </pic:spPr>
                      </pic:pic>
                    </a:graphicData>
                  </a:graphic>
                </wp:inline>
              </w:drawing>
            </w:r>
            <w:r>
              <w:rPr/>
              <w:t xml:space="preserve">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402" w:type="dxa"/>
            <w:tcBorders>
              <w:bottom w:val="single" w:sz="4" w:space="0" w:color="1F2668"/>
            </w:tcBorders>
            <w:tcMar>
              <w:bottom w:w="28" w:type="dxa"/>
            </w:tcMar>
            <w:vAlign w:val="center"/>
          </w:tcPr>
          <w:p>
            <w:pPr>
              <w:pStyle w:val="TableContents"/>
              <w:bidi w:val="0"/>
              <w:spacing w:lineRule="atLeast" w:line="220" w:before="0" w:after="0"/>
              <w:jc w:val="left"/>
              <w:rPr/>
            </w:pPr>
            <w:r>
              <w:rPr>
                <w:spacing w:val="-2"/>
              </w:rPr>
              <w:t>Finance/Capital Markets</w:t>
            </w:r>
            <w:r>
              <w:rPr/>
              <w:t xml:space="preserve">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13" w:type="dxa"/>
            <w:tcBorders>
              <w:bottom w:val="single" w:sz="4" w:space="0" w:color="1F2668"/>
            </w:tcBorders>
            <w:tcMar>
              <w:bottom w:w="28" w:type="dxa"/>
            </w:tcMar>
            <w:vAlign w:val="center"/>
          </w:tcPr>
          <w:p>
            <w:pPr>
              <w:pStyle w:val="TableContents"/>
              <w:bidi w:val="0"/>
              <w:spacing w:before="0" w:after="0"/>
              <w:jc w:val="center"/>
              <w:rPr/>
            </w:pPr>
            <w:r>
              <w:rPr/>
              <w:drawing>
                <wp:inline distT="0" distB="0" distL="0" distR="0">
                  <wp:extent cx="180975" cy="123825"/>
                  <wp:effectExtent l="0" t="0" r="0" b="0"/>
                  <wp:docPr id="147"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64" descr=""/>
                          <pic:cNvPicPr>
                            <a:picLocks noChangeAspect="1" noChangeArrowheads="1"/>
                          </pic:cNvPicPr>
                        </pic:nvPicPr>
                        <pic:blipFill>
                          <a:blip r:embed="rId82"/>
                          <a:stretch>
                            <a:fillRect/>
                          </a:stretch>
                        </pic:blipFill>
                        <pic:spPr bwMode="auto">
                          <a:xfrm>
                            <a:off x="0" y="0"/>
                            <a:ext cx="180975" cy="123825"/>
                          </a:xfrm>
                          <a:prstGeom prst="rect">
                            <a:avLst/>
                          </a:prstGeom>
                        </pic:spPr>
                      </pic:pic>
                    </a:graphicData>
                  </a:graphic>
                </wp:inline>
              </w:drawing>
            </w:r>
            <w:r>
              <w:rPr/>
              <w:t xml:space="preserve">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762"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760" w:type="dxa"/>
            <w:tcBorders>
              <w:bottom w:val="single" w:sz="4" w:space="0" w:color="1F2668"/>
            </w:tcBorders>
            <w:tcMar>
              <w:bottom w:w="28" w:type="dxa"/>
            </w:tcMar>
            <w:vAlign w:val="center"/>
          </w:tcPr>
          <w:p>
            <w:pPr>
              <w:pStyle w:val="TableContents"/>
              <w:bidi w:val="0"/>
              <w:spacing w:before="0" w:after="0"/>
              <w:jc w:val="center"/>
              <w:rPr/>
            </w:pPr>
            <w:r>
              <w:rPr/>
              <w:drawing>
                <wp:inline distT="0" distB="0" distL="0" distR="0">
                  <wp:extent cx="180975" cy="123825"/>
                  <wp:effectExtent l="0" t="0" r="0" b="0"/>
                  <wp:docPr id="148"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65" descr=""/>
                          <pic:cNvPicPr>
                            <a:picLocks noChangeAspect="1" noChangeArrowheads="1"/>
                          </pic:cNvPicPr>
                        </pic:nvPicPr>
                        <pic:blipFill>
                          <a:blip r:embed="rId83"/>
                          <a:stretch>
                            <a:fillRect/>
                          </a:stretch>
                        </pic:blipFill>
                        <pic:spPr bwMode="auto">
                          <a:xfrm>
                            <a:off x="0" y="0"/>
                            <a:ext cx="180975" cy="123825"/>
                          </a:xfrm>
                          <a:prstGeom prst="rect">
                            <a:avLst/>
                          </a:prstGeom>
                        </pic:spPr>
                      </pic:pic>
                    </a:graphicData>
                  </a:graphic>
                </wp:inline>
              </w:drawing>
            </w:r>
            <w:r>
              <w:rPr/>
              <w:t xml:space="preserve">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687" w:type="dxa"/>
            <w:tcBorders>
              <w:bottom w:val="single" w:sz="4" w:space="0" w:color="1F2668"/>
            </w:tcBorders>
            <w:tcMar>
              <w:bottom w:w="28" w:type="dxa"/>
            </w:tcMar>
            <w:vAlign w:val="center"/>
          </w:tcPr>
          <w:p>
            <w:pPr>
              <w:pStyle w:val="TableContents"/>
              <w:bidi w:val="0"/>
              <w:spacing w:before="0" w:after="0"/>
              <w:jc w:val="center"/>
              <w:rPr/>
            </w:pPr>
            <w:r>
              <w:rPr/>
              <w:drawing>
                <wp:inline distT="0" distB="0" distL="0" distR="0">
                  <wp:extent cx="180975" cy="123825"/>
                  <wp:effectExtent l="0" t="0" r="0" b="0"/>
                  <wp:docPr id="149"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66" descr=""/>
                          <pic:cNvPicPr>
                            <a:picLocks noChangeAspect="1" noChangeArrowheads="1"/>
                          </pic:cNvPicPr>
                        </pic:nvPicPr>
                        <pic:blipFill>
                          <a:blip r:embed="rId84"/>
                          <a:stretch>
                            <a:fillRect/>
                          </a:stretch>
                        </pic:blipFill>
                        <pic:spPr bwMode="auto">
                          <a:xfrm>
                            <a:off x="0" y="0"/>
                            <a:ext cx="180975" cy="123825"/>
                          </a:xfrm>
                          <a:prstGeom prst="rect">
                            <a:avLst/>
                          </a:prstGeom>
                        </pic:spPr>
                      </pic:pic>
                    </a:graphicData>
                  </a:graphic>
                </wp:inline>
              </w:drawing>
            </w:r>
            <w:r>
              <w:rPr/>
              <w:t xml:space="preserve">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835" w:type="dxa"/>
            <w:tcBorders>
              <w:bottom w:val="single" w:sz="4" w:space="0" w:color="1F2668"/>
            </w:tcBorders>
            <w:tcMar>
              <w:bottom w:w="28" w:type="dxa"/>
            </w:tcMar>
            <w:vAlign w:val="center"/>
          </w:tcPr>
          <w:p>
            <w:pPr>
              <w:pStyle w:val="TableContents"/>
              <w:bidi w:val="0"/>
              <w:spacing w:before="0" w:after="0"/>
              <w:jc w:val="center"/>
              <w:rPr/>
            </w:pPr>
            <w:r>
              <w:rPr/>
              <w:drawing>
                <wp:inline distT="0" distB="0" distL="0" distR="0">
                  <wp:extent cx="180975" cy="123825"/>
                  <wp:effectExtent l="0" t="0" r="0" b="0"/>
                  <wp:docPr id="150"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67" descr=""/>
                          <pic:cNvPicPr>
                            <a:picLocks noChangeAspect="1" noChangeArrowheads="1"/>
                          </pic:cNvPicPr>
                        </pic:nvPicPr>
                        <pic:blipFill>
                          <a:blip r:embed="rId85"/>
                          <a:stretch>
                            <a:fillRect/>
                          </a:stretch>
                        </pic:blipFill>
                        <pic:spPr bwMode="auto">
                          <a:xfrm>
                            <a:off x="0" y="0"/>
                            <a:ext cx="180975" cy="123825"/>
                          </a:xfrm>
                          <a:prstGeom prst="rect">
                            <a:avLst/>
                          </a:prstGeom>
                        </pic:spPr>
                      </pic:pic>
                    </a:graphicData>
                  </a:graphic>
                </wp:inline>
              </w:drawing>
            </w:r>
            <w:r>
              <w:rPr/>
              <w:t xml:space="preserve">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924" w:type="dxa"/>
            <w:tcBorders>
              <w:bottom w:val="single" w:sz="4" w:space="0" w:color="1F2668"/>
            </w:tcBorders>
            <w:tcMar>
              <w:bottom w:w="28" w:type="dxa"/>
            </w:tcMar>
            <w:vAlign w:val="center"/>
          </w:tcPr>
          <w:p>
            <w:pPr>
              <w:pStyle w:val="TableContents"/>
              <w:bidi w:val="0"/>
              <w:spacing w:before="0" w:after="0"/>
              <w:jc w:val="center"/>
              <w:rPr/>
            </w:pPr>
            <w:r>
              <w:rPr/>
              <w:drawing>
                <wp:inline distT="0" distB="0" distL="0" distR="0">
                  <wp:extent cx="180975" cy="123825"/>
                  <wp:effectExtent l="0" t="0" r="0" b="0"/>
                  <wp:docPr id="151"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68" descr=""/>
                          <pic:cNvPicPr>
                            <a:picLocks noChangeAspect="1" noChangeArrowheads="1"/>
                          </pic:cNvPicPr>
                        </pic:nvPicPr>
                        <pic:blipFill>
                          <a:blip r:embed="rId86"/>
                          <a:stretch>
                            <a:fillRect/>
                          </a:stretch>
                        </pic:blipFill>
                        <pic:spPr bwMode="auto">
                          <a:xfrm>
                            <a:off x="0" y="0"/>
                            <a:ext cx="180975" cy="123825"/>
                          </a:xfrm>
                          <a:prstGeom prst="rect">
                            <a:avLst/>
                          </a:prstGeom>
                        </pic:spPr>
                      </pic:pic>
                    </a:graphicData>
                  </a:graphic>
                </wp:inline>
              </w:drawing>
            </w:r>
            <w:r>
              <w:rPr/>
              <w:t xml:space="preserve">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658" w:type="dxa"/>
            <w:tcBorders>
              <w:bottom w:val="single" w:sz="4" w:space="0" w:color="1F2668"/>
            </w:tcBorders>
            <w:tcMar>
              <w:bottom w:w="28" w:type="dxa"/>
            </w:tcMar>
            <w:vAlign w:val="center"/>
          </w:tcPr>
          <w:p>
            <w:pPr>
              <w:pStyle w:val="TableContents"/>
              <w:bidi w:val="0"/>
              <w:spacing w:before="0" w:after="0"/>
              <w:jc w:val="center"/>
              <w:rPr/>
            </w:pPr>
            <w:r>
              <w:rPr/>
              <w:drawing>
                <wp:inline distT="0" distB="0" distL="0" distR="0">
                  <wp:extent cx="180975" cy="123825"/>
                  <wp:effectExtent l="0" t="0" r="0" b="0"/>
                  <wp:docPr id="152"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69" descr=""/>
                          <pic:cNvPicPr>
                            <a:picLocks noChangeAspect="1" noChangeArrowheads="1"/>
                          </pic:cNvPicPr>
                        </pic:nvPicPr>
                        <pic:blipFill>
                          <a:blip r:embed="rId87"/>
                          <a:stretch>
                            <a:fillRect/>
                          </a:stretch>
                        </pic:blipFill>
                        <pic:spPr bwMode="auto">
                          <a:xfrm>
                            <a:off x="0" y="0"/>
                            <a:ext cx="180975" cy="123825"/>
                          </a:xfrm>
                          <a:prstGeom prst="rect">
                            <a:avLst/>
                          </a:prstGeom>
                        </pic:spPr>
                      </pic:pic>
                    </a:graphicData>
                  </a:graphic>
                </wp:inline>
              </w:drawing>
            </w:r>
            <w:r>
              <w:rPr/>
              <w:t xml:space="preserve">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850" w:type="dxa"/>
            <w:tcBorders>
              <w:bottom w:val="single" w:sz="4" w:space="0" w:color="1F2668"/>
            </w:tcBorders>
            <w:tcMar>
              <w:bottom w:w="28" w:type="dxa"/>
            </w:tcMar>
            <w:vAlign w:val="center"/>
          </w:tcPr>
          <w:p>
            <w:pPr>
              <w:pStyle w:val="TableContents"/>
              <w:bidi w:val="0"/>
              <w:spacing w:before="0" w:after="0"/>
              <w:jc w:val="center"/>
              <w:rPr/>
            </w:pPr>
            <w:r>
              <w:rPr/>
              <w:drawing>
                <wp:inline distT="0" distB="0" distL="0" distR="0">
                  <wp:extent cx="180975" cy="123825"/>
                  <wp:effectExtent l="0" t="0" r="0" b="0"/>
                  <wp:docPr id="153"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70" descr=""/>
                          <pic:cNvPicPr>
                            <a:picLocks noChangeAspect="1" noChangeArrowheads="1"/>
                          </pic:cNvPicPr>
                        </pic:nvPicPr>
                        <pic:blipFill>
                          <a:blip r:embed="rId88"/>
                          <a:stretch>
                            <a:fillRect/>
                          </a:stretch>
                        </pic:blipFill>
                        <pic:spPr bwMode="auto">
                          <a:xfrm>
                            <a:off x="0" y="0"/>
                            <a:ext cx="180975" cy="123825"/>
                          </a:xfrm>
                          <a:prstGeom prst="rect">
                            <a:avLst/>
                          </a:prstGeom>
                        </pic:spPr>
                      </pic:pic>
                    </a:graphicData>
                  </a:graphic>
                </wp:inline>
              </w:drawing>
            </w:r>
            <w:r>
              <w:rPr/>
              <w:t xml:space="preserve"> </w:t>
            </w:r>
          </w:p>
        </w:tc>
        <w:tc>
          <w:tcPr>
            <w:tcW w:w="154" w:type="dxa"/>
            <w:tcBorders>
              <w:bottom w:val="single" w:sz="4" w:space="0" w:color="1F2668"/>
            </w:tcBorders>
            <w:tcMar>
              <w:bottom w:w="28" w:type="dxa"/>
            </w:tcMar>
            <w:vAlign w:val="center"/>
          </w:tcPr>
          <w:p>
            <w:pPr>
              <w:pStyle w:val="TableContents"/>
              <w:bidi w:val="0"/>
              <w:spacing w:before="0" w:after="283"/>
              <w:jc w:val="left"/>
              <w:rPr/>
            </w:pPr>
            <w:r>
              <w:rPr/>
              <w:t>​</w:t>
            </w:r>
          </w:p>
        </w:tc>
      </w:tr>
      <w:tr>
        <w:trPr/>
        <w:tc>
          <w:tcPr>
            <w:tcW w:w="731" w:type="dxa"/>
            <w:tcBorders>
              <w:bottom w:val="single" w:sz="4" w:space="0" w:color="1F2668"/>
            </w:tcBorders>
            <w:tcMar>
              <w:bottom w:w="85" w:type="dxa"/>
            </w:tcMar>
            <w:vAlign w:val="center"/>
          </w:tcPr>
          <w:p>
            <w:pPr>
              <w:pStyle w:val="TableContents"/>
              <w:bidi w:val="0"/>
              <w:spacing w:before="0" w:after="0"/>
              <w:jc w:val="left"/>
              <w:rPr/>
            </w:pPr>
            <w:r>
              <w:rPr/>
              <w:drawing>
                <wp:inline distT="0" distB="0" distL="0" distR="0">
                  <wp:extent cx="352425" cy="409575"/>
                  <wp:effectExtent l="0" t="0" r="0" b="0"/>
                  <wp:docPr id="154"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71" descr=""/>
                          <pic:cNvPicPr>
                            <a:picLocks noChangeAspect="1" noChangeArrowheads="1"/>
                          </pic:cNvPicPr>
                        </pic:nvPicPr>
                        <pic:blipFill>
                          <a:blip r:embed="rId89"/>
                          <a:stretch>
                            <a:fillRect/>
                          </a:stretch>
                        </pic:blipFill>
                        <pic:spPr bwMode="auto">
                          <a:xfrm>
                            <a:off x="0" y="0"/>
                            <a:ext cx="352425" cy="409575"/>
                          </a:xfrm>
                          <a:prstGeom prst="rect">
                            <a:avLst/>
                          </a:prstGeom>
                        </pic:spPr>
                      </pic:pic>
                    </a:graphicData>
                  </a:graphic>
                </wp:inline>
              </w:drawing>
            </w:r>
            <w:r>
              <w:rPr/>
              <w:t xml:space="preserve">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402" w:type="dxa"/>
            <w:tcBorders>
              <w:bottom w:val="single" w:sz="4" w:space="0" w:color="1F2668"/>
            </w:tcBorders>
            <w:tcMar>
              <w:bottom w:w="28" w:type="dxa"/>
            </w:tcMar>
            <w:vAlign w:val="center"/>
          </w:tcPr>
          <w:p>
            <w:pPr>
              <w:pStyle w:val="TableContents"/>
              <w:bidi w:val="0"/>
              <w:spacing w:lineRule="atLeast" w:line="220" w:before="0" w:after="0"/>
              <w:jc w:val="left"/>
              <w:rPr/>
            </w:pPr>
            <w:r>
              <w:rPr>
                <w:spacing w:val="-2"/>
              </w:rPr>
              <w:t>Risk Management</w:t>
            </w:r>
            <w:r>
              <w:rPr/>
              <w:t xml:space="preserve">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13" w:type="dxa"/>
            <w:tcBorders>
              <w:bottom w:val="single" w:sz="4" w:space="0" w:color="1F2668"/>
            </w:tcBorders>
            <w:tcMar>
              <w:bottom w:w="28" w:type="dxa"/>
            </w:tcMar>
            <w:vAlign w:val="center"/>
          </w:tcPr>
          <w:p>
            <w:pPr>
              <w:pStyle w:val="TableContents"/>
              <w:bidi w:val="0"/>
              <w:spacing w:before="0" w:after="0"/>
              <w:jc w:val="center"/>
              <w:rPr/>
            </w:pPr>
            <w:r>
              <w:rPr/>
              <w:drawing>
                <wp:inline distT="0" distB="0" distL="0" distR="0">
                  <wp:extent cx="180975" cy="123825"/>
                  <wp:effectExtent l="0" t="0" r="0" b="0"/>
                  <wp:docPr id="155"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72" descr=""/>
                          <pic:cNvPicPr>
                            <a:picLocks noChangeAspect="1" noChangeArrowheads="1"/>
                          </pic:cNvPicPr>
                        </pic:nvPicPr>
                        <pic:blipFill>
                          <a:blip r:embed="rId90"/>
                          <a:stretch>
                            <a:fillRect/>
                          </a:stretch>
                        </pic:blipFill>
                        <pic:spPr bwMode="auto">
                          <a:xfrm>
                            <a:off x="0" y="0"/>
                            <a:ext cx="180975" cy="123825"/>
                          </a:xfrm>
                          <a:prstGeom prst="rect">
                            <a:avLst/>
                          </a:prstGeom>
                        </pic:spPr>
                      </pic:pic>
                    </a:graphicData>
                  </a:graphic>
                </wp:inline>
              </w:drawing>
            </w:r>
            <w:r>
              <w:rPr/>
              <w:t xml:space="preserve">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762" w:type="dxa"/>
            <w:tcBorders>
              <w:bottom w:val="single" w:sz="4" w:space="0" w:color="1F2668"/>
            </w:tcBorders>
            <w:tcMar>
              <w:bottom w:w="28" w:type="dxa"/>
            </w:tcMar>
            <w:vAlign w:val="center"/>
          </w:tcPr>
          <w:p>
            <w:pPr>
              <w:pStyle w:val="TableContents"/>
              <w:bidi w:val="0"/>
              <w:spacing w:before="0" w:after="0"/>
              <w:jc w:val="center"/>
              <w:rPr/>
            </w:pPr>
            <w:r>
              <w:rPr/>
              <w:drawing>
                <wp:inline distT="0" distB="0" distL="0" distR="0">
                  <wp:extent cx="180975" cy="123825"/>
                  <wp:effectExtent l="0" t="0" r="0" b="0"/>
                  <wp:docPr id="156"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73" descr=""/>
                          <pic:cNvPicPr>
                            <a:picLocks noChangeAspect="1" noChangeArrowheads="1"/>
                          </pic:cNvPicPr>
                        </pic:nvPicPr>
                        <pic:blipFill>
                          <a:blip r:embed="rId91"/>
                          <a:stretch>
                            <a:fillRect/>
                          </a:stretch>
                        </pic:blipFill>
                        <pic:spPr bwMode="auto">
                          <a:xfrm>
                            <a:off x="0" y="0"/>
                            <a:ext cx="180975" cy="123825"/>
                          </a:xfrm>
                          <a:prstGeom prst="rect">
                            <a:avLst/>
                          </a:prstGeom>
                        </pic:spPr>
                      </pic:pic>
                    </a:graphicData>
                  </a:graphic>
                </wp:inline>
              </w:drawing>
            </w:r>
            <w:r>
              <w:rPr/>
              <w:t xml:space="preserve">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760" w:type="dxa"/>
            <w:tcBorders>
              <w:bottom w:val="single" w:sz="4" w:space="0" w:color="1F2668"/>
            </w:tcBorders>
            <w:tcMar>
              <w:bottom w:w="28" w:type="dxa"/>
            </w:tcMar>
            <w:vAlign w:val="center"/>
          </w:tcPr>
          <w:p>
            <w:pPr>
              <w:pStyle w:val="TableContents"/>
              <w:bidi w:val="0"/>
              <w:spacing w:before="0" w:after="0"/>
              <w:jc w:val="center"/>
              <w:rPr/>
            </w:pPr>
            <w:r>
              <w:rPr/>
              <w:drawing>
                <wp:inline distT="0" distB="0" distL="0" distR="0">
                  <wp:extent cx="180975" cy="123825"/>
                  <wp:effectExtent l="0" t="0" r="0" b="0"/>
                  <wp:docPr id="157"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74" descr=""/>
                          <pic:cNvPicPr>
                            <a:picLocks noChangeAspect="1" noChangeArrowheads="1"/>
                          </pic:cNvPicPr>
                        </pic:nvPicPr>
                        <pic:blipFill>
                          <a:blip r:embed="rId92"/>
                          <a:stretch>
                            <a:fillRect/>
                          </a:stretch>
                        </pic:blipFill>
                        <pic:spPr bwMode="auto">
                          <a:xfrm>
                            <a:off x="0" y="0"/>
                            <a:ext cx="180975" cy="123825"/>
                          </a:xfrm>
                          <a:prstGeom prst="rect">
                            <a:avLst/>
                          </a:prstGeom>
                        </pic:spPr>
                      </pic:pic>
                    </a:graphicData>
                  </a:graphic>
                </wp:inline>
              </w:drawing>
            </w:r>
            <w:r>
              <w:rPr/>
              <w:t xml:space="preserve">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687" w:type="dxa"/>
            <w:tcBorders>
              <w:bottom w:val="single" w:sz="4" w:space="0" w:color="1F2668"/>
            </w:tcBorders>
            <w:tcMar>
              <w:bottom w:w="28" w:type="dxa"/>
            </w:tcMar>
            <w:vAlign w:val="center"/>
          </w:tcPr>
          <w:p>
            <w:pPr>
              <w:pStyle w:val="TableContents"/>
              <w:bidi w:val="0"/>
              <w:spacing w:before="0" w:after="0"/>
              <w:jc w:val="center"/>
              <w:rPr/>
            </w:pPr>
            <w:r>
              <w:rPr/>
              <w:drawing>
                <wp:inline distT="0" distB="0" distL="0" distR="0">
                  <wp:extent cx="180975" cy="123825"/>
                  <wp:effectExtent l="0" t="0" r="0" b="0"/>
                  <wp:docPr id="158"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75" descr=""/>
                          <pic:cNvPicPr>
                            <a:picLocks noChangeAspect="1" noChangeArrowheads="1"/>
                          </pic:cNvPicPr>
                        </pic:nvPicPr>
                        <pic:blipFill>
                          <a:blip r:embed="rId93"/>
                          <a:stretch>
                            <a:fillRect/>
                          </a:stretch>
                        </pic:blipFill>
                        <pic:spPr bwMode="auto">
                          <a:xfrm>
                            <a:off x="0" y="0"/>
                            <a:ext cx="180975" cy="123825"/>
                          </a:xfrm>
                          <a:prstGeom prst="rect">
                            <a:avLst/>
                          </a:prstGeom>
                        </pic:spPr>
                      </pic:pic>
                    </a:graphicData>
                  </a:graphic>
                </wp:inline>
              </w:drawing>
            </w:r>
            <w:r>
              <w:rPr/>
              <w:t xml:space="preserve">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835" w:type="dxa"/>
            <w:tcBorders>
              <w:bottom w:val="single" w:sz="4" w:space="0" w:color="1F2668"/>
            </w:tcBorders>
            <w:tcMar>
              <w:bottom w:w="28" w:type="dxa"/>
            </w:tcMar>
            <w:vAlign w:val="center"/>
          </w:tcPr>
          <w:p>
            <w:pPr>
              <w:pStyle w:val="TableContents"/>
              <w:bidi w:val="0"/>
              <w:spacing w:before="0" w:after="0"/>
              <w:jc w:val="center"/>
              <w:rPr/>
            </w:pPr>
            <w:r>
              <w:rPr/>
              <w:drawing>
                <wp:inline distT="0" distB="0" distL="0" distR="0">
                  <wp:extent cx="180975" cy="123825"/>
                  <wp:effectExtent l="0" t="0" r="0" b="0"/>
                  <wp:docPr id="159"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76" descr=""/>
                          <pic:cNvPicPr>
                            <a:picLocks noChangeAspect="1" noChangeArrowheads="1"/>
                          </pic:cNvPicPr>
                        </pic:nvPicPr>
                        <pic:blipFill>
                          <a:blip r:embed="rId94"/>
                          <a:stretch>
                            <a:fillRect/>
                          </a:stretch>
                        </pic:blipFill>
                        <pic:spPr bwMode="auto">
                          <a:xfrm>
                            <a:off x="0" y="0"/>
                            <a:ext cx="180975" cy="123825"/>
                          </a:xfrm>
                          <a:prstGeom prst="rect">
                            <a:avLst/>
                          </a:prstGeom>
                        </pic:spPr>
                      </pic:pic>
                    </a:graphicData>
                  </a:graphic>
                </wp:inline>
              </w:drawing>
            </w:r>
            <w:r>
              <w:rPr/>
              <w:t xml:space="preserve">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924" w:type="dxa"/>
            <w:tcBorders>
              <w:bottom w:val="single" w:sz="4" w:space="0" w:color="1F2668"/>
            </w:tcBorders>
            <w:tcMar>
              <w:bottom w:w="28" w:type="dxa"/>
            </w:tcMar>
            <w:vAlign w:val="center"/>
          </w:tcPr>
          <w:p>
            <w:pPr>
              <w:pStyle w:val="TableContents"/>
              <w:bidi w:val="0"/>
              <w:spacing w:before="0" w:after="0"/>
              <w:jc w:val="center"/>
              <w:rPr/>
            </w:pPr>
            <w:r>
              <w:rPr/>
              <w:drawing>
                <wp:inline distT="0" distB="0" distL="0" distR="0">
                  <wp:extent cx="180975" cy="123825"/>
                  <wp:effectExtent l="0" t="0" r="0" b="0"/>
                  <wp:docPr id="160"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77" descr=""/>
                          <pic:cNvPicPr>
                            <a:picLocks noChangeAspect="1" noChangeArrowheads="1"/>
                          </pic:cNvPicPr>
                        </pic:nvPicPr>
                        <pic:blipFill>
                          <a:blip r:embed="rId95"/>
                          <a:stretch>
                            <a:fillRect/>
                          </a:stretch>
                        </pic:blipFill>
                        <pic:spPr bwMode="auto">
                          <a:xfrm>
                            <a:off x="0" y="0"/>
                            <a:ext cx="180975" cy="123825"/>
                          </a:xfrm>
                          <a:prstGeom prst="rect">
                            <a:avLst/>
                          </a:prstGeom>
                        </pic:spPr>
                      </pic:pic>
                    </a:graphicData>
                  </a:graphic>
                </wp:inline>
              </w:drawing>
            </w:r>
            <w:r>
              <w:rPr/>
              <w:t xml:space="preserve">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658" w:type="dxa"/>
            <w:tcBorders>
              <w:bottom w:val="single" w:sz="4" w:space="0" w:color="1F2668"/>
            </w:tcBorders>
            <w:tcMar>
              <w:bottom w:w="28" w:type="dxa"/>
            </w:tcMar>
            <w:vAlign w:val="center"/>
          </w:tcPr>
          <w:p>
            <w:pPr>
              <w:pStyle w:val="TableContents"/>
              <w:bidi w:val="0"/>
              <w:spacing w:before="0" w:after="0"/>
              <w:jc w:val="center"/>
              <w:rPr/>
            </w:pPr>
            <w:r>
              <w:rPr/>
              <w:drawing>
                <wp:inline distT="0" distB="0" distL="0" distR="0">
                  <wp:extent cx="180975" cy="123825"/>
                  <wp:effectExtent l="0" t="0" r="0" b="0"/>
                  <wp:docPr id="161"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78" descr=""/>
                          <pic:cNvPicPr>
                            <a:picLocks noChangeAspect="1" noChangeArrowheads="1"/>
                          </pic:cNvPicPr>
                        </pic:nvPicPr>
                        <pic:blipFill>
                          <a:blip r:embed="rId96"/>
                          <a:stretch>
                            <a:fillRect/>
                          </a:stretch>
                        </pic:blipFill>
                        <pic:spPr bwMode="auto">
                          <a:xfrm>
                            <a:off x="0" y="0"/>
                            <a:ext cx="180975" cy="123825"/>
                          </a:xfrm>
                          <a:prstGeom prst="rect">
                            <a:avLst/>
                          </a:prstGeom>
                        </pic:spPr>
                      </pic:pic>
                    </a:graphicData>
                  </a:graphic>
                </wp:inline>
              </w:drawing>
            </w:r>
            <w:r>
              <w:rPr/>
              <w:t xml:space="preserve">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850" w:type="dxa"/>
            <w:tcBorders>
              <w:bottom w:val="single" w:sz="4" w:space="0" w:color="1F2668"/>
            </w:tcBorders>
            <w:tcMar>
              <w:bottom w:w="28" w:type="dxa"/>
            </w:tcMar>
            <w:vAlign w:val="center"/>
          </w:tcPr>
          <w:p>
            <w:pPr>
              <w:pStyle w:val="TableContents"/>
              <w:bidi w:val="0"/>
              <w:spacing w:before="0" w:after="0"/>
              <w:jc w:val="center"/>
              <w:rPr/>
            </w:pPr>
            <w:r>
              <w:rPr/>
              <w:drawing>
                <wp:inline distT="0" distB="0" distL="0" distR="0">
                  <wp:extent cx="180975" cy="123825"/>
                  <wp:effectExtent l="0" t="0" r="0" b="0"/>
                  <wp:docPr id="162"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79" descr=""/>
                          <pic:cNvPicPr>
                            <a:picLocks noChangeAspect="1" noChangeArrowheads="1"/>
                          </pic:cNvPicPr>
                        </pic:nvPicPr>
                        <pic:blipFill>
                          <a:blip r:embed="rId97"/>
                          <a:stretch>
                            <a:fillRect/>
                          </a:stretch>
                        </pic:blipFill>
                        <pic:spPr bwMode="auto">
                          <a:xfrm>
                            <a:off x="0" y="0"/>
                            <a:ext cx="180975" cy="123825"/>
                          </a:xfrm>
                          <a:prstGeom prst="rect">
                            <a:avLst/>
                          </a:prstGeom>
                        </pic:spPr>
                      </pic:pic>
                    </a:graphicData>
                  </a:graphic>
                </wp:inline>
              </w:drawing>
            </w:r>
            <w:r>
              <w:rPr/>
              <w:t xml:space="preserve"> </w:t>
            </w:r>
          </w:p>
        </w:tc>
        <w:tc>
          <w:tcPr>
            <w:tcW w:w="154" w:type="dxa"/>
            <w:tcBorders>
              <w:bottom w:val="single" w:sz="4" w:space="0" w:color="1F2668"/>
            </w:tcBorders>
            <w:tcMar>
              <w:bottom w:w="28" w:type="dxa"/>
            </w:tcMar>
            <w:vAlign w:val="center"/>
          </w:tcPr>
          <w:p>
            <w:pPr>
              <w:pStyle w:val="TableContents"/>
              <w:bidi w:val="0"/>
              <w:spacing w:before="0" w:after="283"/>
              <w:jc w:val="left"/>
              <w:rPr/>
            </w:pPr>
            <w:r>
              <w:rPr/>
              <w:t>​</w:t>
            </w:r>
          </w:p>
        </w:tc>
      </w:tr>
      <w:tr>
        <w:trPr/>
        <w:tc>
          <w:tcPr>
            <w:tcW w:w="731" w:type="dxa"/>
            <w:tcBorders>
              <w:bottom w:val="single" w:sz="4" w:space="0" w:color="1F2668"/>
            </w:tcBorders>
            <w:tcMar>
              <w:bottom w:w="85" w:type="dxa"/>
            </w:tcMar>
            <w:vAlign w:val="center"/>
          </w:tcPr>
          <w:p>
            <w:pPr>
              <w:pStyle w:val="TableContents"/>
              <w:bidi w:val="0"/>
              <w:spacing w:before="0" w:after="0"/>
              <w:jc w:val="left"/>
              <w:rPr/>
            </w:pPr>
            <w:r>
              <w:rPr/>
              <w:drawing>
                <wp:inline distT="0" distB="0" distL="0" distR="0">
                  <wp:extent cx="400050" cy="400050"/>
                  <wp:effectExtent l="0" t="0" r="0" b="0"/>
                  <wp:docPr id="163"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80" descr=""/>
                          <pic:cNvPicPr>
                            <a:picLocks noChangeAspect="1" noChangeArrowheads="1"/>
                          </pic:cNvPicPr>
                        </pic:nvPicPr>
                        <pic:blipFill>
                          <a:blip r:embed="rId98"/>
                          <a:stretch>
                            <a:fillRect/>
                          </a:stretch>
                        </pic:blipFill>
                        <pic:spPr bwMode="auto">
                          <a:xfrm>
                            <a:off x="0" y="0"/>
                            <a:ext cx="400050" cy="400050"/>
                          </a:xfrm>
                          <a:prstGeom prst="rect">
                            <a:avLst/>
                          </a:prstGeom>
                        </pic:spPr>
                      </pic:pic>
                    </a:graphicData>
                  </a:graphic>
                </wp:inline>
              </w:drawing>
            </w:r>
            <w:r>
              <w:rPr/>
              <w:t xml:space="preserve">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402" w:type="dxa"/>
            <w:tcBorders>
              <w:bottom w:val="single" w:sz="4" w:space="0" w:color="1F2668"/>
            </w:tcBorders>
            <w:tcMar>
              <w:bottom w:w="28" w:type="dxa"/>
            </w:tcMar>
            <w:vAlign w:val="center"/>
          </w:tcPr>
          <w:p>
            <w:pPr>
              <w:pStyle w:val="TableContents"/>
              <w:bidi w:val="0"/>
              <w:spacing w:lineRule="atLeast" w:line="220" w:before="0" w:after="0"/>
              <w:jc w:val="left"/>
              <w:rPr/>
            </w:pPr>
            <w:r>
              <w:rPr>
                <w:spacing w:val="-2"/>
              </w:rPr>
              <w:t>Public Company Board Service/</w:t>
            </w:r>
            <w:r>
              <w:rPr/>
              <w:t>​</w:t>
            </w:r>
            <w:r>
              <w:rPr>
                <w:spacing w:val="-2"/>
              </w:rPr>
              <w:t>Corporate Governance</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13" w:type="dxa"/>
            <w:tcBorders>
              <w:bottom w:val="single" w:sz="4" w:space="0" w:color="1F2668"/>
            </w:tcBorders>
            <w:tcMar>
              <w:bottom w:w="28" w:type="dxa"/>
            </w:tcMar>
            <w:vAlign w:val="center"/>
          </w:tcPr>
          <w:p>
            <w:pPr>
              <w:pStyle w:val="TableContents"/>
              <w:bidi w:val="0"/>
              <w:spacing w:before="0" w:after="0"/>
              <w:jc w:val="center"/>
              <w:rPr/>
            </w:pPr>
            <w:r>
              <w:rPr/>
              <w:drawing>
                <wp:inline distT="0" distB="0" distL="0" distR="0">
                  <wp:extent cx="180975" cy="123825"/>
                  <wp:effectExtent l="0" t="0" r="0" b="0"/>
                  <wp:docPr id="164"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81" descr=""/>
                          <pic:cNvPicPr>
                            <a:picLocks noChangeAspect="1" noChangeArrowheads="1"/>
                          </pic:cNvPicPr>
                        </pic:nvPicPr>
                        <pic:blipFill>
                          <a:blip r:embed="rId99"/>
                          <a:stretch>
                            <a:fillRect/>
                          </a:stretch>
                        </pic:blipFill>
                        <pic:spPr bwMode="auto">
                          <a:xfrm>
                            <a:off x="0" y="0"/>
                            <a:ext cx="180975" cy="123825"/>
                          </a:xfrm>
                          <a:prstGeom prst="rect">
                            <a:avLst/>
                          </a:prstGeom>
                        </pic:spPr>
                      </pic:pic>
                    </a:graphicData>
                  </a:graphic>
                </wp:inline>
              </w:drawing>
            </w:r>
            <w:r>
              <w:rPr/>
              <w:t xml:space="preserve">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762"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760" w:type="dxa"/>
            <w:tcBorders>
              <w:bottom w:val="single" w:sz="4" w:space="0" w:color="1F2668"/>
            </w:tcBorders>
            <w:tcMar>
              <w:bottom w:w="28" w:type="dxa"/>
            </w:tcMar>
            <w:vAlign w:val="center"/>
          </w:tcPr>
          <w:p>
            <w:pPr>
              <w:pStyle w:val="TableContents"/>
              <w:bidi w:val="0"/>
              <w:spacing w:before="0" w:after="0"/>
              <w:jc w:val="center"/>
              <w:rPr/>
            </w:pPr>
            <w:r>
              <w:rPr/>
              <w:drawing>
                <wp:inline distT="0" distB="0" distL="0" distR="0">
                  <wp:extent cx="180975" cy="123825"/>
                  <wp:effectExtent l="0" t="0" r="0" b="0"/>
                  <wp:docPr id="165"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82" descr=""/>
                          <pic:cNvPicPr>
                            <a:picLocks noChangeAspect="1" noChangeArrowheads="1"/>
                          </pic:cNvPicPr>
                        </pic:nvPicPr>
                        <pic:blipFill>
                          <a:blip r:embed="rId100"/>
                          <a:stretch>
                            <a:fillRect/>
                          </a:stretch>
                        </pic:blipFill>
                        <pic:spPr bwMode="auto">
                          <a:xfrm>
                            <a:off x="0" y="0"/>
                            <a:ext cx="180975" cy="123825"/>
                          </a:xfrm>
                          <a:prstGeom prst="rect">
                            <a:avLst/>
                          </a:prstGeom>
                        </pic:spPr>
                      </pic:pic>
                    </a:graphicData>
                  </a:graphic>
                </wp:inline>
              </w:drawing>
            </w:r>
            <w:r>
              <w:rPr/>
              <w:t xml:space="preserve">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687"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835" w:type="dxa"/>
            <w:tcBorders>
              <w:bottom w:val="single" w:sz="4" w:space="0" w:color="1F2668"/>
            </w:tcBorders>
            <w:tcMar>
              <w:bottom w:w="28" w:type="dxa"/>
            </w:tcMar>
            <w:vAlign w:val="center"/>
          </w:tcPr>
          <w:p>
            <w:pPr>
              <w:pStyle w:val="TableContents"/>
              <w:bidi w:val="0"/>
              <w:spacing w:before="0" w:after="0"/>
              <w:jc w:val="center"/>
              <w:rPr/>
            </w:pPr>
            <w:r>
              <w:rPr/>
              <w:drawing>
                <wp:inline distT="0" distB="0" distL="0" distR="0">
                  <wp:extent cx="180975" cy="123825"/>
                  <wp:effectExtent l="0" t="0" r="0" b="0"/>
                  <wp:docPr id="166"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83" descr=""/>
                          <pic:cNvPicPr>
                            <a:picLocks noChangeAspect="1" noChangeArrowheads="1"/>
                          </pic:cNvPicPr>
                        </pic:nvPicPr>
                        <pic:blipFill>
                          <a:blip r:embed="rId101"/>
                          <a:stretch>
                            <a:fillRect/>
                          </a:stretch>
                        </pic:blipFill>
                        <pic:spPr bwMode="auto">
                          <a:xfrm>
                            <a:off x="0" y="0"/>
                            <a:ext cx="180975" cy="123825"/>
                          </a:xfrm>
                          <a:prstGeom prst="rect">
                            <a:avLst/>
                          </a:prstGeom>
                        </pic:spPr>
                      </pic:pic>
                    </a:graphicData>
                  </a:graphic>
                </wp:inline>
              </w:drawing>
            </w:r>
            <w:r>
              <w:rPr/>
              <w:t xml:space="preserve">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924"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658" w:type="dxa"/>
            <w:tcBorders>
              <w:bottom w:val="single" w:sz="4" w:space="0" w:color="1F2668"/>
            </w:tcBorders>
            <w:tcMar>
              <w:bottom w:w="28" w:type="dxa"/>
            </w:tcMar>
            <w:vAlign w:val="center"/>
          </w:tcPr>
          <w:p>
            <w:pPr>
              <w:pStyle w:val="TableContents"/>
              <w:bidi w:val="0"/>
              <w:spacing w:before="0" w:after="0"/>
              <w:jc w:val="center"/>
              <w:rPr/>
            </w:pPr>
            <w:r>
              <w:rPr/>
              <w:drawing>
                <wp:inline distT="0" distB="0" distL="0" distR="0">
                  <wp:extent cx="180975" cy="123825"/>
                  <wp:effectExtent l="0" t="0" r="0" b="0"/>
                  <wp:docPr id="167"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84" descr=""/>
                          <pic:cNvPicPr>
                            <a:picLocks noChangeAspect="1" noChangeArrowheads="1"/>
                          </pic:cNvPicPr>
                        </pic:nvPicPr>
                        <pic:blipFill>
                          <a:blip r:embed="rId102"/>
                          <a:stretch>
                            <a:fillRect/>
                          </a:stretch>
                        </pic:blipFill>
                        <pic:spPr bwMode="auto">
                          <a:xfrm>
                            <a:off x="0" y="0"/>
                            <a:ext cx="180975" cy="123825"/>
                          </a:xfrm>
                          <a:prstGeom prst="rect">
                            <a:avLst/>
                          </a:prstGeom>
                        </pic:spPr>
                      </pic:pic>
                    </a:graphicData>
                  </a:graphic>
                </wp:inline>
              </w:drawing>
            </w:r>
            <w:r>
              <w:rPr/>
              <w:t xml:space="preserve">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850" w:type="dxa"/>
            <w:tcBorders>
              <w:bottom w:val="single" w:sz="4" w:space="0" w:color="1F2668"/>
            </w:tcBorders>
            <w:tcMar>
              <w:bottom w:w="28" w:type="dxa"/>
            </w:tcMar>
            <w:vAlign w:val="center"/>
          </w:tcPr>
          <w:p>
            <w:pPr>
              <w:pStyle w:val="TableContents"/>
              <w:bidi w:val="0"/>
              <w:spacing w:before="0" w:after="283"/>
              <w:jc w:val="left"/>
              <w:rPr/>
            </w:pPr>
            <w:r>
              <w:rPr/>
              <w:t>​</w:t>
            </w:r>
          </w:p>
        </w:tc>
        <w:tc>
          <w:tcPr>
            <w:tcW w:w="154" w:type="dxa"/>
            <w:tcBorders>
              <w:bottom w:val="single" w:sz="4" w:space="0" w:color="1F2668"/>
            </w:tcBorders>
            <w:tcMar>
              <w:bottom w:w="28" w:type="dxa"/>
            </w:tcMar>
            <w:vAlign w:val="center"/>
          </w:tcPr>
          <w:p>
            <w:pPr>
              <w:pStyle w:val="TableContents"/>
              <w:bidi w:val="0"/>
              <w:spacing w:before="0" w:after="283"/>
              <w:jc w:val="left"/>
              <w:rPr/>
            </w:pPr>
            <w:r>
              <w:rPr/>
              <w:t>​</w:t>
            </w:r>
          </w:p>
        </w:tc>
      </w:tr>
      <w:tr>
        <w:trPr/>
        <w:tc>
          <w:tcPr>
            <w:tcW w:w="731" w:type="dxa"/>
            <w:tcBorders>
              <w:bottom w:val="single" w:sz="4" w:space="0" w:color="1F2668"/>
            </w:tcBorders>
            <w:tcMar>
              <w:bottom w:w="85" w:type="dxa"/>
            </w:tcMar>
            <w:vAlign w:val="center"/>
          </w:tcPr>
          <w:p>
            <w:pPr>
              <w:pStyle w:val="TableContents"/>
              <w:bidi w:val="0"/>
              <w:spacing w:before="0" w:after="0"/>
              <w:jc w:val="left"/>
              <w:rPr/>
            </w:pPr>
            <w:r>
              <w:rPr/>
              <w:drawing>
                <wp:inline distT="0" distB="0" distL="0" distR="0">
                  <wp:extent cx="333375" cy="304800"/>
                  <wp:effectExtent l="0" t="0" r="0" b="0"/>
                  <wp:docPr id="168"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85" descr=""/>
                          <pic:cNvPicPr>
                            <a:picLocks noChangeAspect="1" noChangeArrowheads="1"/>
                          </pic:cNvPicPr>
                        </pic:nvPicPr>
                        <pic:blipFill>
                          <a:blip r:embed="rId103"/>
                          <a:stretch>
                            <a:fillRect/>
                          </a:stretch>
                        </pic:blipFill>
                        <pic:spPr bwMode="auto">
                          <a:xfrm>
                            <a:off x="0" y="0"/>
                            <a:ext cx="333375" cy="304800"/>
                          </a:xfrm>
                          <a:prstGeom prst="rect">
                            <a:avLst/>
                          </a:prstGeom>
                        </pic:spPr>
                      </pic:pic>
                    </a:graphicData>
                  </a:graphic>
                </wp:inline>
              </w:drawing>
            </w:r>
            <w:r>
              <w:rPr/>
              <w:t xml:space="preserve">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402" w:type="dxa"/>
            <w:tcBorders>
              <w:bottom w:val="single" w:sz="4" w:space="0" w:color="1F2668"/>
            </w:tcBorders>
            <w:tcMar>
              <w:bottom w:w="28" w:type="dxa"/>
            </w:tcMar>
            <w:vAlign w:val="center"/>
          </w:tcPr>
          <w:p>
            <w:pPr>
              <w:pStyle w:val="TableContents"/>
              <w:bidi w:val="0"/>
              <w:spacing w:lineRule="atLeast" w:line="220" w:before="0" w:after="0"/>
              <w:jc w:val="left"/>
              <w:rPr/>
            </w:pPr>
            <w:r>
              <w:rPr>
                <w:spacing w:val="-2"/>
              </w:rPr>
              <w:t>REIT/Real Estate Industry</w:t>
            </w:r>
            <w:r>
              <w:rPr/>
              <w:t xml:space="preserve">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13" w:type="dxa"/>
            <w:tcBorders>
              <w:bottom w:val="single" w:sz="4" w:space="0" w:color="1F2668"/>
            </w:tcBorders>
            <w:tcMar>
              <w:bottom w:w="28" w:type="dxa"/>
            </w:tcMar>
            <w:vAlign w:val="center"/>
          </w:tcPr>
          <w:p>
            <w:pPr>
              <w:pStyle w:val="TableContents"/>
              <w:bidi w:val="0"/>
              <w:spacing w:before="0" w:after="0"/>
              <w:jc w:val="center"/>
              <w:rPr/>
            </w:pPr>
            <w:r>
              <w:rPr/>
              <w:drawing>
                <wp:inline distT="0" distB="0" distL="0" distR="0">
                  <wp:extent cx="180975" cy="123825"/>
                  <wp:effectExtent l="0" t="0" r="0" b="0"/>
                  <wp:docPr id="169"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86" descr=""/>
                          <pic:cNvPicPr>
                            <a:picLocks noChangeAspect="1" noChangeArrowheads="1"/>
                          </pic:cNvPicPr>
                        </pic:nvPicPr>
                        <pic:blipFill>
                          <a:blip r:embed="rId104"/>
                          <a:stretch>
                            <a:fillRect/>
                          </a:stretch>
                        </pic:blipFill>
                        <pic:spPr bwMode="auto">
                          <a:xfrm>
                            <a:off x="0" y="0"/>
                            <a:ext cx="180975" cy="123825"/>
                          </a:xfrm>
                          <a:prstGeom prst="rect">
                            <a:avLst/>
                          </a:prstGeom>
                        </pic:spPr>
                      </pic:pic>
                    </a:graphicData>
                  </a:graphic>
                </wp:inline>
              </w:drawing>
            </w:r>
            <w:r>
              <w:rPr/>
              <w:t xml:space="preserve">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762" w:type="dxa"/>
            <w:tcBorders>
              <w:bottom w:val="single" w:sz="4" w:space="0" w:color="1F2668"/>
            </w:tcBorders>
            <w:tcMar>
              <w:bottom w:w="28" w:type="dxa"/>
            </w:tcMar>
            <w:vAlign w:val="center"/>
          </w:tcPr>
          <w:p>
            <w:pPr>
              <w:pStyle w:val="TableContents"/>
              <w:bidi w:val="0"/>
              <w:spacing w:before="0" w:after="0"/>
              <w:jc w:val="center"/>
              <w:rPr/>
            </w:pPr>
            <w:r>
              <w:rPr/>
              <w:drawing>
                <wp:inline distT="0" distB="0" distL="0" distR="0">
                  <wp:extent cx="180975" cy="123825"/>
                  <wp:effectExtent l="0" t="0" r="0" b="0"/>
                  <wp:docPr id="170"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87" descr=""/>
                          <pic:cNvPicPr>
                            <a:picLocks noChangeAspect="1" noChangeArrowheads="1"/>
                          </pic:cNvPicPr>
                        </pic:nvPicPr>
                        <pic:blipFill>
                          <a:blip r:embed="rId105"/>
                          <a:stretch>
                            <a:fillRect/>
                          </a:stretch>
                        </pic:blipFill>
                        <pic:spPr bwMode="auto">
                          <a:xfrm>
                            <a:off x="0" y="0"/>
                            <a:ext cx="180975" cy="123825"/>
                          </a:xfrm>
                          <a:prstGeom prst="rect">
                            <a:avLst/>
                          </a:prstGeom>
                        </pic:spPr>
                      </pic:pic>
                    </a:graphicData>
                  </a:graphic>
                </wp:inline>
              </w:drawing>
            </w:r>
            <w:r>
              <w:rPr/>
              <w:t xml:space="preserve">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760" w:type="dxa"/>
            <w:tcBorders>
              <w:bottom w:val="single" w:sz="4" w:space="0" w:color="1F2668"/>
            </w:tcBorders>
            <w:tcMar>
              <w:bottom w:w="28" w:type="dxa"/>
            </w:tcMar>
            <w:vAlign w:val="center"/>
          </w:tcPr>
          <w:p>
            <w:pPr>
              <w:pStyle w:val="TableContents"/>
              <w:bidi w:val="0"/>
              <w:spacing w:before="0" w:after="0"/>
              <w:jc w:val="center"/>
              <w:rPr/>
            </w:pPr>
            <w:r>
              <w:rPr/>
              <w:drawing>
                <wp:inline distT="0" distB="0" distL="0" distR="0">
                  <wp:extent cx="180975" cy="123825"/>
                  <wp:effectExtent l="0" t="0" r="0" b="0"/>
                  <wp:docPr id="171"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88" descr=""/>
                          <pic:cNvPicPr>
                            <a:picLocks noChangeAspect="1" noChangeArrowheads="1"/>
                          </pic:cNvPicPr>
                        </pic:nvPicPr>
                        <pic:blipFill>
                          <a:blip r:embed="rId106"/>
                          <a:stretch>
                            <a:fillRect/>
                          </a:stretch>
                        </pic:blipFill>
                        <pic:spPr bwMode="auto">
                          <a:xfrm>
                            <a:off x="0" y="0"/>
                            <a:ext cx="180975" cy="123825"/>
                          </a:xfrm>
                          <a:prstGeom prst="rect">
                            <a:avLst/>
                          </a:prstGeom>
                        </pic:spPr>
                      </pic:pic>
                    </a:graphicData>
                  </a:graphic>
                </wp:inline>
              </w:drawing>
            </w:r>
            <w:r>
              <w:rPr/>
              <w:t xml:space="preserve">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687" w:type="dxa"/>
            <w:tcBorders>
              <w:bottom w:val="single" w:sz="4" w:space="0" w:color="1F2668"/>
            </w:tcBorders>
            <w:tcMar>
              <w:bottom w:w="28" w:type="dxa"/>
            </w:tcMar>
            <w:vAlign w:val="center"/>
          </w:tcPr>
          <w:p>
            <w:pPr>
              <w:pStyle w:val="TableContents"/>
              <w:bidi w:val="0"/>
              <w:spacing w:before="0" w:after="0"/>
              <w:jc w:val="center"/>
              <w:rPr/>
            </w:pPr>
            <w:r>
              <w:rPr/>
              <w:drawing>
                <wp:inline distT="0" distB="0" distL="0" distR="0">
                  <wp:extent cx="180975" cy="123825"/>
                  <wp:effectExtent l="0" t="0" r="0" b="0"/>
                  <wp:docPr id="172"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89" descr=""/>
                          <pic:cNvPicPr>
                            <a:picLocks noChangeAspect="1" noChangeArrowheads="1"/>
                          </pic:cNvPicPr>
                        </pic:nvPicPr>
                        <pic:blipFill>
                          <a:blip r:embed="rId107"/>
                          <a:stretch>
                            <a:fillRect/>
                          </a:stretch>
                        </pic:blipFill>
                        <pic:spPr bwMode="auto">
                          <a:xfrm>
                            <a:off x="0" y="0"/>
                            <a:ext cx="180975" cy="123825"/>
                          </a:xfrm>
                          <a:prstGeom prst="rect">
                            <a:avLst/>
                          </a:prstGeom>
                        </pic:spPr>
                      </pic:pic>
                    </a:graphicData>
                  </a:graphic>
                </wp:inline>
              </w:drawing>
            </w:r>
            <w:r>
              <w:rPr/>
              <w:t xml:space="preserve">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835" w:type="dxa"/>
            <w:tcBorders>
              <w:bottom w:val="single" w:sz="4" w:space="0" w:color="1F2668"/>
            </w:tcBorders>
            <w:tcMar>
              <w:bottom w:w="28" w:type="dxa"/>
            </w:tcMar>
            <w:vAlign w:val="center"/>
          </w:tcPr>
          <w:p>
            <w:pPr>
              <w:pStyle w:val="TableContents"/>
              <w:bidi w:val="0"/>
              <w:spacing w:before="0" w:after="0"/>
              <w:jc w:val="center"/>
              <w:rPr/>
            </w:pPr>
            <w:r>
              <w:rPr/>
              <w:drawing>
                <wp:inline distT="0" distB="0" distL="0" distR="0">
                  <wp:extent cx="180975" cy="123825"/>
                  <wp:effectExtent l="0" t="0" r="0" b="0"/>
                  <wp:docPr id="173"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90" descr=""/>
                          <pic:cNvPicPr>
                            <a:picLocks noChangeAspect="1" noChangeArrowheads="1"/>
                          </pic:cNvPicPr>
                        </pic:nvPicPr>
                        <pic:blipFill>
                          <a:blip r:embed="rId108"/>
                          <a:stretch>
                            <a:fillRect/>
                          </a:stretch>
                        </pic:blipFill>
                        <pic:spPr bwMode="auto">
                          <a:xfrm>
                            <a:off x="0" y="0"/>
                            <a:ext cx="180975" cy="123825"/>
                          </a:xfrm>
                          <a:prstGeom prst="rect">
                            <a:avLst/>
                          </a:prstGeom>
                        </pic:spPr>
                      </pic:pic>
                    </a:graphicData>
                  </a:graphic>
                </wp:inline>
              </w:drawing>
            </w:r>
            <w:r>
              <w:rPr/>
              <w:t xml:space="preserve">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924" w:type="dxa"/>
            <w:tcBorders>
              <w:bottom w:val="single" w:sz="4" w:space="0" w:color="1F2668"/>
            </w:tcBorders>
            <w:tcMar>
              <w:bottom w:w="28" w:type="dxa"/>
            </w:tcMar>
            <w:vAlign w:val="center"/>
          </w:tcPr>
          <w:p>
            <w:pPr>
              <w:pStyle w:val="TableContents"/>
              <w:bidi w:val="0"/>
              <w:spacing w:before="0" w:after="0"/>
              <w:jc w:val="center"/>
              <w:rPr/>
            </w:pPr>
            <w:r>
              <w:rPr/>
              <w:drawing>
                <wp:inline distT="0" distB="0" distL="0" distR="0">
                  <wp:extent cx="180975" cy="123825"/>
                  <wp:effectExtent l="0" t="0" r="0" b="0"/>
                  <wp:docPr id="174"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91" descr=""/>
                          <pic:cNvPicPr>
                            <a:picLocks noChangeAspect="1" noChangeArrowheads="1"/>
                          </pic:cNvPicPr>
                        </pic:nvPicPr>
                        <pic:blipFill>
                          <a:blip r:embed="rId109"/>
                          <a:stretch>
                            <a:fillRect/>
                          </a:stretch>
                        </pic:blipFill>
                        <pic:spPr bwMode="auto">
                          <a:xfrm>
                            <a:off x="0" y="0"/>
                            <a:ext cx="180975" cy="123825"/>
                          </a:xfrm>
                          <a:prstGeom prst="rect">
                            <a:avLst/>
                          </a:prstGeom>
                        </pic:spPr>
                      </pic:pic>
                    </a:graphicData>
                  </a:graphic>
                </wp:inline>
              </w:drawing>
            </w:r>
            <w:r>
              <w:rPr/>
              <w:t xml:space="preserve">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658" w:type="dxa"/>
            <w:tcBorders>
              <w:bottom w:val="single" w:sz="4" w:space="0" w:color="1F2668"/>
            </w:tcBorders>
            <w:tcMar>
              <w:bottom w:w="28" w:type="dxa"/>
            </w:tcMar>
            <w:vAlign w:val="center"/>
          </w:tcPr>
          <w:p>
            <w:pPr>
              <w:pStyle w:val="TableContents"/>
              <w:bidi w:val="0"/>
              <w:spacing w:before="0" w:after="0"/>
              <w:jc w:val="center"/>
              <w:rPr/>
            </w:pPr>
            <w:r>
              <w:rPr/>
              <w:drawing>
                <wp:inline distT="0" distB="0" distL="0" distR="0">
                  <wp:extent cx="180975" cy="123825"/>
                  <wp:effectExtent l="0" t="0" r="0" b="0"/>
                  <wp:docPr id="175"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92" descr=""/>
                          <pic:cNvPicPr>
                            <a:picLocks noChangeAspect="1" noChangeArrowheads="1"/>
                          </pic:cNvPicPr>
                        </pic:nvPicPr>
                        <pic:blipFill>
                          <a:blip r:embed="rId110"/>
                          <a:stretch>
                            <a:fillRect/>
                          </a:stretch>
                        </pic:blipFill>
                        <pic:spPr bwMode="auto">
                          <a:xfrm>
                            <a:off x="0" y="0"/>
                            <a:ext cx="180975" cy="123825"/>
                          </a:xfrm>
                          <a:prstGeom prst="rect">
                            <a:avLst/>
                          </a:prstGeom>
                        </pic:spPr>
                      </pic:pic>
                    </a:graphicData>
                  </a:graphic>
                </wp:inline>
              </w:drawing>
            </w:r>
            <w:r>
              <w:rPr/>
              <w:t xml:space="preserve">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850" w:type="dxa"/>
            <w:tcBorders>
              <w:bottom w:val="single" w:sz="4" w:space="0" w:color="1F2668"/>
            </w:tcBorders>
            <w:tcMar>
              <w:bottom w:w="28" w:type="dxa"/>
            </w:tcMar>
            <w:vAlign w:val="center"/>
          </w:tcPr>
          <w:p>
            <w:pPr>
              <w:pStyle w:val="TableContents"/>
              <w:bidi w:val="0"/>
              <w:spacing w:before="0" w:after="0"/>
              <w:jc w:val="center"/>
              <w:rPr/>
            </w:pPr>
            <w:r>
              <w:rPr/>
              <w:drawing>
                <wp:inline distT="0" distB="0" distL="0" distR="0">
                  <wp:extent cx="180975" cy="123825"/>
                  <wp:effectExtent l="0" t="0" r="0" b="0"/>
                  <wp:docPr id="176"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93" descr=""/>
                          <pic:cNvPicPr>
                            <a:picLocks noChangeAspect="1" noChangeArrowheads="1"/>
                          </pic:cNvPicPr>
                        </pic:nvPicPr>
                        <pic:blipFill>
                          <a:blip r:embed="rId111"/>
                          <a:stretch>
                            <a:fillRect/>
                          </a:stretch>
                        </pic:blipFill>
                        <pic:spPr bwMode="auto">
                          <a:xfrm>
                            <a:off x="0" y="0"/>
                            <a:ext cx="180975" cy="123825"/>
                          </a:xfrm>
                          <a:prstGeom prst="rect">
                            <a:avLst/>
                          </a:prstGeom>
                        </pic:spPr>
                      </pic:pic>
                    </a:graphicData>
                  </a:graphic>
                </wp:inline>
              </w:drawing>
            </w:r>
            <w:r>
              <w:rPr/>
              <w:t xml:space="preserve"> </w:t>
            </w:r>
          </w:p>
        </w:tc>
        <w:tc>
          <w:tcPr>
            <w:tcW w:w="154" w:type="dxa"/>
            <w:tcBorders>
              <w:bottom w:val="single" w:sz="4" w:space="0" w:color="1F2668"/>
            </w:tcBorders>
            <w:tcMar>
              <w:bottom w:w="28" w:type="dxa"/>
            </w:tcMar>
            <w:vAlign w:val="center"/>
          </w:tcPr>
          <w:p>
            <w:pPr>
              <w:pStyle w:val="TableContents"/>
              <w:bidi w:val="0"/>
              <w:spacing w:before="0" w:after="283"/>
              <w:jc w:val="left"/>
              <w:rPr/>
            </w:pPr>
            <w:r>
              <w:rPr/>
              <w:t>​</w:t>
            </w:r>
          </w:p>
        </w:tc>
      </w:tr>
      <w:tr>
        <w:trPr/>
        <w:tc>
          <w:tcPr>
            <w:tcW w:w="731" w:type="dxa"/>
            <w:tcBorders>
              <w:bottom w:val="single" w:sz="4" w:space="0" w:color="1F2668"/>
            </w:tcBorders>
            <w:tcMar>
              <w:bottom w:w="85" w:type="dxa"/>
            </w:tcMar>
            <w:vAlign w:val="center"/>
          </w:tcPr>
          <w:p>
            <w:pPr>
              <w:pStyle w:val="TableContents"/>
              <w:bidi w:val="0"/>
              <w:spacing w:before="0" w:after="0"/>
              <w:jc w:val="left"/>
              <w:rPr/>
            </w:pPr>
            <w:r>
              <w:rPr/>
              <w:drawing>
                <wp:inline distT="0" distB="0" distL="0" distR="0">
                  <wp:extent cx="352425" cy="371475"/>
                  <wp:effectExtent l="0" t="0" r="0" b="0"/>
                  <wp:docPr id="177"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94" descr=""/>
                          <pic:cNvPicPr>
                            <a:picLocks noChangeAspect="1" noChangeArrowheads="1"/>
                          </pic:cNvPicPr>
                        </pic:nvPicPr>
                        <pic:blipFill>
                          <a:blip r:embed="rId112"/>
                          <a:stretch>
                            <a:fillRect/>
                          </a:stretch>
                        </pic:blipFill>
                        <pic:spPr bwMode="auto">
                          <a:xfrm>
                            <a:off x="0" y="0"/>
                            <a:ext cx="352425" cy="371475"/>
                          </a:xfrm>
                          <a:prstGeom prst="rect">
                            <a:avLst/>
                          </a:prstGeom>
                        </pic:spPr>
                      </pic:pic>
                    </a:graphicData>
                  </a:graphic>
                </wp:inline>
              </w:drawing>
            </w:r>
            <w:r>
              <w:rPr/>
              <w:t xml:space="preserve">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402" w:type="dxa"/>
            <w:tcBorders>
              <w:bottom w:val="single" w:sz="4" w:space="0" w:color="1F2668"/>
            </w:tcBorders>
            <w:tcMar>
              <w:bottom w:w="28" w:type="dxa"/>
            </w:tcMar>
            <w:vAlign w:val="center"/>
          </w:tcPr>
          <w:p>
            <w:pPr>
              <w:pStyle w:val="TableContents"/>
              <w:bidi w:val="0"/>
              <w:spacing w:lineRule="atLeast" w:line="220" w:before="0" w:after="0"/>
              <w:jc w:val="left"/>
              <w:rPr/>
            </w:pPr>
            <w:r>
              <w:rPr>
                <w:spacing w:val="-2"/>
              </w:rPr>
              <w:t>Experience Over Several Business Cycles</w:t>
            </w:r>
            <w:r>
              <w:rPr/>
              <w:t xml:space="preserve">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13" w:type="dxa"/>
            <w:tcBorders>
              <w:bottom w:val="single" w:sz="4" w:space="0" w:color="1F2668"/>
            </w:tcBorders>
            <w:tcMar>
              <w:bottom w:w="28" w:type="dxa"/>
            </w:tcMar>
            <w:vAlign w:val="center"/>
          </w:tcPr>
          <w:p>
            <w:pPr>
              <w:pStyle w:val="TableContents"/>
              <w:bidi w:val="0"/>
              <w:spacing w:before="0" w:after="0"/>
              <w:jc w:val="center"/>
              <w:rPr/>
            </w:pPr>
            <w:r>
              <w:rPr/>
              <w:drawing>
                <wp:inline distT="0" distB="0" distL="0" distR="0">
                  <wp:extent cx="180975" cy="123825"/>
                  <wp:effectExtent l="0" t="0" r="0" b="0"/>
                  <wp:docPr id="178"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95" descr=""/>
                          <pic:cNvPicPr>
                            <a:picLocks noChangeAspect="1" noChangeArrowheads="1"/>
                          </pic:cNvPicPr>
                        </pic:nvPicPr>
                        <pic:blipFill>
                          <a:blip r:embed="rId113"/>
                          <a:stretch>
                            <a:fillRect/>
                          </a:stretch>
                        </pic:blipFill>
                        <pic:spPr bwMode="auto">
                          <a:xfrm>
                            <a:off x="0" y="0"/>
                            <a:ext cx="180975" cy="123825"/>
                          </a:xfrm>
                          <a:prstGeom prst="rect">
                            <a:avLst/>
                          </a:prstGeom>
                        </pic:spPr>
                      </pic:pic>
                    </a:graphicData>
                  </a:graphic>
                </wp:inline>
              </w:drawing>
            </w:r>
            <w:r>
              <w:rPr/>
              <w:t xml:space="preserve">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762"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760" w:type="dxa"/>
            <w:tcBorders>
              <w:bottom w:val="single" w:sz="4" w:space="0" w:color="1F2668"/>
            </w:tcBorders>
            <w:tcMar>
              <w:bottom w:w="28" w:type="dxa"/>
            </w:tcMar>
            <w:vAlign w:val="center"/>
          </w:tcPr>
          <w:p>
            <w:pPr>
              <w:pStyle w:val="TableContents"/>
              <w:bidi w:val="0"/>
              <w:spacing w:before="0" w:after="0"/>
              <w:jc w:val="center"/>
              <w:rPr/>
            </w:pPr>
            <w:r>
              <w:rPr/>
              <w:drawing>
                <wp:inline distT="0" distB="0" distL="0" distR="0">
                  <wp:extent cx="180975" cy="123825"/>
                  <wp:effectExtent l="0" t="0" r="0" b="0"/>
                  <wp:docPr id="179"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96" descr=""/>
                          <pic:cNvPicPr>
                            <a:picLocks noChangeAspect="1" noChangeArrowheads="1"/>
                          </pic:cNvPicPr>
                        </pic:nvPicPr>
                        <pic:blipFill>
                          <a:blip r:embed="rId114"/>
                          <a:stretch>
                            <a:fillRect/>
                          </a:stretch>
                        </pic:blipFill>
                        <pic:spPr bwMode="auto">
                          <a:xfrm>
                            <a:off x="0" y="0"/>
                            <a:ext cx="180975" cy="123825"/>
                          </a:xfrm>
                          <a:prstGeom prst="rect">
                            <a:avLst/>
                          </a:prstGeom>
                        </pic:spPr>
                      </pic:pic>
                    </a:graphicData>
                  </a:graphic>
                </wp:inline>
              </w:drawing>
            </w:r>
            <w:r>
              <w:rPr/>
              <w:t xml:space="preserve">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687" w:type="dxa"/>
            <w:tcBorders>
              <w:bottom w:val="single" w:sz="4" w:space="0" w:color="1F2668"/>
            </w:tcBorders>
            <w:tcMar>
              <w:bottom w:w="28" w:type="dxa"/>
            </w:tcMar>
            <w:vAlign w:val="center"/>
          </w:tcPr>
          <w:p>
            <w:pPr>
              <w:pStyle w:val="TableContents"/>
              <w:bidi w:val="0"/>
              <w:spacing w:before="0" w:after="0"/>
              <w:jc w:val="center"/>
              <w:rPr/>
            </w:pPr>
            <w:r>
              <w:rPr/>
              <w:drawing>
                <wp:inline distT="0" distB="0" distL="0" distR="0">
                  <wp:extent cx="180975" cy="123825"/>
                  <wp:effectExtent l="0" t="0" r="0" b="0"/>
                  <wp:docPr id="180"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97" descr=""/>
                          <pic:cNvPicPr>
                            <a:picLocks noChangeAspect="1" noChangeArrowheads="1"/>
                          </pic:cNvPicPr>
                        </pic:nvPicPr>
                        <pic:blipFill>
                          <a:blip r:embed="rId115"/>
                          <a:stretch>
                            <a:fillRect/>
                          </a:stretch>
                        </pic:blipFill>
                        <pic:spPr bwMode="auto">
                          <a:xfrm>
                            <a:off x="0" y="0"/>
                            <a:ext cx="180975" cy="123825"/>
                          </a:xfrm>
                          <a:prstGeom prst="rect">
                            <a:avLst/>
                          </a:prstGeom>
                        </pic:spPr>
                      </pic:pic>
                    </a:graphicData>
                  </a:graphic>
                </wp:inline>
              </w:drawing>
            </w:r>
            <w:r>
              <w:rPr/>
              <w:t xml:space="preserve">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835" w:type="dxa"/>
            <w:tcBorders>
              <w:bottom w:val="single" w:sz="4" w:space="0" w:color="1F2668"/>
            </w:tcBorders>
            <w:tcMar>
              <w:bottom w:w="28" w:type="dxa"/>
            </w:tcMar>
            <w:vAlign w:val="center"/>
          </w:tcPr>
          <w:p>
            <w:pPr>
              <w:pStyle w:val="TableContents"/>
              <w:bidi w:val="0"/>
              <w:spacing w:before="0" w:after="0"/>
              <w:jc w:val="center"/>
              <w:rPr/>
            </w:pPr>
            <w:r>
              <w:rPr/>
              <w:drawing>
                <wp:inline distT="0" distB="0" distL="0" distR="0">
                  <wp:extent cx="180975" cy="123825"/>
                  <wp:effectExtent l="0" t="0" r="0" b="0"/>
                  <wp:docPr id="181"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98" descr=""/>
                          <pic:cNvPicPr>
                            <a:picLocks noChangeAspect="1" noChangeArrowheads="1"/>
                          </pic:cNvPicPr>
                        </pic:nvPicPr>
                        <pic:blipFill>
                          <a:blip r:embed="rId116"/>
                          <a:stretch>
                            <a:fillRect/>
                          </a:stretch>
                        </pic:blipFill>
                        <pic:spPr bwMode="auto">
                          <a:xfrm>
                            <a:off x="0" y="0"/>
                            <a:ext cx="180975" cy="123825"/>
                          </a:xfrm>
                          <a:prstGeom prst="rect">
                            <a:avLst/>
                          </a:prstGeom>
                        </pic:spPr>
                      </pic:pic>
                    </a:graphicData>
                  </a:graphic>
                </wp:inline>
              </w:drawing>
            </w:r>
            <w:r>
              <w:rPr/>
              <w:t xml:space="preserve">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924" w:type="dxa"/>
            <w:tcBorders>
              <w:bottom w:val="single" w:sz="4" w:space="0" w:color="1F2668"/>
            </w:tcBorders>
            <w:tcMar>
              <w:bottom w:w="28" w:type="dxa"/>
            </w:tcMar>
            <w:vAlign w:val="center"/>
          </w:tcPr>
          <w:p>
            <w:pPr>
              <w:pStyle w:val="TableContents"/>
              <w:bidi w:val="0"/>
              <w:spacing w:before="0" w:after="0"/>
              <w:jc w:val="center"/>
              <w:rPr/>
            </w:pPr>
            <w:r>
              <w:rPr/>
              <w:drawing>
                <wp:inline distT="0" distB="0" distL="0" distR="0">
                  <wp:extent cx="180975" cy="123825"/>
                  <wp:effectExtent l="0" t="0" r="0" b="0"/>
                  <wp:docPr id="182"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99" descr=""/>
                          <pic:cNvPicPr>
                            <a:picLocks noChangeAspect="1" noChangeArrowheads="1"/>
                          </pic:cNvPicPr>
                        </pic:nvPicPr>
                        <pic:blipFill>
                          <a:blip r:embed="rId117"/>
                          <a:stretch>
                            <a:fillRect/>
                          </a:stretch>
                        </pic:blipFill>
                        <pic:spPr bwMode="auto">
                          <a:xfrm>
                            <a:off x="0" y="0"/>
                            <a:ext cx="180975" cy="123825"/>
                          </a:xfrm>
                          <a:prstGeom prst="rect">
                            <a:avLst/>
                          </a:prstGeom>
                        </pic:spPr>
                      </pic:pic>
                    </a:graphicData>
                  </a:graphic>
                </wp:inline>
              </w:drawing>
            </w:r>
            <w:r>
              <w:rPr/>
              <w:t xml:space="preserve">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658" w:type="dxa"/>
            <w:tcBorders>
              <w:bottom w:val="single" w:sz="4" w:space="0" w:color="1F2668"/>
            </w:tcBorders>
            <w:tcMar>
              <w:bottom w:w="28" w:type="dxa"/>
            </w:tcMar>
            <w:vAlign w:val="center"/>
          </w:tcPr>
          <w:p>
            <w:pPr>
              <w:pStyle w:val="TableContents"/>
              <w:bidi w:val="0"/>
              <w:spacing w:before="0" w:after="0"/>
              <w:jc w:val="center"/>
              <w:rPr/>
            </w:pPr>
            <w:r>
              <w:rPr/>
              <w:drawing>
                <wp:inline distT="0" distB="0" distL="0" distR="0">
                  <wp:extent cx="180975" cy="123825"/>
                  <wp:effectExtent l="0" t="0" r="0" b="0"/>
                  <wp:docPr id="183"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100" descr=""/>
                          <pic:cNvPicPr>
                            <a:picLocks noChangeAspect="1" noChangeArrowheads="1"/>
                          </pic:cNvPicPr>
                        </pic:nvPicPr>
                        <pic:blipFill>
                          <a:blip r:embed="rId118"/>
                          <a:stretch>
                            <a:fillRect/>
                          </a:stretch>
                        </pic:blipFill>
                        <pic:spPr bwMode="auto">
                          <a:xfrm>
                            <a:off x="0" y="0"/>
                            <a:ext cx="180975" cy="123825"/>
                          </a:xfrm>
                          <a:prstGeom prst="rect">
                            <a:avLst/>
                          </a:prstGeom>
                        </pic:spPr>
                      </pic:pic>
                    </a:graphicData>
                  </a:graphic>
                </wp:inline>
              </w:drawing>
            </w:r>
            <w:r>
              <w:rPr/>
              <w:t xml:space="preserve">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850" w:type="dxa"/>
            <w:tcBorders>
              <w:bottom w:val="single" w:sz="4" w:space="0" w:color="1F2668"/>
            </w:tcBorders>
            <w:tcMar>
              <w:bottom w:w="28" w:type="dxa"/>
            </w:tcMar>
            <w:vAlign w:val="center"/>
          </w:tcPr>
          <w:p>
            <w:pPr>
              <w:pStyle w:val="TableContents"/>
              <w:bidi w:val="0"/>
              <w:spacing w:before="0" w:after="0"/>
              <w:jc w:val="center"/>
              <w:rPr/>
            </w:pPr>
            <w:r>
              <w:rPr/>
              <w:drawing>
                <wp:inline distT="0" distB="0" distL="0" distR="0">
                  <wp:extent cx="180975" cy="123825"/>
                  <wp:effectExtent l="0" t="0" r="0" b="0"/>
                  <wp:docPr id="184"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101" descr=""/>
                          <pic:cNvPicPr>
                            <a:picLocks noChangeAspect="1" noChangeArrowheads="1"/>
                          </pic:cNvPicPr>
                        </pic:nvPicPr>
                        <pic:blipFill>
                          <a:blip r:embed="rId119"/>
                          <a:stretch>
                            <a:fillRect/>
                          </a:stretch>
                        </pic:blipFill>
                        <pic:spPr bwMode="auto">
                          <a:xfrm>
                            <a:off x="0" y="0"/>
                            <a:ext cx="180975" cy="123825"/>
                          </a:xfrm>
                          <a:prstGeom prst="rect">
                            <a:avLst/>
                          </a:prstGeom>
                        </pic:spPr>
                      </pic:pic>
                    </a:graphicData>
                  </a:graphic>
                </wp:inline>
              </w:drawing>
            </w:r>
            <w:r>
              <w:rPr/>
              <w:t xml:space="preserve"> </w:t>
            </w:r>
          </w:p>
        </w:tc>
        <w:tc>
          <w:tcPr>
            <w:tcW w:w="154" w:type="dxa"/>
            <w:tcBorders>
              <w:bottom w:val="single" w:sz="4" w:space="0" w:color="1F2668"/>
            </w:tcBorders>
            <w:tcMar>
              <w:bottom w:w="28" w:type="dxa"/>
            </w:tcMar>
            <w:vAlign w:val="center"/>
          </w:tcPr>
          <w:p>
            <w:pPr>
              <w:pStyle w:val="TableContents"/>
              <w:bidi w:val="0"/>
              <w:spacing w:before="0" w:after="283"/>
              <w:jc w:val="left"/>
              <w:rPr/>
            </w:pPr>
            <w:r>
              <w:rPr/>
              <w:t>​</w:t>
            </w:r>
          </w:p>
        </w:tc>
      </w:tr>
      <w:tr>
        <w:trPr/>
        <w:tc>
          <w:tcPr>
            <w:tcW w:w="731" w:type="dxa"/>
            <w:tcBorders>
              <w:bottom w:val="single" w:sz="4" w:space="0" w:color="1F2668"/>
            </w:tcBorders>
            <w:tcMar>
              <w:bottom w:w="85" w:type="dxa"/>
            </w:tcMar>
            <w:vAlign w:val="center"/>
          </w:tcPr>
          <w:p>
            <w:pPr>
              <w:pStyle w:val="TableContents"/>
              <w:bidi w:val="0"/>
              <w:spacing w:before="0" w:after="0"/>
              <w:jc w:val="left"/>
              <w:rPr/>
            </w:pPr>
            <w:r>
              <w:rPr/>
              <w:drawing>
                <wp:inline distT="0" distB="0" distL="0" distR="0">
                  <wp:extent cx="352425" cy="352425"/>
                  <wp:effectExtent l="0" t="0" r="0" b="0"/>
                  <wp:docPr id="185"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102" descr=""/>
                          <pic:cNvPicPr>
                            <a:picLocks noChangeAspect="1" noChangeArrowheads="1"/>
                          </pic:cNvPicPr>
                        </pic:nvPicPr>
                        <pic:blipFill>
                          <a:blip r:embed="rId120"/>
                          <a:stretch>
                            <a:fillRect/>
                          </a:stretch>
                        </pic:blipFill>
                        <pic:spPr bwMode="auto">
                          <a:xfrm>
                            <a:off x="0" y="0"/>
                            <a:ext cx="352425" cy="352425"/>
                          </a:xfrm>
                          <a:prstGeom prst="rect">
                            <a:avLst/>
                          </a:prstGeom>
                        </pic:spPr>
                      </pic:pic>
                    </a:graphicData>
                  </a:graphic>
                </wp:inline>
              </w:drawing>
            </w:r>
            <w:r>
              <w:rPr/>
              <w:t xml:space="preserve">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402" w:type="dxa"/>
            <w:tcBorders>
              <w:bottom w:val="single" w:sz="4" w:space="0" w:color="1F2668"/>
            </w:tcBorders>
            <w:tcMar>
              <w:bottom w:w="28" w:type="dxa"/>
            </w:tcMar>
            <w:vAlign w:val="center"/>
          </w:tcPr>
          <w:p>
            <w:pPr>
              <w:pStyle w:val="TableContents"/>
              <w:bidi w:val="0"/>
              <w:spacing w:lineRule="atLeast" w:line="220" w:before="0" w:after="0"/>
              <w:jc w:val="left"/>
              <w:rPr/>
            </w:pPr>
            <w:r>
              <w:rPr>
                <w:spacing w:val="-2"/>
              </w:rPr>
              <w:t>Talent Management</w:t>
            </w:r>
            <w:r>
              <w:rPr/>
              <w:t xml:space="preserve">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13" w:type="dxa"/>
            <w:tcBorders>
              <w:bottom w:val="single" w:sz="4" w:space="0" w:color="1F2668"/>
            </w:tcBorders>
            <w:tcMar>
              <w:bottom w:w="28" w:type="dxa"/>
            </w:tcMar>
            <w:vAlign w:val="center"/>
          </w:tcPr>
          <w:p>
            <w:pPr>
              <w:pStyle w:val="TableContents"/>
              <w:bidi w:val="0"/>
              <w:spacing w:before="0" w:after="0"/>
              <w:jc w:val="center"/>
              <w:rPr/>
            </w:pPr>
            <w:r>
              <w:rPr/>
              <w:drawing>
                <wp:inline distT="0" distB="0" distL="0" distR="0">
                  <wp:extent cx="180975" cy="123825"/>
                  <wp:effectExtent l="0" t="0" r="0" b="0"/>
                  <wp:docPr id="186"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103" descr=""/>
                          <pic:cNvPicPr>
                            <a:picLocks noChangeAspect="1" noChangeArrowheads="1"/>
                          </pic:cNvPicPr>
                        </pic:nvPicPr>
                        <pic:blipFill>
                          <a:blip r:embed="rId121"/>
                          <a:stretch>
                            <a:fillRect/>
                          </a:stretch>
                        </pic:blipFill>
                        <pic:spPr bwMode="auto">
                          <a:xfrm>
                            <a:off x="0" y="0"/>
                            <a:ext cx="180975" cy="123825"/>
                          </a:xfrm>
                          <a:prstGeom prst="rect">
                            <a:avLst/>
                          </a:prstGeom>
                        </pic:spPr>
                      </pic:pic>
                    </a:graphicData>
                  </a:graphic>
                </wp:inline>
              </w:drawing>
            </w:r>
            <w:r>
              <w:rPr/>
              <w:t xml:space="preserve">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762"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760" w:type="dxa"/>
            <w:tcBorders>
              <w:bottom w:val="single" w:sz="4" w:space="0" w:color="1F2668"/>
            </w:tcBorders>
            <w:tcMar>
              <w:bottom w:w="28" w:type="dxa"/>
            </w:tcMar>
            <w:vAlign w:val="center"/>
          </w:tcPr>
          <w:p>
            <w:pPr>
              <w:pStyle w:val="TableContents"/>
              <w:bidi w:val="0"/>
              <w:spacing w:before="0" w:after="0"/>
              <w:jc w:val="center"/>
              <w:rPr/>
            </w:pPr>
            <w:r>
              <w:rPr/>
              <w:drawing>
                <wp:inline distT="0" distB="0" distL="0" distR="0">
                  <wp:extent cx="180975" cy="123825"/>
                  <wp:effectExtent l="0" t="0" r="0" b="0"/>
                  <wp:docPr id="187"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104" descr=""/>
                          <pic:cNvPicPr>
                            <a:picLocks noChangeAspect="1" noChangeArrowheads="1"/>
                          </pic:cNvPicPr>
                        </pic:nvPicPr>
                        <pic:blipFill>
                          <a:blip r:embed="rId122"/>
                          <a:stretch>
                            <a:fillRect/>
                          </a:stretch>
                        </pic:blipFill>
                        <pic:spPr bwMode="auto">
                          <a:xfrm>
                            <a:off x="0" y="0"/>
                            <a:ext cx="180975" cy="123825"/>
                          </a:xfrm>
                          <a:prstGeom prst="rect">
                            <a:avLst/>
                          </a:prstGeom>
                        </pic:spPr>
                      </pic:pic>
                    </a:graphicData>
                  </a:graphic>
                </wp:inline>
              </w:drawing>
            </w:r>
            <w:r>
              <w:rPr/>
              <w:t xml:space="preserve">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687" w:type="dxa"/>
            <w:tcBorders>
              <w:bottom w:val="single" w:sz="4" w:space="0" w:color="1F2668"/>
            </w:tcBorders>
            <w:tcMar>
              <w:bottom w:w="28" w:type="dxa"/>
            </w:tcMar>
            <w:vAlign w:val="center"/>
          </w:tcPr>
          <w:p>
            <w:pPr>
              <w:pStyle w:val="TableContents"/>
              <w:bidi w:val="0"/>
              <w:spacing w:before="0" w:after="0"/>
              <w:jc w:val="center"/>
              <w:rPr/>
            </w:pPr>
            <w:r>
              <w:rPr/>
              <w:drawing>
                <wp:inline distT="0" distB="0" distL="0" distR="0">
                  <wp:extent cx="180975" cy="123825"/>
                  <wp:effectExtent l="0" t="0" r="0" b="0"/>
                  <wp:docPr id="188"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105" descr=""/>
                          <pic:cNvPicPr>
                            <a:picLocks noChangeAspect="1" noChangeArrowheads="1"/>
                          </pic:cNvPicPr>
                        </pic:nvPicPr>
                        <pic:blipFill>
                          <a:blip r:embed="rId123"/>
                          <a:stretch>
                            <a:fillRect/>
                          </a:stretch>
                        </pic:blipFill>
                        <pic:spPr bwMode="auto">
                          <a:xfrm>
                            <a:off x="0" y="0"/>
                            <a:ext cx="180975" cy="123825"/>
                          </a:xfrm>
                          <a:prstGeom prst="rect">
                            <a:avLst/>
                          </a:prstGeom>
                        </pic:spPr>
                      </pic:pic>
                    </a:graphicData>
                  </a:graphic>
                </wp:inline>
              </w:drawing>
            </w:r>
            <w:r>
              <w:rPr/>
              <w:t xml:space="preserve">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835" w:type="dxa"/>
            <w:tcBorders>
              <w:bottom w:val="single" w:sz="4" w:space="0" w:color="1F2668"/>
            </w:tcBorders>
            <w:tcMar>
              <w:bottom w:w="28" w:type="dxa"/>
            </w:tcMar>
            <w:vAlign w:val="center"/>
          </w:tcPr>
          <w:p>
            <w:pPr>
              <w:pStyle w:val="TableContents"/>
              <w:bidi w:val="0"/>
              <w:spacing w:before="0" w:after="0"/>
              <w:jc w:val="center"/>
              <w:rPr/>
            </w:pPr>
            <w:r>
              <w:rPr/>
              <w:drawing>
                <wp:inline distT="0" distB="0" distL="0" distR="0">
                  <wp:extent cx="180975" cy="123825"/>
                  <wp:effectExtent l="0" t="0" r="0" b="0"/>
                  <wp:docPr id="189"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106" descr=""/>
                          <pic:cNvPicPr>
                            <a:picLocks noChangeAspect="1" noChangeArrowheads="1"/>
                          </pic:cNvPicPr>
                        </pic:nvPicPr>
                        <pic:blipFill>
                          <a:blip r:embed="rId124"/>
                          <a:stretch>
                            <a:fillRect/>
                          </a:stretch>
                        </pic:blipFill>
                        <pic:spPr bwMode="auto">
                          <a:xfrm>
                            <a:off x="0" y="0"/>
                            <a:ext cx="180975" cy="123825"/>
                          </a:xfrm>
                          <a:prstGeom prst="rect">
                            <a:avLst/>
                          </a:prstGeom>
                        </pic:spPr>
                      </pic:pic>
                    </a:graphicData>
                  </a:graphic>
                </wp:inline>
              </w:drawing>
            </w:r>
            <w:r>
              <w:rPr/>
              <w:t xml:space="preserve">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924" w:type="dxa"/>
            <w:tcBorders>
              <w:bottom w:val="single" w:sz="4" w:space="0" w:color="1F2668"/>
            </w:tcBorders>
            <w:tcMar>
              <w:bottom w:w="28" w:type="dxa"/>
            </w:tcMar>
            <w:vAlign w:val="center"/>
          </w:tcPr>
          <w:p>
            <w:pPr>
              <w:pStyle w:val="TableContents"/>
              <w:bidi w:val="0"/>
              <w:spacing w:before="0" w:after="0"/>
              <w:jc w:val="center"/>
              <w:rPr/>
            </w:pPr>
            <w:r>
              <w:rPr/>
              <w:drawing>
                <wp:inline distT="0" distB="0" distL="0" distR="0">
                  <wp:extent cx="180975" cy="123825"/>
                  <wp:effectExtent l="0" t="0" r="0" b="0"/>
                  <wp:docPr id="190"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107" descr=""/>
                          <pic:cNvPicPr>
                            <a:picLocks noChangeAspect="1" noChangeArrowheads="1"/>
                          </pic:cNvPicPr>
                        </pic:nvPicPr>
                        <pic:blipFill>
                          <a:blip r:embed="rId125"/>
                          <a:stretch>
                            <a:fillRect/>
                          </a:stretch>
                        </pic:blipFill>
                        <pic:spPr bwMode="auto">
                          <a:xfrm>
                            <a:off x="0" y="0"/>
                            <a:ext cx="180975" cy="123825"/>
                          </a:xfrm>
                          <a:prstGeom prst="rect">
                            <a:avLst/>
                          </a:prstGeom>
                        </pic:spPr>
                      </pic:pic>
                    </a:graphicData>
                  </a:graphic>
                </wp:inline>
              </w:drawing>
            </w:r>
            <w:r>
              <w:rPr/>
              <w:t xml:space="preserve">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658" w:type="dxa"/>
            <w:tcBorders>
              <w:bottom w:val="single" w:sz="4" w:space="0" w:color="1F2668"/>
            </w:tcBorders>
            <w:tcMar>
              <w:bottom w:w="28" w:type="dxa"/>
            </w:tcMar>
            <w:vAlign w:val="center"/>
          </w:tcPr>
          <w:p>
            <w:pPr>
              <w:pStyle w:val="TableContents"/>
              <w:bidi w:val="0"/>
              <w:spacing w:before="0" w:after="0"/>
              <w:jc w:val="center"/>
              <w:rPr/>
            </w:pPr>
            <w:r>
              <w:rPr/>
              <w:drawing>
                <wp:inline distT="0" distB="0" distL="0" distR="0">
                  <wp:extent cx="180975" cy="123825"/>
                  <wp:effectExtent l="0" t="0" r="0" b="0"/>
                  <wp:docPr id="191"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108" descr=""/>
                          <pic:cNvPicPr>
                            <a:picLocks noChangeAspect="1" noChangeArrowheads="1"/>
                          </pic:cNvPicPr>
                        </pic:nvPicPr>
                        <pic:blipFill>
                          <a:blip r:embed="rId126"/>
                          <a:stretch>
                            <a:fillRect/>
                          </a:stretch>
                        </pic:blipFill>
                        <pic:spPr bwMode="auto">
                          <a:xfrm>
                            <a:off x="0" y="0"/>
                            <a:ext cx="180975" cy="123825"/>
                          </a:xfrm>
                          <a:prstGeom prst="rect">
                            <a:avLst/>
                          </a:prstGeom>
                        </pic:spPr>
                      </pic:pic>
                    </a:graphicData>
                  </a:graphic>
                </wp:inline>
              </w:drawing>
            </w:r>
            <w:r>
              <w:rPr/>
              <w:t xml:space="preserve">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850" w:type="dxa"/>
            <w:tcBorders>
              <w:bottom w:val="single" w:sz="4" w:space="0" w:color="1F2668"/>
            </w:tcBorders>
            <w:tcMar>
              <w:bottom w:w="28" w:type="dxa"/>
            </w:tcMar>
            <w:vAlign w:val="center"/>
          </w:tcPr>
          <w:p>
            <w:pPr>
              <w:pStyle w:val="TableContents"/>
              <w:bidi w:val="0"/>
              <w:spacing w:before="0" w:after="0"/>
              <w:jc w:val="center"/>
              <w:rPr/>
            </w:pPr>
            <w:r>
              <w:rPr/>
              <w:drawing>
                <wp:inline distT="0" distB="0" distL="0" distR="0">
                  <wp:extent cx="180975" cy="123825"/>
                  <wp:effectExtent l="0" t="0" r="0" b="0"/>
                  <wp:docPr id="192"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109" descr=""/>
                          <pic:cNvPicPr>
                            <a:picLocks noChangeAspect="1" noChangeArrowheads="1"/>
                          </pic:cNvPicPr>
                        </pic:nvPicPr>
                        <pic:blipFill>
                          <a:blip r:embed="rId127"/>
                          <a:stretch>
                            <a:fillRect/>
                          </a:stretch>
                        </pic:blipFill>
                        <pic:spPr bwMode="auto">
                          <a:xfrm>
                            <a:off x="0" y="0"/>
                            <a:ext cx="180975" cy="123825"/>
                          </a:xfrm>
                          <a:prstGeom prst="rect">
                            <a:avLst/>
                          </a:prstGeom>
                        </pic:spPr>
                      </pic:pic>
                    </a:graphicData>
                  </a:graphic>
                </wp:inline>
              </w:drawing>
            </w:r>
            <w:r>
              <w:rPr/>
              <w:t xml:space="preserve"> </w:t>
            </w:r>
          </w:p>
        </w:tc>
        <w:tc>
          <w:tcPr>
            <w:tcW w:w="154" w:type="dxa"/>
            <w:tcBorders>
              <w:bottom w:val="single" w:sz="4" w:space="0" w:color="1F2668"/>
            </w:tcBorders>
            <w:tcMar>
              <w:bottom w:w="28" w:type="dxa"/>
            </w:tcMar>
            <w:vAlign w:val="center"/>
          </w:tcPr>
          <w:p>
            <w:pPr>
              <w:pStyle w:val="TableContents"/>
              <w:bidi w:val="0"/>
              <w:spacing w:before="0" w:after="283"/>
              <w:jc w:val="left"/>
              <w:rPr/>
            </w:pPr>
            <w:r>
              <w:rPr/>
              <w:t>​</w:t>
            </w:r>
          </w:p>
        </w:tc>
      </w:tr>
      <w:tr>
        <w:trPr/>
        <w:tc>
          <w:tcPr>
            <w:tcW w:w="731" w:type="dxa"/>
            <w:tcBorders>
              <w:bottom w:val="single" w:sz="4" w:space="0" w:color="1F2668"/>
            </w:tcBorders>
            <w:tcMar>
              <w:bottom w:w="85" w:type="dxa"/>
            </w:tcMar>
            <w:vAlign w:val="center"/>
          </w:tcPr>
          <w:p>
            <w:pPr>
              <w:pStyle w:val="TableContents"/>
              <w:bidi w:val="0"/>
              <w:spacing w:before="0" w:after="0"/>
              <w:jc w:val="left"/>
              <w:rPr/>
            </w:pPr>
            <w:r>
              <w:rPr/>
              <w:drawing>
                <wp:inline distT="0" distB="0" distL="0" distR="0">
                  <wp:extent cx="333375" cy="257175"/>
                  <wp:effectExtent l="0" t="0" r="0" b="0"/>
                  <wp:docPr id="193"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110" descr=""/>
                          <pic:cNvPicPr>
                            <a:picLocks noChangeAspect="1" noChangeArrowheads="1"/>
                          </pic:cNvPicPr>
                        </pic:nvPicPr>
                        <pic:blipFill>
                          <a:blip r:embed="rId128"/>
                          <a:stretch>
                            <a:fillRect/>
                          </a:stretch>
                        </pic:blipFill>
                        <pic:spPr bwMode="auto">
                          <a:xfrm>
                            <a:off x="0" y="0"/>
                            <a:ext cx="333375" cy="257175"/>
                          </a:xfrm>
                          <a:prstGeom prst="rect">
                            <a:avLst/>
                          </a:prstGeom>
                        </pic:spPr>
                      </pic:pic>
                    </a:graphicData>
                  </a:graphic>
                </wp:inline>
              </w:drawing>
            </w:r>
            <w:r>
              <w:rPr/>
              <w:t xml:space="preserve">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402" w:type="dxa"/>
            <w:tcBorders>
              <w:bottom w:val="single" w:sz="4" w:space="0" w:color="1F2668"/>
            </w:tcBorders>
            <w:tcMar>
              <w:bottom w:w="28" w:type="dxa"/>
            </w:tcMar>
            <w:vAlign w:val="center"/>
          </w:tcPr>
          <w:p>
            <w:pPr>
              <w:pStyle w:val="TableContents"/>
              <w:bidi w:val="0"/>
              <w:spacing w:lineRule="atLeast" w:line="220" w:before="0" w:after="0"/>
              <w:jc w:val="left"/>
              <w:rPr/>
            </w:pPr>
            <w:r>
              <w:rPr>
                <w:spacing w:val="-2"/>
              </w:rPr>
              <w:t>Academia</w:t>
            </w:r>
            <w:r>
              <w:rPr/>
              <w:t xml:space="preserve">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13" w:type="dxa"/>
            <w:tcBorders>
              <w:bottom w:val="single" w:sz="4" w:space="0" w:color="1F2668"/>
            </w:tcBorders>
            <w:tcMar>
              <w:bottom w:w="28" w:type="dxa"/>
            </w:tcMar>
            <w:vAlign w:val="center"/>
          </w:tcPr>
          <w:p>
            <w:pPr>
              <w:pStyle w:val="TableContents"/>
              <w:bidi w:val="0"/>
              <w:spacing w:before="0" w:after="0"/>
              <w:jc w:val="center"/>
              <w:rPr/>
            </w:pPr>
            <w:r>
              <w:rPr/>
              <w:drawing>
                <wp:inline distT="0" distB="0" distL="0" distR="0">
                  <wp:extent cx="180975" cy="123825"/>
                  <wp:effectExtent l="0" t="0" r="0" b="0"/>
                  <wp:docPr id="194"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111" descr=""/>
                          <pic:cNvPicPr>
                            <a:picLocks noChangeAspect="1" noChangeArrowheads="1"/>
                          </pic:cNvPicPr>
                        </pic:nvPicPr>
                        <pic:blipFill>
                          <a:blip r:embed="rId129"/>
                          <a:stretch>
                            <a:fillRect/>
                          </a:stretch>
                        </pic:blipFill>
                        <pic:spPr bwMode="auto">
                          <a:xfrm>
                            <a:off x="0" y="0"/>
                            <a:ext cx="180975" cy="123825"/>
                          </a:xfrm>
                          <a:prstGeom prst="rect">
                            <a:avLst/>
                          </a:prstGeom>
                        </pic:spPr>
                      </pic:pic>
                    </a:graphicData>
                  </a:graphic>
                </wp:inline>
              </w:drawing>
            </w:r>
            <w:r>
              <w:rPr/>
              <w:t xml:space="preserve">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762" w:type="dxa"/>
            <w:tcBorders>
              <w:bottom w:val="single" w:sz="4" w:space="0" w:color="1F2668"/>
            </w:tcBorders>
            <w:tcMar>
              <w:bottom w:w="28" w:type="dxa"/>
            </w:tcMar>
            <w:vAlign w:val="center"/>
          </w:tcPr>
          <w:p>
            <w:pPr>
              <w:pStyle w:val="TableContents"/>
              <w:bidi w:val="0"/>
              <w:spacing w:before="0" w:after="0"/>
              <w:jc w:val="center"/>
              <w:rPr/>
            </w:pPr>
            <w:r>
              <w:rPr/>
              <w:drawing>
                <wp:inline distT="0" distB="0" distL="0" distR="0">
                  <wp:extent cx="180975" cy="123825"/>
                  <wp:effectExtent l="0" t="0" r="0" b="0"/>
                  <wp:docPr id="195"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112" descr=""/>
                          <pic:cNvPicPr>
                            <a:picLocks noChangeAspect="1" noChangeArrowheads="1"/>
                          </pic:cNvPicPr>
                        </pic:nvPicPr>
                        <pic:blipFill>
                          <a:blip r:embed="rId130"/>
                          <a:stretch>
                            <a:fillRect/>
                          </a:stretch>
                        </pic:blipFill>
                        <pic:spPr bwMode="auto">
                          <a:xfrm>
                            <a:off x="0" y="0"/>
                            <a:ext cx="180975" cy="123825"/>
                          </a:xfrm>
                          <a:prstGeom prst="rect">
                            <a:avLst/>
                          </a:prstGeom>
                        </pic:spPr>
                      </pic:pic>
                    </a:graphicData>
                  </a:graphic>
                </wp:inline>
              </w:drawing>
            </w:r>
            <w:r>
              <w:rPr/>
              <w:t xml:space="preserve">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760"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687"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835" w:type="dxa"/>
            <w:tcBorders>
              <w:bottom w:val="single" w:sz="4" w:space="0" w:color="1F2668"/>
            </w:tcBorders>
            <w:tcMar>
              <w:bottom w:w="28" w:type="dxa"/>
            </w:tcMar>
            <w:vAlign w:val="center"/>
          </w:tcPr>
          <w:p>
            <w:pPr>
              <w:pStyle w:val="TableContents"/>
              <w:bidi w:val="0"/>
              <w:spacing w:before="0" w:after="0"/>
              <w:jc w:val="center"/>
              <w:rPr/>
            </w:pPr>
            <w:r>
              <w:rPr/>
              <w:drawing>
                <wp:inline distT="0" distB="0" distL="0" distR="0">
                  <wp:extent cx="180975" cy="123825"/>
                  <wp:effectExtent l="0" t="0" r="0" b="0"/>
                  <wp:docPr id="196"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113" descr=""/>
                          <pic:cNvPicPr>
                            <a:picLocks noChangeAspect="1" noChangeArrowheads="1"/>
                          </pic:cNvPicPr>
                        </pic:nvPicPr>
                        <pic:blipFill>
                          <a:blip r:embed="rId131"/>
                          <a:stretch>
                            <a:fillRect/>
                          </a:stretch>
                        </pic:blipFill>
                        <pic:spPr bwMode="auto">
                          <a:xfrm>
                            <a:off x="0" y="0"/>
                            <a:ext cx="180975" cy="123825"/>
                          </a:xfrm>
                          <a:prstGeom prst="rect">
                            <a:avLst/>
                          </a:prstGeom>
                        </pic:spPr>
                      </pic:pic>
                    </a:graphicData>
                  </a:graphic>
                </wp:inline>
              </w:drawing>
            </w:r>
            <w:r>
              <w:rPr/>
              <w:t xml:space="preserve">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924"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658"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850" w:type="dxa"/>
            <w:tcBorders>
              <w:bottom w:val="single" w:sz="4" w:space="0" w:color="1F2668"/>
            </w:tcBorders>
            <w:tcMar>
              <w:bottom w:w="28" w:type="dxa"/>
            </w:tcMar>
            <w:vAlign w:val="center"/>
          </w:tcPr>
          <w:p>
            <w:pPr>
              <w:pStyle w:val="TableContents"/>
              <w:bidi w:val="0"/>
              <w:spacing w:before="0" w:after="283"/>
              <w:jc w:val="left"/>
              <w:rPr/>
            </w:pPr>
            <w:r>
              <w:rPr/>
              <w:t>​</w:t>
            </w:r>
          </w:p>
        </w:tc>
        <w:tc>
          <w:tcPr>
            <w:tcW w:w="154" w:type="dxa"/>
            <w:tcBorders>
              <w:bottom w:val="single" w:sz="4" w:space="0" w:color="1F2668"/>
            </w:tcBorders>
            <w:tcMar>
              <w:bottom w:w="28" w:type="dxa"/>
            </w:tcMar>
            <w:vAlign w:val="center"/>
          </w:tcPr>
          <w:p>
            <w:pPr>
              <w:pStyle w:val="TableContents"/>
              <w:bidi w:val="0"/>
              <w:spacing w:before="0" w:after="283"/>
              <w:jc w:val="left"/>
              <w:rPr/>
            </w:pPr>
            <w:r>
              <w:rPr/>
              <w:t>​</w:t>
            </w:r>
          </w:p>
        </w:tc>
      </w:tr>
      <w:tr>
        <w:trPr/>
        <w:tc>
          <w:tcPr>
            <w:tcW w:w="731" w:type="dxa"/>
            <w:tcBorders>
              <w:bottom w:val="single" w:sz="4" w:space="0" w:color="1F2668"/>
            </w:tcBorders>
            <w:tcMar>
              <w:bottom w:w="85" w:type="dxa"/>
            </w:tcMar>
            <w:vAlign w:val="center"/>
          </w:tcPr>
          <w:p>
            <w:pPr>
              <w:pStyle w:val="TableContents"/>
              <w:bidi w:val="0"/>
              <w:spacing w:before="0" w:after="0"/>
              <w:jc w:val="left"/>
              <w:rPr/>
            </w:pPr>
            <w:r>
              <w:rPr/>
              <w:drawing>
                <wp:inline distT="0" distB="0" distL="0" distR="0">
                  <wp:extent cx="352425" cy="371475"/>
                  <wp:effectExtent l="0" t="0" r="0" b="0"/>
                  <wp:docPr id="197"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114" descr=""/>
                          <pic:cNvPicPr>
                            <a:picLocks noChangeAspect="1" noChangeArrowheads="1"/>
                          </pic:cNvPicPr>
                        </pic:nvPicPr>
                        <pic:blipFill>
                          <a:blip r:embed="rId132"/>
                          <a:stretch>
                            <a:fillRect/>
                          </a:stretch>
                        </pic:blipFill>
                        <pic:spPr bwMode="auto">
                          <a:xfrm>
                            <a:off x="0" y="0"/>
                            <a:ext cx="352425" cy="371475"/>
                          </a:xfrm>
                          <a:prstGeom prst="rect">
                            <a:avLst/>
                          </a:prstGeom>
                        </pic:spPr>
                      </pic:pic>
                    </a:graphicData>
                  </a:graphic>
                </wp:inline>
              </w:drawing>
            </w:r>
            <w:r>
              <w:rPr/>
              <w:t xml:space="preserve">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402" w:type="dxa"/>
            <w:tcBorders>
              <w:bottom w:val="single" w:sz="4" w:space="0" w:color="1F2668"/>
            </w:tcBorders>
            <w:tcMar>
              <w:bottom w:w="28" w:type="dxa"/>
            </w:tcMar>
            <w:vAlign w:val="center"/>
          </w:tcPr>
          <w:p>
            <w:pPr>
              <w:pStyle w:val="TableContents"/>
              <w:bidi w:val="0"/>
              <w:spacing w:lineRule="atLeast" w:line="220" w:before="0" w:after="0"/>
              <w:jc w:val="left"/>
              <w:rPr/>
            </w:pPr>
            <w:r>
              <w:rPr>
                <w:spacing w:val="-2"/>
              </w:rPr>
              <w:t>Accounting</w:t>
            </w:r>
            <w:r>
              <w:rPr/>
              <w:t xml:space="preserve">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13"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762"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760" w:type="dxa"/>
            <w:tcBorders>
              <w:bottom w:val="single" w:sz="4" w:space="0" w:color="1F2668"/>
            </w:tcBorders>
            <w:tcMar>
              <w:bottom w:w="28" w:type="dxa"/>
            </w:tcMar>
            <w:vAlign w:val="center"/>
          </w:tcPr>
          <w:p>
            <w:pPr>
              <w:pStyle w:val="TableContents"/>
              <w:bidi w:val="0"/>
              <w:spacing w:before="0" w:after="0"/>
              <w:jc w:val="center"/>
              <w:rPr/>
            </w:pPr>
            <w:r>
              <w:rPr/>
              <w:drawing>
                <wp:inline distT="0" distB="0" distL="0" distR="0">
                  <wp:extent cx="180975" cy="123825"/>
                  <wp:effectExtent l="0" t="0" r="0" b="0"/>
                  <wp:docPr id="198"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115" descr=""/>
                          <pic:cNvPicPr>
                            <a:picLocks noChangeAspect="1" noChangeArrowheads="1"/>
                          </pic:cNvPicPr>
                        </pic:nvPicPr>
                        <pic:blipFill>
                          <a:blip r:embed="rId133"/>
                          <a:stretch>
                            <a:fillRect/>
                          </a:stretch>
                        </pic:blipFill>
                        <pic:spPr bwMode="auto">
                          <a:xfrm>
                            <a:off x="0" y="0"/>
                            <a:ext cx="180975" cy="123825"/>
                          </a:xfrm>
                          <a:prstGeom prst="rect">
                            <a:avLst/>
                          </a:prstGeom>
                        </pic:spPr>
                      </pic:pic>
                    </a:graphicData>
                  </a:graphic>
                </wp:inline>
              </w:drawing>
            </w:r>
            <w:r>
              <w:rPr/>
              <w:t xml:space="preserve">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687"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835" w:type="dxa"/>
            <w:tcBorders>
              <w:bottom w:val="single" w:sz="4" w:space="0" w:color="1F2668"/>
            </w:tcBorders>
            <w:tcMar>
              <w:bottom w:w="28" w:type="dxa"/>
            </w:tcMar>
            <w:vAlign w:val="center"/>
          </w:tcPr>
          <w:p>
            <w:pPr>
              <w:pStyle w:val="TableContents"/>
              <w:bidi w:val="0"/>
              <w:spacing w:before="0" w:after="0"/>
              <w:jc w:val="center"/>
              <w:rPr/>
            </w:pPr>
            <w:r>
              <w:rPr/>
              <w:drawing>
                <wp:inline distT="0" distB="0" distL="0" distR="0">
                  <wp:extent cx="180975" cy="123825"/>
                  <wp:effectExtent l="0" t="0" r="0" b="0"/>
                  <wp:docPr id="199"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116" descr=""/>
                          <pic:cNvPicPr>
                            <a:picLocks noChangeAspect="1" noChangeArrowheads="1"/>
                          </pic:cNvPicPr>
                        </pic:nvPicPr>
                        <pic:blipFill>
                          <a:blip r:embed="rId134"/>
                          <a:stretch>
                            <a:fillRect/>
                          </a:stretch>
                        </pic:blipFill>
                        <pic:spPr bwMode="auto">
                          <a:xfrm>
                            <a:off x="0" y="0"/>
                            <a:ext cx="180975" cy="123825"/>
                          </a:xfrm>
                          <a:prstGeom prst="rect">
                            <a:avLst/>
                          </a:prstGeom>
                        </pic:spPr>
                      </pic:pic>
                    </a:graphicData>
                  </a:graphic>
                </wp:inline>
              </w:drawing>
            </w:r>
            <w:r>
              <w:rPr/>
              <w:t xml:space="preserve">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924"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658"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850" w:type="dxa"/>
            <w:tcBorders>
              <w:bottom w:val="single" w:sz="4" w:space="0" w:color="1F2668"/>
            </w:tcBorders>
            <w:tcMar>
              <w:bottom w:w="28" w:type="dxa"/>
            </w:tcMar>
            <w:vAlign w:val="center"/>
          </w:tcPr>
          <w:p>
            <w:pPr>
              <w:pStyle w:val="TableContents"/>
              <w:bidi w:val="0"/>
              <w:spacing w:before="0" w:after="283"/>
              <w:jc w:val="left"/>
              <w:rPr/>
            </w:pPr>
            <w:r>
              <w:rPr/>
              <w:t>​</w:t>
            </w:r>
          </w:p>
        </w:tc>
        <w:tc>
          <w:tcPr>
            <w:tcW w:w="154" w:type="dxa"/>
            <w:tcBorders>
              <w:bottom w:val="single" w:sz="4" w:space="0" w:color="1F2668"/>
            </w:tcBorders>
            <w:tcMar>
              <w:bottom w:w="28" w:type="dxa"/>
            </w:tcMar>
            <w:vAlign w:val="center"/>
          </w:tcPr>
          <w:p>
            <w:pPr>
              <w:pStyle w:val="TableContents"/>
              <w:bidi w:val="0"/>
              <w:spacing w:before="0" w:after="283"/>
              <w:jc w:val="left"/>
              <w:rPr/>
            </w:pPr>
            <w:r>
              <w:rPr/>
              <w:t>​</w:t>
            </w:r>
          </w:p>
        </w:tc>
      </w:tr>
      <w:tr>
        <w:trPr/>
        <w:tc>
          <w:tcPr>
            <w:tcW w:w="731" w:type="dxa"/>
            <w:tcBorders>
              <w:bottom w:val="single" w:sz="4" w:space="0" w:color="1F2668"/>
            </w:tcBorders>
            <w:tcMar>
              <w:bottom w:w="85" w:type="dxa"/>
            </w:tcMar>
            <w:vAlign w:val="center"/>
          </w:tcPr>
          <w:p>
            <w:pPr>
              <w:pStyle w:val="TableContents"/>
              <w:bidi w:val="0"/>
              <w:spacing w:before="0" w:after="0"/>
              <w:jc w:val="left"/>
              <w:rPr/>
            </w:pPr>
            <w:r>
              <w:rPr/>
              <w:drawing>
                <wp:inline distT="0" distB="0" distL="0" distR="0">
                  <wp:extent cx="342900" cy="381000"/>
                  <wp:effectExtent l="0" t="0" r="0" b="0"/>
                  <wp:docPr id="200"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117" descr=""/>
                          <pic:cNvPicPr>
                            <a:picLocks noChangeAspect="1" noChangeArrowheads="1"/>
                          </pic:cNvPicPr>
                        </pic:nvPicPr>
                        <pic:blipFill>
                          <a:blip r:embed="rId135"/>
                          <a:stretch>
                            <a:fillRect/>
                          </a:stretch>
                        </pic:blipFill>
                        <pic:spPr bwMode="auto">
                          <a:xfrm>
                            <a:off x="0" y="0"/>
                            <a:ext cx="342900" cy="381000"/>
                          </a:xfrm>
                          <a:prstGeom prst="rect">
                            <a:avLst/>
                          </a:prstGeom>
                        </pic:spPr>
                      </pic:pic>
                    </a:graphicData>
                  </a:graphic>
                </wp:inline>
              </w:drawing>
            </w:r>
            <w:r>
              <w:rPr/>
              <w:t xml:space="preserve">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402" w:type="dxa"/>
            <w:tcBorders>
              <w:bottom w:val="single" w:sz="4" w:space="0" w:color="1F2668"/>
            </w:tcBorders>
            <w:tcMar>
              <w:bottom w:w="28" w:type="dxa"/>
            </w:tcMar>
            <w:vAlign w:val="center"/>
          </w:tcPr>
          <w:p>
            <w:pPr>
              <w:pStyle w:val="TableContents"/>
              <w:bidi w:val="0"/>
              <w:spacing w:lineRule="atLeast" w:line="220" w:before="0" w:after="0"/>
              <w:jc w:val="left"/>
              <w:rPr/>
            </w:pPr>
            <w:r>
              <w:rPr>
                <w:spacing w:val="-2"/>
              </w:rPr>
              <w:t>Government/Regulatory Experience</w:t>
            </w:r>
            <w:r>
              <w:rPr/>
              <w:t xml:space="preserve">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13" w:type="dxa"/>
            <w:tcBorders>
              <w:bottom w:val="single" w:sz="4" w:space="0" w:color="1F2668"/>
            </w:tcBorders>
            <w:tcMar>
              <w:bottom w:w="28" w:type="dxa"/>
            </w:tcMar>
            <w:vAlign w:val="center"/>
          </w:tcPr>
          <w:p>
            <w:pPr>
              <w:pStyle w:val="TableContents"/>
              <w:bidi w:val="0"/>
              <w:spacing w:before="0" w:after="0"/>
              <w:jc w:val="center"/>
              <w:rPr/>
            </w:pPr>
            <w:r>
              <w:rPr/>
              <w:drawing>
                <wp:inline distT="0" distB="0" distL="0" distR="0">
                  <wp:extent cx="180975" cy="123825"/>
                  <wp:effectExtent l="0" t="0" r="0" b="0"/>
                  <wp:docPr id="201"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118" descr=""/>
                          <pic:cNvPicPr>
                            <a:picLocks noChangeAspect="1" noChangeArrowheads="1"/>
                          </pic:cNvPicPr>
                        </pic:nvPicPr>
                        <pic:blipFill>
                          <a:blip r:embed="rId136"/>
                          <a:stretch>
                            <a:fillRect/>
                          </a:stretch>
                        </pic:blipFill>
                        <pic:spPr bwMode="auto">
                          <a:xfrm>
                            <a:off x="0" y="0"/>
                            <a:ext cx="180975" cy="123825"/>
                          </a:xfrm>
                          <a:prstGeom prst="rect">
                            <a:avLst/>
                          </a:prstGeom>
                        </pic:spPr>
                      </pic:pic>
                    </a:graphicData>
                  </a:graphic>
                </wp:inline>
              </w:drawing>
            </w:r>
            <w:r>
              <w:rPr/>
              <w:t xml:space="preserve">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762" w:type="dxa"/>
            <w:tcBorders>
              <w:bottom w:val="single" w:sz="4" w:space="0" w:color="1F2668"/>
            </w:tcBorders>
            <w:tcMar>
              <w:bottom w:w="28" w:type="dxa"/>
            </w:tcMar>
            <w:vAlign w:val="center"/>
          </w:tcPr>
          <w:p>
            <w:pPr>
              <w:pStyle w:val="TableContents"/>
              <w:bidi w:val="0"/>
              <w:spacing w:before="0" w:after="0"/>
              <w:jc w:val="center"/>
              <w:rPr/>
            </w:pPr>
            <w:r>
              <w:rPr/>
              <w:drawing>
                <wp:inline distT="0" distB="0" distL="0" distR="0">
                  <wp:extent cx="180975" cy="123825"/>
                  <wp:effectExtent l="0" t="0" r="0" b="0"/>
                  <wp:docPr id="202"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119" descr=""/>
                          <pic:cNvPicPr>
                            <a:picLocks noChangeAspect="1" noChangeArrowheads="1"/>
                          </pic:cNvPicPr>
                        </pic:nvPicPr>
                        <pic:blipFill>
                          <a:blip r:embed="rId137"/>
                          <a:stretch>
                            <a:fillRect/>
                          </a:stretch>
                        </pic:blipFill>
                        <pic:spPr bwMode="auto">
                          <a:xfrm>
                            <a:off x="0" y="0"/>
                            <a:ext cx="180975" cy="123825"/>
                          </a:xfrm>
                          <a:prstGeom prst="rect">
                            <a:avLst/>
                          </a:prstGeom>
                        </pic:spPr>
                      </pic:pic>
                    </a:graphicData>
                  </a:graphic>
                </wp:inline>
              </w:drawing>
            </w:r>
            <w:r>
              <w:rPr/>
              <w:t xml:space="preserve">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760"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687" w:type="dxa"/>
            <w:tcBorders>
              <w:bottom w:val="single" w:sz="4" w:space="0" w:color="1F2668"/>
            </w:tcBorders>
            <w:tcMar>
              <w:bottom w:w="28" w:type="dxa"/>
            </w:tcMar>
            <w:vAlign w:val="center"/>
          </w:tcPr>
          <w:p>
            <w:pPr>
              <w:pStyle w:val="TableContents"/>
              <w:bidi w:val="0"/>
              <w:spacing w:before="0" w:after="0"/>
              <w:jc w:val="center"/>
              <w:rPr/>
            </w:pPr>
            <w:r>
              <w:rPr/>
              <w:drawing>
                <wp:inline distT="0" distB="0" distL="0" distR="0">
                  <wp:extent cx="180975" cy="123825"/>
                  <wp:effectExtent l="0" t="0" r="0" b="0"/>
                  <wp:docPr id="203"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120" descr=""/>
                          <pic:cNvPicPr>
                            <a:picLocks noChangeAspect="1" noChangeArrowheads="1"/>
                          </pic:cNvPicPr>
                        </pic:nvPicPr>
                        <pic:blipFill>
                          <a:blip r:embed="rId138"/>
                          <a:stretch>
                            <a:fillRect/>
                          </a:stretch>
                        </pic:blipFill>
                        <pic:spPr bwMode="auto">
                          <a:xfrm>
                            <a:off x="0" y="0"/>
                            <a:ext cx="180975" cy="123825"/>
                          </a:xfrm>
                          <a:prstGeom prst="rect">
                            <a:avLst/>
                          </a:prstGeom>
                        </pic:spPr>
                      </pic:pic>
                    </a:graphicData>
                  </a:graphic>
                </wp:inline>
              </w:drawing>
            </w:r>
            <w:r>
              <w:rPr/>
              <w:t xml:space="preserve">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835"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924" w:type="dxa"/>
            <w:tcBorders>
              <w:bottom w:val="single" w:sz="4" w:space="0" w:color="1F2668"/>
            </w:tcBorders>
            <w:tcMar>
              <w:bottom w:w="28" w:type="dxa"/>
            </w:tcMar>
            <w:vAlign w:val="center"/>
          </w:tcPr>
          <w:p>
            <w:pPr>
              <w:pStyle w:val="TableContents"/>
              <w:bidi w:val="0"/>
              <w:spacing w:before="0" w:after="0"/>
              <w:jc w:val="center"/>
              <w:rPr/>
            </w:pPr>
            <w:r>
              <w:rPr/>
              <w:drawing>
                <wp:inline distT="0" distB="0" distL="0" distR="0">
                  <wp:extent cx="180975" cy="123825"/>
                  <wp:effectExtent l="0" t="0" r="0" b="0"/>
                  <wp:docPr id="204"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121" descr=""/>
                          <pic:cNvPicPr>
                            <a:picLocks noChangeAspect="1" noChangeArrowheads="1"/>
                          </pic:cNvPicPr>
                        </pic:nvPicPr>
                        <pic:blipFill>
                          <a:blip r:embed="rId139"/>
                          <a:stretch>
                            <a:fillRect/>
                          </a:stretch>
                        </pic:blipFill>
                        <pic:spPr bwMode="auto">
                          <a:xfrm>
                            <a:off x="0" y="0"/>
                            <a:ext cx="180975" cy="123825"/>
                          </a:xfrm>
                          <a:prstGeom prst="rect">
                            <a:avLst/>
                          </a:prstGeom>
                        </pic:spPr>
                      </pic:pic>
                    </a:graphicData>
                  </a:graphic>
                </wp:inline>
              </w:drawing>
            </w:r>
            <w:r>
              <w:rPr/>
              <w:t xml:space="preserve">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658"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850" w:type="dxa"/>
            <w:tcBorders>
              <w:bottom w:val="single" w:sz="4" w:space="0" w:color="1F2668"/>
            </w:tcBorders>
            <w:tcMar>
              <w:bottom w:w="28" w:type="dxa"/>
            </w:tcMar>
            <w:vAlign w:val="center"/>
          </w:tcPr>
          <w:p>
            <w:pPr>
              <w:pStyle w:val="TableContents"/>
              <w:bidi w:val="0"/>
              <w:spacing w:before="0" w:after="0"/>
              <w:jc w:val="center"/>
              <w:rPr/>
            </w:pPr>
            <w:r>
              <w:rPr/>
              <w:drawing>
                <wp:inline distT="0" distB="0" distL="0" distR="0">
                  <wp:extent cx="180975" cy="123825"/>
                  <wp:effectExtent l="0" t="0" r="0" b="0"/>
                  <wp:docPr id="205"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122" descr=""/>
                          <pic:cNvPicPr>
                            <a:picLocks noChangeAspect="1" noChangeArrowheads="1"/>
                          </pic:cNvPicPr>
                        </pic:nvPicPr>
                        <pic:blipFill>
                          <a:blip r:embed="rId140"/>
                          <a:stretch>
                            <a:fillRect/>
                          </a:stretch>
                        </pic:blipFill>
                        <pic:spPr bwMode="auto">
                          <a:xfrm>
                            <a:off x="0" y="0"/>
                            <a:ext cx="180975" cy="123825"/>
                          </a:xfrm>
                          <a:prstGeom prst="rect">
                            <a:avLst/>
                          </a:prstGeom>
                        </pic:spPr>
                      </pic:pic>
                    </a:graphicData>
                  </a:graphic>
                </wp:inline>
              </w:drawing>
            </w:r>
            <w:r>
              <w:rPr/>
              <w:t xml:space="preserve"> </w:t>
            </w:r>
          </w:p>
        </w:tc>
        <w:tc>
          <w:tcPr>
            <w:tcW w:w="154" w:type="dxa"/>
            <w:tcBorders>
              <w:bottom w:val="single" w:sz="4" w:space="0" w:color="1F2668"/>
            </w:tcBorders>
            <w:tcMar>
              <w:bottom w:w="28" w:type="dxa"/>
            </w:tcMar>
            <w:vAlign w:val="center"/>
          </w:tcPr>
          <w:p>
            <w:pPr>
              <w:pStyle w:val="TableContents"/>
              <w:bidi w:val="0"/>
              <w:spacing w:before="0" w:after="283"/>
              <w:jc w:val="left"/>
              <w:rPr/>
            </w:pPr>
            <w:r>
              <w:rPr/>
              <w:t>​</w:t>
            </w:r>
          </w:p>
        </w:tc>
      </w:tr>
      <w:tr>
        <w:trPr/>
        <w:tc>
          <w:tcPr>
            <w:tcW w:w="731" w:type="dxa"/>
            <w:tcBorders>
              <w:bottom w:val="single" w:sz="12" w:space="0" w:color="1F2668"/>
            </w:tcBorders>
            <w:tcMar>
              <w:bottom w:w="135" w:type="dxa"/>
            </w:tcMar>
            <w:vAlign w:val="center"/>
          </w:tcPr>
          <w:p>
            <w:pPr>
              <w:pStyle w:val="TableContents"/>
              <w:bidi w:val="0"/>
              <w:spacing w:before="0" w:after="0"/>
              <w:jc w:val="left"/>
              <w:rPr/>
            </w:pPr>
            <w:r>
              <w:rPr/>
              <w:drawing>
                <wp:inline distT="0" distB="0" distL="0" distR="0">
                  <wp:extent cx="371475" cy="295275"/>
                  <wp:effectExtent l="0" t="0" r="0" b="0"/>
                  <wp:docPr id="206"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123" descr=""/>
                          <pic:cNvPicPr>
                            <a:picLocks noChangeAspect="1" noChangeArrowheads="1"/>
                          </pic:cNvPicPr>
                        </pic:nvPicPr>
                        <pic:blipFill>
                          <a:blip r:embed="rId141"/>
                          <a:stretch>
                            <a:fillRect/>
                          </a:stretch>
                        </pic:blipFill>
                        <pic:spPr bwMode="auto">
                          <a:xfrm>
                            <a:off x="0" y="0"/>
                            <a:ext cx="371475" cy="295275"/>
                          </a:xfrm>
                          <a:prstGeom prst="rect">
                            <a:avLst/>
                          </a:prstGeom>
                        </pic:spPr>
                      </pic:pic>
                    </a:graphicData>
                  </a:graphic>
                </wp:inline>
              </w:drawing>
            </w:r>
            <w:r>
              <w:rPr/>
              <w:t xml:space="preserve"> </w:t>
            </w:r>
          </w:p>
        </w:tc>
        <w:tc>
          <w:tcPr>
            <w:tcW w:w="109" w:type="dxa"/>
            <w:tcBorders>
              <w:bottom w:val="single" w:sz="12" w:space="0" w:color="1F2668"/>
            </w:tcBorders>
            <w:tcMar>
              <w:bottom w:w="28" w:type="dxa"/>
            </w:tcMar>
            <w:vAlign w:val="center"/>
          </w:tcPr>
          <w:p>
            <w:pPr>
              <w:pStyle w:val="TableContents"/>
              <w:bidi w:val="0"/>
              <w:spacing w:before="0" w:after="283"/>
              <w:jc w:val="left"/>
              <w:rPr/>
            </w:pPr>
            <w:r>
              <w:rPr/>
              <w:t>​</w:t>
            </w:r>
          </w:p>
        </w:tc>
        <w:tc>
          <w:tcPr>
            <w:tcW w:w="109" w:type="dxa"/>
            <w:tcBorders>
              <w:bottom w:val="single" w:sz="12" w:space="0" w:color="1F2668"/>
            </w:tcBorders>
            <w:tcMar>
              <w:bottom w:w="28" w:type="dxa"/>
            </w:tcMar>
            <w:vAlign w:val="center"/>
          </w:tcPr>
          <w:p>
            <w:pPr>
              <w:pStyle w:val="TableContents"/>
              <w:bidi w:val="0"/>
              <w:spacing w:before="0" w:after="283"/>
              <w:jc w:val="left"/>
              <w:rPr/>
            </w:pPr>
            <w:r>
              <w:rPr/>
              <w:t>​</w:t>
            </w:r>
          </w:p>
        </w:tc>
        <w:tc>
          <w:tcPr>
            <w:tcW w:w="1402" w:type="dxa"/>
            <w:tcBorders>
              <w:bottom w:val="single" w:sz="12" w:space="0" w:color="1F2668"/>
            </w:tcBorders>
            <w:tcMar>
              <w:bottom w:w="28" w:type="dxa"/>
            </w:tcMar>
            <w:vAlign w:val="center"/>
          </w:tcPr>
          <w:p>
            <w:pPr>
              <w:pStyle w:val="TableContents"/>
              <w:bidi w:val="0"/>
              <w:spacing w:lineRule="atLeast" w:line="220" w:before="0" w:after="0"/>
              <w:jc w:val="left"/>
              <w:rPr/>
            </w:pPr>
            <w:r>
              <w:rPr>
                <w:spacing w:val="-2"/>
              </w:rPr>
              <w:t>Technology/Cybersecurity</w:t>
            </w:r>
            <w:r>
              <w:rPr/>
              <w:t xml:space="preserve"> </w:t>
            </w:r>
          </w:p>
        </w:tc>
        <w:tc>
          <w:tcPr>
            <w:tcW w:w="109" w:type="dxa"/>
            <w:tcBorders>
              <w:bottom w:val="single" w:sz="12" w:space="0" w:color="1F2668"/>
            </w:tcBorders>
            <w:tcMar>
              <w:bottom w:w="28" w:type="dxa"/>
            </w:tcMar>
            <w:vAlign w:val="center"/>
          </w:tcPr>
          <w:p>
            <w:pPr>
              <w:pStyle w:val="TableContents"/>
              <w:bidi w:val="0"/>
              <w:spacing w:before="0" w:after="283"/>
              <w:jc w:val="left"/>
              <w:rPr/>
            </w:pPr>
            <w:r>
              <w:rPr/>
              <w:t>​</w:t>
            </w:r>
          </w:p>
        </w:tc>
        <w:tc>
          <w:tcPr>
            <w:tcW w:w="109" w:type="dxa"/>
            <w:tcBorders/>
            <w:shd w:fill="FFFFFF" w:val="clear"/>
            <w:tcMar>
              <w:bottom w:w="0" w:type="dxa"/>
            </w:tcMar>
            <w:vAlign w:val="center"/>
          </w:tcPr>
          <w:p>
            <w:pPr>
              <w:pStyle w:val="TableContents"/>
              <w:bidi w:val="0"/>
              <w:spacing w:before="0" w:after="283"/>
              <w:jc w:val="left"/>
              <w:rPr/>
            </w:pPr>
            <w:r>
              <w:rPr/>
              <w:t>​</w:t>
            </w:r>
          </w:p>
        </w:tc>
        <w:tc>
          <w:tcPr>
            <w:tcW w:w="109" w:type="dxa"/>
            <w:tcBorders>
              <w:bottom w:val="single" w:sz="12" w:space="0" w:color="1F2668"/>
            </w:tcBorders>
            <w:tcMar>
              <w:bottom w:w="28" w:type="dxa"/>
            </w:tcMar>
            <w:vAlign w:val="center"/>
          </w:tcPr>
          <w:p>
            <w:pPr>
              <w:pStyle w:val="TableContents"/>
              <w:bidi w:val="0"/>
              <w:spacing w:before="0" w:after="283"/>
              <w:jc w:val="left"/>
              <w:rPr/>
            </w:pPr>
            <w:r>
              <w:rPr/>
              <w:t>​</w:t>
            </w:r>
          </w:p>
        </w:tc>
        <w:tc>
          <w:tcPr>
            <w:tcW w:w="109" w:type="dxa"/>
            <w:tcBorders>
              <w:bottom w:val="single" w:sz="12" w:space="0" w:color="1F2668"/>
            </w:tcBorders>
            <w:tcMar>
              <w:bottom w:w="28" w:type="dxa"/>
            </w:tcMar>
            <w:vAlign w:val="center"/>
          </w:tcPr>
          <w:p>
            <w:pPr>
              <w:pStyle w:val="TableContents"/>
              <w:bidi w:val="0"/>
              <w:spacing w:before="0" w:after="283"/>
              <w:jc w:val="left"/>
              <w:rPr/>
            </w:pPr>
            <w:r>
              <w:rPr/>
              <w:t>​</w:t>
            </w:r>
          </w:p>
        </w:tc>
        <w:tc>
          <w:tcPr>
            <w:tcW w:w="109" w:type="dxa"/>
            <w:tcBorders>
              <w:bottom w:val="single" w:sz="12" w:space="0" w:color="1F2668"/>
            </w:tcBorders>
            <w:tcMar>
              <w:bottom w:w="28" w:type="dxa"/>
            </w:tcMar>
            <w:vAlign w:val="center"/>
          </w:tcPr>
          <w:p>
            <w:pPr>
              <w:pStyle w:val="TableContents"/>
              <w:bidi w:val="0"/>
              <w:spacing w:before="0" w:after="283"/>
              <w:jc w:val="left"/>
              <w:rPr/>
            </w:pPr>
            <w:r>
              <w:rPr/>
              <w:t>​</w:t>
            </w:r>
          </w:p>
        </w:tc>
        <w:tc>
          <w:tcPr>
            <w:tcW w:w="109" w:type="dxa"/>
            <w:tcBorders/>
            <w:shd w:fill="4B5088" w:val="clear"/>
            <w:tcMar>
              <w:bottom w:w="0" w:type="dxa"/>
            </w:tcMar>
            <w:vAlign w:val="center"/>
          </w:tcPr>
          <w:p>
            <w:pPr>
              <w:pStyle w:val="TableContents"/>
              <w:bidi w:val="0"/>
              <w:spacing w:before="0" w:after="283"/>
              <w:jc w:val="left"/>
              <w:rPr/>
            </w:pPr>
            <w:r>
              <w:rPr/>
              <w:t>​</w:t>
            </w:r>
          </w:p>
        </w:tc>
        <w:tc>
          <w:tcPr>
            <w:tcW w:w="109" w:type="dxa"/>
            <w:tcBorders>
              <w:bottom w:val="single" w:sz="12" w:space="0" w:color="1F2668"/>
            </w:tcBorders>
            <w:tcMar>
              <w:bottom w:w="28" w:type="dxa"/>
            </w:tcMar>
            <w:vAlign w:val="center"/>
          </w:tcPr>
          <w:p>
            <w:pPr>
              <w:pStyle w:val="TableContents"/>
              <w:bidi w:val="0"/>
              <w:spacing w:before="0" w:after="283"/>
              <w:jc w:val="left"/>
              <w:rPr/>
            </w:pPr>
            <w:r>
              <w:rPr/>
              <w:t>​</w:t>
            </w:r>
          </w:p>
        </w:tc>
        <w:tc>
          <w:tcPr>
            <w:tcW w:w="1013" w:type="dxa"/>
            <w:tcBorders>
              <w:bottom w:val="single" w:sz="12" w:space="0" w:color="1F2668"/>
            </w:tcBorders>
            <w:tcMar>
              <w:bottom w:w="28" w:type="dxa"/>
            </w:tcMar>
            <w:vAlign w:val="center"/>
          </w:tcPr>
          <w:p>
            <w:pPr>
              <w:pStyle w:val="TableContents"/>
              <w:bidi w:val="0"/>
              <w:spacing w:before="0" w:after="283"/>
              <w:jc w:val="left"/>
              <w:rPr/>
            </w:pPr>
            <w:r>
              <w:rPr/>
              <w:t>​</w:t>
            </w:r>
          </w:p>
        </w:tc>
        <w:tc>
          <w:tcPr>
            <w:tcW w:w="109" w:type="dxa"/>
            <w:tcBorders>
              <w:bottom w:val="single" w:sz="12" w:space="0" w:color="1F2668"/>
            </w:tcBorders>
            <w:tcMar>
              <w:bottom w:w="28" w:type="dxa"/>
            </w:tcMar>
            <w:vAlign w:val="center"/>
          </w:tcPr>
          <w:p>
            <w:pPr>
              <w:pStyle w:val="TableContents"/>
              <w:bidi w:val="0"/>
              <w:spacing w:before="0" w:after="283"/>
              <w:jc w:val="left"/>
              <w:rPr/>
            </w:pPr>
            <w:r>
              <w:rPr/>
              <w:t>​</w:t>
            </w:r>
          </w:p>
        </w:tc>
        <w:tc>
          <w:tcPr>
            <w:tcW w:w="109" w:type="dxa"/>
            <w:tcBorders/>
            <w:shd w:fill="4B5088" w:val="clear"/>
            <w:tcMar>
              <w:bottom w:w="0" w:type="dxa"/>
            </w:tcMar>
            <w:vAlign w:val="center"/>
          </w:tcPr>
          <w:p>
            <w:pPr>
              <w:pStyle w:val="TableContents"/>
              <w:bidi w:val="0"/>
              <w:spacing w:before="0" w:after="283"/>
              <w:jc w:val="left"/>
              <w:rPr/>
            </w:pPr>
            <w:r>
              <w:rPr/>
              <w:t>​</w:t>
            </w:r>
          </w:p>
        </w:tc>
        <w:tc>
          <w:tcPr>
            <w:tcW w:w="109" w:type="dxa"/>
            <w:tcBorders>
              <w:bottom w:val="single" w:sz="12" w:space="0" w:color="1F2668"/>
            </w:tcBorders>
            <w:tcMar>
              <w:bottom w:w="28" w:type="dxa"/>
            </w:tcMar>
            <w:vAlign w:val="center"/>
          </w:tcPr>
          <w:p>
            <w:pPr>
              <w:pStyle w:val="TableContents"/>
              <w:bidi w:val="0"/>
              <w:spacing w:before="0" w:after="283"/>
              <w:jc w:val="left"/>
              <w:rPr/>
            </w:pPr>
            <w:r>
              <w:rPr/>
              <w:t>​</w:t>
            </w:r>
          </w:p>
        </w:tc>
        <w:tc>
          <w:tcPr>
            <w:tcW w:w="762" w:type="dxa"/>
            <w:tcBorders>
              <w:bottom w:val="single" w:sz="12" w:space="0" w:color="1F2668"/>
            </w:tcBorders>
            <w:tcMar>
              <w:bottom w:w="28" w:type="dxa"/>
            </w:tcMar>
            <w:vAlign w:val="center"/>
          </w:tcPr>
          <w:p>
            <w:pPr>
              <w:pStyle w:val="TableContents"/>
              <w:bidi w:val="0"/>
              <w:spacing w:before="0" w:after="0"/>
              <w:jc w:val="center"/>
              <w:rPr/>
            </w:pPr>
            <w:r>
              <w:rPr/>
              <w:drawing>
                <wp:inline distT="0" distB="0" distL="0" distR="0">
                  <wp:extent cx="180975" cy="123825"/>
                  <wp:effectExtent l="0" t="0" r="0" b="0"/>
                  <wp:docPr id="207"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124" descr=""/>
                          <pic:cNvPicPr>
                            <a:picLocks noChangeAspect="1" noChangeArrowheads="1"/>
                          </pic:cNvPicPr>
                        </pic:nvPicPr>
                        <pic:blipFill>
                          <a:blip r:embed="rId142"/>
                          <a:stretch>
                            <a:fillRect/>
                          </a:stretch>
                        </pic:blipFill>
                        <pic:spPr bwMode="auto">
                          <a:xfrm>
                            <a:off x="0" y="0"/>
                            <a:ext cx="180975" cy="123825"/>
                          </a:xfrm>
                          <a:prstGeom prst="rect">
                            <a:avLst/>
                          </a:prstGeom>
                        </pic:spPr>
                      </pic:pic>
                    </a:graphicData>
                  </a:graphic>
                </wp:inline>
              </w:drawing>
            </w:r>
            <w:r>
              <w:rPr/>
              <w:t xml:space="preserve"> </w:t>
            </w:r>
          </w:p>
        </w:tc>
        <w:tc>
          <w:tcPr>
            <w:tcW w:w="109" w:type="dxa"/>
            <w:tcBorders>
              <w:bottom w:val="single" w:sz="12" w:space="0" w:color="1F2668"/>
            </w:tcBorders>
            <w:tcMar>
              <w:bottom w:w="28" w:type="dxa"/>
            </w:tcMar>
            <w:vAlign w:val="center"/>
          </w:tcPr>
          <w:p>
            <w:pPr>
              <w:pStyle w:val="TableContents"/>
              <w:bidi w:val="0"/>
              <w:spacing w:before="0" w:after="283"/>
              <w:jc w:val="left"/>
              <w:rPr/>
            </w:pPr>
            <w:r>
              <w:rPr/>
              <w:t>​</w:t>
            </w:r>
          </w:p>
        </w:tc>
        <w:tc>
          <w:tcPr>
            <w:tcW w:w="109" w:type="dxa"/>
            <w:tcBorders/>
            <w:shd w:fill="4B5088" w:val="clear"/>
            <w:tcMar>
              <w:bottom w:w="0" w:type="dxa"/>
            </w:tcMar>
            <w:vAlign w:val="center"/>
          </w:tcPr>
          <w:p>
            <w:pPr>
              <w:pStyle w:val="TableContents"/>
              <w:bidi w:val="0"/>
              <w:spacing w:before="0" w:after="283"/>
              <w:jc w:val="left"/>
              <w:rPr/>
            </w:pPr>
            <w:r>
              <w:rPr/>
              <w:t>​</w:t>
            </w:r>
          </w:p>
        </w:tc>
        <w:tc>
          <w:tcPr>
            <w:tcW w:w="109" w:type="dxa"/>
            <w:tcBorders>
              <w:bottom w:val="single" w:sz="12" w:space="0" w:color="1F2668"/>
            </w:tcBorders>
            <w:tcMar>
              <w:bottom w:w="28" w:type="dxa"/>
            </w:tcMar>
            <w:vAlign w:val="center"/>
          </w:tcPr>
          <w:p>
            <w:pPr>
              <w:pStyle w:val="TableContents"/>
              <w:bidi w:val="0"/>
              <w:spacing w:before="0" w:after="283"/>
              <w:jc w:val="left"/>
              <w:rPr/>
            </w:pPr>
            <w:r>
              <w:rPr/>
              <w:t>​</w:t>
            </w:r>
          </w:p>
        </w:tc>
        <w:tc>
          <w:tcPr>
            <w:tcW w:w="760" w:type="dxa"/>
            <w:tcBorders>
              <w:bottom w:val="single" w:sz="12" w:space="0" w:color="1F2668"/>
            </w:tcBorders>
            <w:tcMar>
              <w:bottom w:w="28" w:type="dxa"/>
            </w:tcMar>
            <w:vAlign w:val="center"/>
          </w:tcPr>
          <w:p>
            <w:pPr>
              <w:pStyle w:val="TableContents"/>
              <w:bidi w:val="0"/>
              <w:spacing w:before="0" w:after="0"/>
              <w:jc w:val="center"/>
              <w:rPr/>
            </w:pPr>
            <w:r>
              <w:rPr/>
              <w:drawing>
                <wp:inline distT="0" distB="0" distL="0" distR="0">
                  <wp:extent cx="180975" cy="123825"/>
                  <wp:effectExtent l="0" t="0" r="0" b="0"/>
                  <wp:docPr id="208"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125" descr=""/>
                          <pic:cNvPicPr>
                            <a:picLocks noChangeAspect="1" noChangeArrowheads="1"/>
                          </pic:cNvPicPr>
                        </pic:nvPicPr>
                        <pic:blipFill>
                          <a:blip r:embed="rId143"/>
                          <a:stretch>
                            <a:fillRect/>
                          </a:stretch>
                        </pic:blipFill>
                        <pic:spPr bwMode="auto">
                          <a:xfrm>
                            <a:off x="0" y="0"/>
                            <a:ext cx="180975" cy="123825"/>
                          </a:xfrm>
                          <a:prstGeom prst="rect">
                            <a:avLst/>
                          </a:prstGeom>
                        </pic:spPr>
                      </pic:pic>
                    </a:graphicData>
                  </a:graphic>
                </wp:inline>
              </w:drawing>
            </w:r>
            <w:r>
              <w:rPr/>
              <w:t xml:space="preserve"> </w:t>
            </w:r>
          </w:p>
        </w:tc>
        <w:tc>
          <w:tcPr>
            <w:tcW w:w="109" w:type="dxa"/>
            <w:tcBorders>
              <w:bottom w:val="single" w:sz="12" w:space="0" w:color="1F2668"/>
            </w:tcBorders>
            <w:tcMar>
              <w:bottom w:w="28" w:type="dxa"/>
            </w:tcMar>
            <w:vAlign w:val="center"/>
          </w:tcPr>
          <w:p>
            <w:pPr>
              <w:pStyle w:val="TableContents"/>
              <w:bidi w:val="0"/>
              <w:spacing w:before="0" w:after="283"/>
              <w:jc w:val="left"/>
              <w:rPr/>
            </w:pPr>
            <w:r>
              <w:rPr/>
              <w:t>​</w:t>
            </w:r>
          </w:p>
        </w:tc>
        <w:tc>
          <w:tcPr>
            <w:tcW w:w="109" w:type="dxa"/>
            <w:tcBorders/>
            <w:shd w:fill="4B5088" w:val="clear"/>
            <w:tcMar>
              <w:bottom w:w="0" w:type="dxa"/>
            </w:tcMar>
            <w:vAlign w:val="center"/>
          </w:tcPr>
          <w:p>
            <w:pPr>
              <w:pStyle w:val="TableContents"/>
              <w:bidi w:val="0"/>
              <w:spacing w:before="0" w:after="283"/>
              <w:jc w:val="left"/>
              <w:rPr/>
            </w:pPr>
            <w:r>
              <w:rPr/>
              <w:t>​</w:t>
            </w:r>
          </w:p>
        </w:tc>
        <w:tc>
          <w:tcPr>
            <w:tcW w:w="109" w:type="dxa"/>
            <w:tcBorders>
              <w:bottom w:val="single" w:sz="12" w:space="0" w:color="1F2668"/>
            </w:tcBorders>
            <w:tcMar>
              <w:bottom w:w="28" w:type="dxa"/>
            </w:tcMar>
            <w:vAlign w:val="center"/>
          </w:tcPr>
          <w:p>
            <w:pPr>
              <w:pStyle w:val="TableContents"/>
              <w:bidi w:val="0"/>
              <w:spacing w:before="0" w:after="283"/>
              <w:jc w:val="left"/>
              <w:rPr/>
            </w:pPr>
            <w:r>
              <w:rPr/>
              <w:t>​</w:t>
            </w:r>
          </w:p>
        </w:tc>
        <w:tc>
          <w:tcPr>
            <w:tcW w:w="687" w:type="dxa"/>
            <w:tcBorders>
              <w:bottom w:val="single" w:sz="12" w:space="0" w:color="1F2668"/>
            </w:tcBorders>
            <w:tcMar>
              <w:bottom w:w="28" w:type="dxa"/>
            </w:tcMar>
            <w:vAlign w:val="center"/>
          </w:tcPr>
          <w:p>
            <w:pPr>
              <w:pStyle w:val="TableContents"/>
              <w:bidi w:val="0"/>
              <w:spacing w:before="0" w:after="283"/>
              <w:jc w:val="left"/>
              <w:rPr/>
            </w:pPr>
            <w:r>
              <w:rPr/>
              <w:t>​</w:t>
            </w:r>
          </w:p>
        </w:tc>
        <w:tc>
          <w:tcPr>
            <w:tcW w:w="109" w:type="dxa"/>
            <w:tcBorders>
              <w:bottom w:val="single" w:sz="12" w:space="0" w:color="1F2668"/>
            </w:tcBorders>
            <w:tcMar>
              <w:bottom w:w="28" w:type="dxa"/>
            </w:tcMar>
            <w:vAlign w:val="center"/>
          </w:tcPr>
          <w:p>
            <w:pPr>
              <w:pStyle w:val="TableContents"/>
              <w:bidi w:val="0"/>
              <w:spacing w:before="0" w:after="283"/>
              <w:jc w:val="left"/>
              <w:rPr/>
            </w:pPr>
            <w:r>
              <w:rPr/>
              <w:t>​</w:t>
            </w:r>
          </w:p>
        </w:tc>
        <w:tc>
          <w:tcPr>
            <w:tcW w:w="109" w:type="dxa"/>
            <w:tcBorders/>
            <w:shd w:fill="4B5088" w:val="clear"/>
            <w:tcMar>
              <w:bottom w:w="0" w:type="dxa"/>
            </w:tcMar>
            <w:vAlign w:val="center"/>
          </w:tcPr>
          <w:p>
            <w:pPr>
              <w:pStyle w:val="TableContents"/>
              <w:bidi w:val="0"/>
              <w:spacing w:before="0" w:after="283"/>
              <w:jc w:val="left"/>
              <w:rPr/>
            </w:pPr>
            <w:r>
              <w:rPr/>
              <w:t>​</w:t>
            </w:r>
          </w:p>
        </w:tc>
        <w:tc>
          <w:tcPr>
            <w:tcW w:w="109" w:type="dxa"/>
            <w:tcBorders>
              <w:bottom w:val="single" w:sz="12" w:space="0" w:color="1F2668"/>
            </w:tcBorders>
            <w:tcMar>
              <w:bottom w:w="28" w:type="dxa"/>
            </w:tcMar>
            <w:vAlign w:val="center"/>
          </w:tcPr>
          <w:p>
            <w:pPr>
              <w:pStyle w:val="TableContents"/>
              <w:bidi w:val="0"/>
              <w:spacing w:before="0" w:after="283"/>
              <w:jc w:val="left"/>
              <w:rPr/>
            </w:pPr>
            <w:r>
              <w:rPr/>
              <w:t>​</w:t>
            </w:r>
          </w:p>
        </w:tc>
        <w:tc>
          <w:tcPr>
            <w:tcW w:w="835" w:type="dxa"/>
            <w:tcBorders>
              <w:bottom w:val="single" w:sz="12" w:space="0" w:color="1F2668"/>
            </w:tcBorders>
            <w:tcMar>
              <w:bottom w:w="28" w:type="dxa"/>
            </w:tcMar>
            <w:vAlign w:val="center"/>
          </w:tcPr>
          <w:p>
            <w:pPr>
              <w:pStyle w:val="TableContents"/>
              <w:bidi w:val="0"/>
              <w:spacing w:before="0" w:after="0"/>
              <w:jc w:val="center"/>
              <w:rPr/>
            </w:pPr>
            <w:r>
              <w:rPr/>
              <w:drawing>
                <wp:inline distT="0" distB="0" distL="0" distR="0">
                  <wp:extent cx="180975" cy="123825"/>
                  <wp:effectExtent l="0" t="0" r="0" b="0"/>
                  <wp:docPr id="209"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126" descr=""/>
                          <pic:cNvPicPr>
                            <a:picLocks noChangeAspect="1" noChangeArrowheads="1"/>
                          </pic:cNvPicPr>
                        </pic:nvPicPr>
                        <pic:blipFill>
                          <a:blip r:embed="rId144"/>
                          <a:stretch>
                            <a:fillRect/>
                          </a:stretch>
                        </pic:blipFill>
                        <pic:spPr bwMode="auto">
                          <a:xfrm>
                            <a:off x="0" y="0"/>
                            <a:ext cx="180975" cy="123825"/>
                          </a:xfrm>
                          <a:prstGeom prst="rect">
                            <a:avLst/>
                          </a:prstGeom>
                        </pic:spPr>
                      </pic:pic>
                    </a:graphicData>
                  </a:graphic>
                </wp:inline>
              </w:drawing>
            </w:r>
            <w:r>
              <w:rPr/>
              <w:t xml:space="preserve"> </w:t>
            </w:r>
          </w:p>
        </w:tc>
        <w:tc>
          <w:tcPr>
            <w:tcW w:w="109" w:type="dxa"/>
            <w:tcBorders>
              <w:bottom w:val="single" w:sz="12" w:space="0" w:color="1F2668"/>
            </w:tcBorders>
            <w:tcMar>
              <w:bottom w:w="28" w:type="dxa"/>
            </w:tcMar>
            <w:vAlign w:val="center"/>
          </w:tcPr>
          <w:p>
            <w:pPr>
              <w:pStyle w:val="TableContents"/>
              <w:bidi w:val="0"/>
              <w:spacing w:before="0" w:after="283"/>
              <w:jc w:val="left"/>
              <w:rPr/>
            </w:pPr>
            <w:r>
              <w:rPr/>
              <w:t>​</w:t>
            </w:r>
          </w:p>
        </w:tc>
        <w:tc>
          <w:tcPr>
            <w:tcW w:w="109" w:type="dxa"/>
            <w:tcBorders/>
            <w:shd w:fill="4B5088" w:val="clear"/>
            <w:tcMar>
              <w:bottom w:w="0" w:type="dxa"/>
            </w:tcMar>
            <w:vAlign w:val="center"/>
          </w:tcPr>
          <w:p>
            <w:pPr>
              <w:pStyle w:val="TableContents"/>
              <w:bidi w:val="0"/>
              <w:spacing w:before="0" w:after="283"/>
              <w:jc w:val="left"/>
              <w:rPr/>
            </w:pPr>
            <w:r>
              <w:rPr/>
              <w:t>​</w:t>
            </w:r>
          </w:p>
        </w:tc>
        <w:tc>
          <w:tcPr>
            <w:tcW w:w="109" w:type="dxa"/>
            <w:tcBorders>
              <w:bottom w:val="single" w:sz="12" w:space="0" w:color="1F2668"/>
            </w:tcBorders>
            <w:tcMar>
              <w:bottom w:w="28" w:type="dxa"/>
            </w:tcMar>
            <w:vAlign w:val="center"/>
          </w:tcPr>
          <w:p>
            <w:pPr>
              <w:pStyle w:val="TableContents"/>
              <w:bidi w:val="0"/>
              <w:spacing w:before="0" w:after="283"/>
              <w:jc w:val="left"/>
              <w:rPr/>
            </w:pPr>
            <w:r>
              <w:rPr/>
              <w:t>​</w:t>
            </w:r>
          </w:p>
        </w:tc>
        <w:tc>
          <w:tcPr>
            <w:tcW w:w="924" w:type="dxa"/>
            <w:tcBorders>
              <w:bottom w:val="single" w:sz="12" w:space="0" w:color="1F2668"/>
            </w:tcBorders>
            <w:tcMar>
              <w:bottom w:w="28" w:type="dxa"/>
            </w:tcMar>
            <w:vAlign w:val="center"/>
          </w:tcPr>
          <w:p>
            <w:pPr>
              <w:pStyle w:val="TableContents"/>
              <w:bidi w:val="0"/>
              <w:spacing w:before="0" w:after="283"/>
              <w:jc w:val="left"/>
              <w:rPr/>
            </w:pPr>
            <w:r>
              <w:rPr/>
              <w:t>​</w:t>
            </w:r>
          </w:p>
        </w:tc>
        <w:tc>
          <w:tcPr>
            <w:tcW w:w="109" w:type="dxa"/>
            <w:tcBorders>
              <w:bottom w:val="single" w:sz="12" w:space="0" w:color="1F2668"/>
            </w:tcBorders>
            <w:tcMar>
              <w:bottom w:w="28" w:type="dxa"/>
            </w:tcMar>
            <w:vAlign w:val="center"/>
          </w:tcPr>
          <w:p>
            <w:pPr>
              <w:pStyle w:val="TableContents"/>
              <w:bidi w:val="0"/>
              <w:spacing w:before="0" w:after="283"/>
              <w:jc w:val="left"/>
              <w:rPr/>
            </w:pPr>
            <w:r>
              <w:rPr/>
              <w:t>​</w:t>
            </w:r>
          </w:p>
        </w:tc>
        <w:tc>
          <w:tcPr>
            <w:tcW w:w="109" w:type="dxa"/>
            <w:tcBorders/>
            <w:shd w:fill="4B5088" w:val="clear"/>
            <w:tcMar>
              <w:bottom w:w="0" w:type="dxa"/>
            </w:tcMar>
            <w:vAlign w:val="center"/>
          </w:tcPr>
          <w:p>
            <w:pPr>
              <w:pStyle w:val="TableContents"/>
              <w:bidi w:val="0"/>
              <w:spacing w:before="0" w:after="283"/>
              <w:jc w:val="left"/>
              <w:rPr/>
            </w:pPr>
            <w:r>
              <w:rPr/>
              <w:t>​</w:t>
            </w:r>
          </w:p>
        </w:tc>
        <w:tc>
          <w:tcPr>
            <w:tcW w:w="109" w:type="dxa"/>
            <w:tcBorders>
              <w:bottom w:val="single" w:sz="12" w:space="0" w:color="1F2668"/>
            </w:tcBorders>
            <w:tcMar>
              <w:bottom w:w="28" w:type="dxa"/>
            </w:tcMar>
            <w:vAlign w:val="center"/>
          </w:tcPr>
          <w:p>
            <w:pPr>
              <w:pStyle w:val="TableContents"/>
              <w:bidi w:val="0"/>
              <w:spacing w:before="0" w:after="283"/>
              <w:jc w:val="left"/>
              <w:rPr/>
            </w:pPr>
            <w:r>
              <w:rPr/>
              <w:t>​</w:t>
            </w:r>
          </w:p>
        </w:tc>
        <w:tc>
          <w:tcPr>
            <w:tcW w:w="658" w:type="dxa"/>
            <w:tcBorders>
              <w:bottom w:val="single" w:sz="12" w:space="0" w:color="1F2668"/>
            </w:tcBorders>
            <w:tcMar>
              <w:bottom w:w="28" w:type="dxa"/>
            </w:tcMar>
            <w:vAlign w:val="center"/>
          </w:tcPr>
          <w:p>
            <w:pPr>
              <w:pStyle w:val="TableContents"/>
              <w:bidi w:val="0"/>
              <w:spacing w:before="0" w:after="283"/>
              <w:jc w:val="left"/>
              <w:rPr/>
            </w:pPr>
            <w:r>
              <w:rPr/>
              <w:t>​</w:t>
            </w:r>
          </w:p>
        </w:tc>
        <w:tc>
          <w:tcPr>
            <w:tcW w:w="109" w:type="dxa"/>
            <w:tcBorders>
              <w:bottom w:val="single" w:sz="12" w:space="0" w:color="1F2668"/>
            </w:tcBorders>
            <w:tcMar>
              <w:bottom w:w="28" w:type="dxa"/>
            </w:tcMar>
            <w:vAlign w:val="center"/>
          </w:tcPr>
          <w:p>
            <w:pPr>
              <w:pStyle w:val="TableContents"/>
              <w:bidi w:val="0"/>
              <w:spacing w:before="0" w:after="283"/>
              <w:jc w:val="left"/>
              <w:rPr/>
            </w:pPr>
            <w:r>
              <w:rPr/>
              <w:t>​</w:t>
            </w:r>
          </w:p>
        </w:tc>
        <w:tc>
          <w:tcPr>
            <w:tcW w:w="109" w:type="dxa"/>
            <w:tcBorders/>
            <w:shd w:fill="4B5088" w:val="clear"/>
            <w:tcMar>
              <w:bottom w:w="0" w:type="dxa"/>
            </w:tcMar>
            <w:vAlign w:val="center"/>
          </w:tcPr>
          <w:p>
            <w:pPr>
              <w:pStyle w:val="TableContents"/>
              <w:bidi w:val="0"/>
              <w:spacing w:before="0" w:after="283"/>
              <w:jc w:val="left"/>
              <w:rPr/>
            </w:pPr>
            <w:r>
              <w:rPr/>
              <w:t>​</w:t>
            </w:r>
          </w:p>
        </w:tc>
        <w:tc>
          <w:tcPr>
            <w:tcW w:w="109" w:type="dxa"/>
            <w:tcBorders>
              <w:bottom w:val="single" w:sz="12" w:space="0" w:color="1F2668"/>
            </w:tcBorders>
            <w:tcMar>
              <w:bottom w:w="28" w:type="dxa"/>
            </w:tcMar>
            <w:vAlign w:val="center"/>
          </w:tcPr>
          <w:p>
            <w:pPr>
              <w:pStyle w:val="TableContents"/>
              <w:bidi w:val="0"/>
              <w:spacing w:before="0" w:after="283"/>
              <w:jc w:val="left"/>
              <w:rPr/>
            </w:pPr>
            <w:r>
              <w:rPr/>
              <w:t>​</w:t>
            </w:r>
          </w:p>
        </w:tc>
        <w:tc>
          <w:tcPr>
            <w:tcW w:w="850" w:type="dxa"/>
            <w:tcBorders>
              <w:bottom w:val="single" w:sz="12" w:space="0" w:color="1F2668"/>
            </w:tcBorders>
            <w:tcMar>
              <w:bottom w:w="28" w:type="dxa"/>
            </w:tcMar>
            <w:vAlign w:val="center"/>
          </w:tcPr>
          <w:p>
            <w:pPr>
              <w:pStyle w:val="TableContents"/>
              <w:bidi w:val="0"/>
              <w:spacing w:before="0" w:after="283"/>
              <w:jc w:val="left"/>
              <w:rPr/>
            </w:pPr>
            <w:r>
              <w:rPr/>
              <w:t>​</w:t>
            </w:r>
          </w:p>
        </w:tc>
        <w:tc>
          <w:tcPr>
            <w:tcW w:w="154" w:type="dxa"/>
            <w:tcBorders>
              <w:bottom w:val="single" w:sz="12" w:space="0" w:color="1F2668"/>
            </w:tcBorders>
            <w:tcMar>
              <w:bottom w:w="28" w:type="dxa"/>
            </w:tcMar>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8095" w:type="dxa"/>
        <w:jc w:val="left"/>
        <w:tblInd w:w="900" w:type="dxa"/>
        <w:tblLayout w:type="fixed"/>
        <w:tblCellMar>
          <w:top w:w="0" w:type="dxa"/>
          <w:left w:w="0" w:type="dxa"/>
          <w:bottom w:w="0" w:type="dxa"/>
          <w:right w:w="0" w:type="dxa"/>
        </w:tblCellMar>
      </w:tblPr>
      <w:tblGrid>
        <w:gridCol w:w="124"/>
        <w:gridCol w:w="7253"/>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7253" w:type="dxa"/>
            <w:tcBorders/>
            <w:vAlign w:val="center"/>
          </w:tcPr>
          <w:p>
            <w:pPr>
              <w:pStyle w:val="TableContents"/>
              <w:bidi w:val="0"/>
              <w:spacing w:lineRule="atLeast" w:line="200" w:before="0" w:after="0"/>
              <w:jc w:val="left"/>
              <w:rPr/>
            </w:pPr>
            <w:r>
              <w:rPr>
                <w:spacing w:val="-2"/>
              </w:rPr>
              <w:t>OUR BOARD OF DIRECTORS AND CORPORATE GOVERNANCE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color w:val="1F2668"/>
                <w:sz w:val="24"/>
              </w:rPr>
            </w:pPr>
            <w:r>
              <w:rPr>
                <w:color w:val="1F2668"/>
                <w:sz w:val="24"/>
              </w:rPr>
              <w:t>13</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300" w:before="560" w:after="283"/>
        <w:ind w:left="900" w:right="0" w:hanging="0"/>
        <w:jc w:val="left"/>
        <w:rPr>
          <w:rFonts w:ascii="Arial;Helvetica;sans-serif" w:hAnsi="Arial;Helvetica;sans-serif"/>
          <w:b/>
          <w:i w:val="false"/>
          <w:caps w:val="false"/>
          <w:smallCaps w:val="false"/>
          <w:color w:val="1F2668"/>
          <w:sz w:val="26"/>
        </w:rPr>
      </w:pPr>
      <w:r>
        <w:rPr>
          <w:rFonts w:ascii="Arial;Helvetica;sans-serif" w:hAnsi="Arial;Helvetica;sans-serif"/>
          <w:b/>
          <w:i w:val="false"/>
          <w:caps w:val="false"/>
          <w:smallCaps w:val="false"/>
          <w:color w:val="1F2668"/>
          <w:spacing w:val="-3"/>
          <w:sz w:val="26"/>
        </w:rPr>
        <w:t>Director Nominees</w:t>
      </w:r>
      <w:r>
        <w:rPr>
          <w:rFonts w:ascii="Arial;Helvetica;sans-serif" w:hAnsi="Arial;Helvetica;sans-serif"/>
          <w:b/>
          <w:i w:val="false"/>
          <w:caps w:val="false"/>
          <w:smallCaps w:val="false"/>
          <w:color w:val="000000"/>
          <w:spacing w:val="5"/>
          <w:sz w:val="26"/>
        </w:rPr>
        <w:t xml:space="preserve"> </w:t>
      </w:r>
    </w:p>
    <w:p>
      <w:pPr>
        <w:pStyle w:val="TextBody"/>
        <w:bidi w:val="0"/>
        <w:spacing w:before="0" w:after="3482"/>
        <w:jc w:val="left"/>
        <w:rPr>
          <w:caps w:val="false"/>
          <w:smallCaps w:val="false"/>
          <w:color w:val="000000"/>
        </w:rPr>
      </w:pPr>
      <w:r>
        <w:rPr>
          <w:caps w:val="false"/>
          <w:smallCaps w:val="false"/>
          <w:color w:val="000000"/>
        </w:rPr>
        <w:t>​</w:t>
      </w:r>
      <w:r>
        <mc:AlternateContent>
          <mc:Choice Requires="wps">
            <w:drawing>
              <wp:anchor behindDoc="0" distT="0" distB="0" distL="254000" distR="0" simplePos="0" locked="0" layoutInCell="1" allowOverlap="1" relativeHeight="111">
                <wp:simplePos x="0" y="0"/>
                <wp:positionH relativeFrom="column">
                  <wp:align>left</wp:align>
                </wp:positionH>
                <wp:positionV relativeFrom="line">
                  <wp:posOffset>635</wp:posOffset>
                </wp:positionV>
                <wp:extent cx="4584700" cy="8956040"/>
                <wp:effectExtent l="0" t="0" r="0" b="0"/>
                <wp:wrapSquare wrapText="right"/>
                <wp:docPr id="210" name="Frame77"/>
                <a:graphic xmlns:a="http://schemas.openxmlformats.org/drawingml/2006/main">
                  <a:graphicData uri="http://schemas.microsoft.com/office/word/2010/wordprocessingShape">
                    <wps:wsp>
                      <wps:cNvSpPr txBox="1"/>
                      <wps:spPr>
                        <a:xfrm>
                          <a:off x="0" y="0"/>
                          <a:ext cx="4584700" cy="8956040"/>
                        </a:xfrm>
                        <a:prstGeom prst="rect"/>
                        <a:solidFill>
                          <a:srgbClr val="FFFFFF"/>
                        </a:solidFill>
                      </wps:spPr>
                      <wps:txbx>
                        <w:txbxContent>
                          <w:p>
                            <w:pPr>
                              <w:pStyle w:val="TextBody"/>
                              <w:bidi w:val="0"/>
                              <w:spacing w:lineRule="atLeast" w:line="230" w:before="500" w:after="283"/>
                              <w:jc w:val="left"/>
                              <w:rPr/>
                            </w:pPr>
                            <w:r>
                              <w:rPr>
                                <w:spacing w:val="-2"/>
                              </w:rPr>
                              <w:t>Mr. Alschuler’s achievements in academia and business, as well as his extensive knowledge of commercial real estate, New York City’s economy, commercial and other markets in New York City and national and international markets for real estate, and his expertise in inter-governmental relations, provide the Board with the ability to assess the real estate market and the Company’s business from a knowledgeable and informed perspective, from which he provides valuable insights into the Company’s business.</w:t>
                            </w:r>
                            <w:r>
                              <w:rPr>
                                <w:spacing w:val="4"/>
                              </w:rPr>
                              <w:t xml:space="preserve"> </w:t>
                            </w:r>
                          </w:p>
                          <w:p>
                            <w:pPr>
                              <w:pStyle w:val="TextBody"/>
                              <w:bidi w:val="0"/>
                              <w:spacing w:before="0" w:after="283"/>
                              <w:ind w:left="0" w:right="0" w:hanging="0"/>
                              <w:jc w:val="left"/>
                              <w:rPr>
                                <w:bdr w:val="single" w:sz="8" w:space="1" w:color="83AD40"/>
                              </w:rPr>
                            </w:pPr>
                            <w:r>
                              <w:rPr>
                                <w:bdr w:val="single" w:sz="8" w:space="1" w:color="83AD40"/>
                              </w:rPr>
                              <w:t>​</w:t>
                            </w:r>
                          </w:p>
                          <w:p>
                            <w:pPr>
                              <w:pStyle w:val="TextBody"/>
                              <w:bidi w:val="0"/>
                              <w:spacing w:lineRule="atLeast" w:line="260" w:before="375" w:after="283"/>
                              <w:jc w:val="left"/>
                              <w:rPr>
                                <w:b/>
                                <w:color w:val="1F2668"/>
                                <w:sz w:val="22"/>
                              </w:rPr>
                            </w:pPr>
                            <w:r>
                              <w:rPr>
                                <w:b/>
                                <w:color w:val="1F2668"/>
                                <w:spacing w:val="-2"/>
                                <w:sz w:val="22"/>
                              </w:rPr>
                              <w:t>Professional Experience</w:t>
                            </w:r>
                            <w:r>
                              <w:rPr>
                                <w:b/>
                                <w:color w:val="000000"/>
                                <w:spacing w:val="4"/>
                                <w:sz w:val="22"/>
                              </w:rPr>
                              <w:t xml:space="preserve"> </w:t>
                            </w:r>
                          </w:p>
                          <w:p>
                            <w:pPr>
                              <w:pStyle w:val="TextBody"/>
                              <w:bidi w:val="0"/>
                              <w:spacing w:lineRule="atLeast" w:line="220" w:before="102" w:after="0"/>
                              <w:ind w:left="200" w:right="0" w:hanging="0"/>
                              <w:jc w:val="left"/>
                              <w:rPr/>
                            </w:pPr>
                            <w:r>
                              <w:rPr>
                                <w:spacing w:val="-2"/>
                              </w:rPr>
                              <w:t>Executive Chairman and director of Therme Group US, a privately-held company which designs, builds and operates large scale well-being facilities, since 2022</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Adjunct Associate Professor, Graduate School of Architecture, Planning &amp; Preservation at Columbia University, teaching real estate development</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Board of Directors of Friends of the High Line Inc. and the Sag Harbor Cinema Arts Center, each a 501(c)(3) tax-exempt organization</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B.A. degree from Wesleyan University and Ed.D. degree from the University of Massachusetts at Amherst</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Former board member of HR&amp;A Advisors Inc. from 2008 to 2021, Center for an Urban Future from 2014 to 2019, The Macerich Company from 2015 to 2023 and Xenia Hotels and Resorts, Inc. from 2015 to 2023</w:t>
                            </w:r>
                            <w:r>
                              <w:rPr>
                                <w:spacing w:val="4"/>
                              </w:rPr>
                              <w:t xml:space="preserve"> </w:t>
                            </w:r>
                          </w:p>
                          <w:p>
                            <w:pPr>
                              <w:pStyle w:val="TextBody"/>
                              <w:bidi w:val="0"/>
                              <w:spacing w:before="0" w:after="0"/>
                              <w:ind w:left="0" w:right="0" w:hanging="0"/>
                              <w:jc w:val="left"/>
                              <w:rPr/>
                            </w:pPr>
                            <w:r>
                              <w:rPr/>
                              <w:t>​</w:t>
                            </w:r>
                          </w:p>
                          <w:p>
                            <w:pPr>
                              <w:pStyle w:val="TextBody"/>
                              <w:bidi w:val="0"/>
                              <w:spacing w:before="0" w:after="283"/>
                              <w:ind w:left="0" w:right="0" w:hanging="0"/>
                              <w:jc w:val="left"/>
                              <w:rPr>
                                <w:bdr w:val="single" w:sz="8" w:space="1" w:color="83AD40"/>
                              </w:rPr>
                            </w:pPr>
                            <w:r>
                              <w:rPr>
                                <w:bdr w:val="single" w:sz="8" w:space="1" w:color="83AD40"/>
                              </w:rPr>
                              <w:t>​</w:t>
                            </w:r>
                          </w:p>
                          <w:p>
                            <w:pPr>
                              <w:pStyle w:val="TextBody"/>
                              <w:bidi w:val="0"/>
                              <w:spacing w:lineRule="atLeast" w:line="260" w:before="375" w:after="283"/>
                              <w:jc w:val="left"/>
                              <w:rPr>
                                <w:b/>
                                <w:color w:val="1F2668"/>
                                <w:sz w:val="22"/>
                              </w:rPr>
                            </w:pPr>
                            <w:r>
                              <w:rPr>
                                <w:b/>
                                <w:color w:val="1F2668"/>
                                <w:spacing w:val="-2"/>
                                <w:sz w:val="22"/>
                              </w:rPr>
                              <w:t>Skills, Experiences and Attributes</w:t>
                            </w:r>
                            <w:r>
                              <w:rPr>
                                <w:b/>
                                <w:color w:val="000000"/>
                                <w:spacing w:val="4"/>
                                <w:sz w:val="22"/>
                              </w:rPr>
                              <w:t xml:space="preserve"> </w:t>
                            </w:r>
                          </w:p>
                          <w:tbl>
                            <w:tblPr>
                              <w:tblW w:w="10205" w:type="dxa"/>
                              <w:jc w:val="left"/>
                              <w:tblInd w:w="0" w:type="dxa"/>
                              <w:tblLayout w:type="fixed"/>
                              <w:tblCellMar>
                                <w:top w:w="0" w:type="dxa"/>
                                <w:left w:w="0" w:type="dxa"/>
                                <w:bottom w:w="0" w:type="dxa"/>
                                <w:right w:w="0" w:type="dxa"/>
                              </w:tblCellMar>
                            </w:tblPr>
                            <w:tblGrid>
                              <w:gridCol w:w="124"/>
                              <w:gridCol w:w="720"/>
                              <w:gridCol w:w="109"/>
                              <w:gridCol w:w="109"/>
                              <w:gridCol w:w="3151"/>
                              <w:gridCol w:w="109"/>
                              <w:gridCol w:w="109"/>
                              <w:gridCol w:w="795"/>
                              <w:gridCol w:w="109"/>
                              <w:gridCol w:w="109"/>
                              <w:gridCol w:w="4605"/>
                              <w:gridCol w:w="156"/>
                            </w:tblGrid>
                            <w:tr>
                              <w:trPr/>
                              <w:tc>
                                <w:tcPr>
                                  <w:tcW w:w="124" w:type="dxa"/>
                                  <w:tcBorders/>
                                  <w:vAlign w:val="center"/>
                                </w:tcPr>
                                <w:p>
                                  <w:pPr>
                                    <w:pStyle w:val="TableContents"/>
                                    <w:bidi w:val="0"/>
                                    <w:spacing w:before="0" w:after="283"/>
                                    <w:jc w:val="left"/>
                                    <w:rPr/>
                                  </w:pPr>
                                  <w:r>
                                    <w:rPr/>
                                    <w:t>​</w:t>
                                  </w:r>
                                </w:p>
                              </w:tc>
                              <w:tc>
                                <w:tcPr>
                                  <w:tcW w:w="720" w:type="dxa"/>
                                  <w:tcBorders/>
                                  <w:vAlign w:val="center"/>
                                </w:tcPr>
                                <w:p>
                                  <w:pPr>
                                    <w:pStyle w:val="TableContents"/>
                                    <w:bidi w:val="0"/>
                                    <w:spacing w:before="0" w:after="0"/>
                                    <w:jc w:val="left"/>
                                    <w:rPr/>
                                  </w:pPr>
                                  <w:r>
                                    <w:rPr/>
                                    <w:drawing>
                                      <wp:inline distT="0" distB="0" distL="0" distR="0">
                                        <wp:extent cx="371475" cy="390525"/>
                                        <wp:effectExtent l="0" t="0" r="0" b="0"/>
                                        <wp:docPr id="211"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128" descr=""/>
                                                <pic:cNvPicPr>
                                                  <a:picLocks noChangeAspect="1" noChangeArrowheads="1"/>
                                                </pic:cNvPicPr>
                                              </pic:nvPicPr>
                                              <pic:blipFill>
                                                <a:blip r:embed="rId145"/>
                                                <a:stretch>
                                                  <a:fillRect/>
                                                </a:stretch>
                                              </pic:blipFill>
                                              <pic:spPr bwMode="auto">
                                                <a:xfrm>
                                                  <a:off x="0" y="0"/>
                                                  <a:ext cx="371475" cy="3905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151"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Executive Leadership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95"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71475" cy="371475"/>
                                        <wp:effectExtent l="0" t="0" r="0" b="0"/>
                                        <wp:docPr id="212"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129" descr=""/>
                                                <pic:cNvPicPr>
                                                  <a:picLocks noChangeAspect="1" noChangeArrowheads="1"/>
                                                </pic:cNvPicPr>
                                              </pic:nvPicPr>
                                              <pic:blipFill>
                                                <a:blip r:embed="rId146"/>
                                                <a:stretch>
                                                  <a:fillRect/>
                                                </a:stretch>
                                              </pic:blipFill>
                                              <pic:spPr bwMode="auto">
                                                <a:xfrm>
                                                  <a:off x="0" y="0"/>
                                                  <a:ext cx="371475" cy="3714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605"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Finance/Capital Markets </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20"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52425" cy="409575"/>
                                        <wp:effectExtent l="0" t="0" r="0" b="0"/>
                                        <wp:docPr id="213"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130" descr=""/>
                                                <pic:cNvPicPr>
                                                  <a:picLocks noChangeAspect="1" noChangeArrowheads="1"/>
                                                </pic:cNvPicPr>
                                              </pic:nvPicPr>
                                              <pic:blipFill>
                                                <a:blip r:embed="rId147"/>
                                                <a:stretch>
                                                  <a:fillRect/>
                                                </a:stretch>
                                              </pic:blipFill>
                                              <pic:spPr bwMode="auto">
                                                <a:xfrm>
                                                  <a:off x="0" y="0"/>
                                                  <a:ext cx="352425" cy="4095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151"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Risk Management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95"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419100" cy="419100"/>
                                        <wp:effectExtent l="0" t="0" r="0" b="0"/>
                                        <wp:docPr id="214"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131" descr=""/>
                                                <pic:cNvPicPr>
                                                  <a:picLocks noChangeAspect="1" noChangeArrowheads="1"/>
                                                </pic:cNvPicPr>
                                              </pic:nvPicPr>
                                              <pic:blipFill>
                                                <a:blip r:embed="rId148"/>
                                                <a:stretch>
                                                  <a:fillRect/>
                                                </a:stretch>
                                              </pic:blipFill>
                                              <pic:spPr bwMode="auto">
                                                <a:xfrm>
                                                  <a:off x="0" y="0"/>
                                                  <a:ext cx="419100" cy="4191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605" w:type="dxa"/>
                                  <w:tcBorders/>
                                  <w:tcMar>
                                    <w:top w:w="28" w:type="dxa"/>
                                    <w:left w:w="28" w:type="dxa"/>
                                    <w:bottom w:w="28" w:type="dxa"/>
                                    <w:right w:w="28" w:type="dxa"/>
                                  </w:tcMar>
                                  <w:vAlign w:val="center"/>
                                </w:tcPr>
                                <w:p>
                                  <w:pPr>
                                    <w:pStyle w:val="TableContents"/>
                                    <w:bidi w:val="0"/>
                                    <w:spacing w:lineRule="atLeast" w:line="220" w:before="0" w:after="0"/>
                                    <w:jc w:val="left"/>
                                    <w:rPr/>
                                  </w:pPr>
                                  <w:r>
                                    <w:rPr>
                                      <w:spacing w:val="-2"/>
                                    </w:rPr>
                                    <w:t>Public Company Board Service/</w:t>
                                  </w:r>
                                  <w:r>
                                    <w:rPr/>
                                    <w:t>​</w:t>
                                  </w:r>
                                  <w:r>
                                    <w:rPr>
                                      <w:spacing w:val="-2"/>
                                    </w:rPr>
                                    <w:t xml:space="preserve">Corporate Governance </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20"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33375" cy="304800"/>
                                        <wp:effectExtent l="0" t="0" r="0" b="0"/>
                                        <wp:docPr id="215"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132" descr=""/>
                                                <pic:cNvPicPr>
                                                  <a:picLocks noChangeAspect="1" noChangeArrowheads="1"/>
                                                </pic:cNvPicPr>
                                              </pic:nvPicPr>
                                              <pic:blipFill>
                                                <a:blip r:embed="rId149"/>
                                                <a:stretch>
                                                  <a:fillRect/>
                                                </a:stretch>
                                              </pic:blipFill>
                                              <pic:spPr bwMode="auto">
                                                <a:xfrm>
                                                  <a:off x="0" y="0"/>
                                                  <a:ext cx="333375" cy="3048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151"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REIT/Real Estate Industry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95"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52425" cy="371475"/>
                                        <wp:effectExtent l="0" t="0" r="0" b="0"/>
                                        <wp:docPr id="216"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133" descr=""/>
                                                <pic:cNvPicPr>
                                                  <a:picLocks noChangeAspect="1" noChangeArrowheads="1"/>
                                                </pic:cNvPicPr>
                                              </pic:nvPicPr>
                                              <pic:blipFill>
                                                <a:blip r:embed="rId150"/>
                                                <a:stretch>
                                                  <a:fillRect/>
                                                </a:stretch>
                                              </pic:blipFill>
                                              <pic:spPr bwMode="auto">
                                                <a:xfrm>
                                                  <a:off x="0" y="0"/>
                                                  <a:ext cx="352425" cy="3714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605"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Experience Over Several Business Cycles </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20"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52425" cy="352425"/>
                                        <wp:effectExtent l="0" t="0" r="0" b="0"/>
                                        <wp:docPr id="217"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134" descr=""/>
                                                <pic:cNvPicPr>
                                                  <a:picLocks noChangeAspect="1" noChangeArrowheads="1"/>
                                                </pic:cNvPicPr>
                                              </pic:nvPicPr>
                                              <pic:blipFill>
                                                <a:blip r:embed="rId151"/>
                                                <a:stretch>
                                                  <a:fillRect/>
                                                </a:stretch>
                                              </pic:blipFill>
                                              <pic:spPr bwMode="auto">
                                                <a:xfrm>
                                                  <a:off x="0" y="0"/>
                                                  <a:ext cx="352425" cy="3524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151"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Talent Management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95"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33375" cy="257175"/>
                                        <wp:effectExtent l="0" t="0" r="0" b="0"/>
                                        <wp:docPr id="218"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135" descr=""/>
                                                <pic:cNvPicPr>
                                                  <a:picLocks noChangeAspect="1" noChangeArrowheads="1"/>
                                                </pic:cNvPicPr>
                                              </pic:nvPicPr>
                                              <pic:blipFill>
                                                <a:blip r:embed="rId152"/>
                                                <a:stretch>
                                                  <a:fillRect/>
                                                </a:stretch>
                                              </pic:blipFill>
                                              <pic:spPr bwMode="auto">
                                                <a:xfrm>
                                                  <a:off x="0" y="0"/>
                                                  <a:ext cx="333375" cy="2571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605"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Academia </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20"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42900" cy="381000"/>
                                        <wp:effectExtent l="0" t="0" r="0" b="0"/>
                                        <wp:docPr id="219"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136" descr=""/>
                                                <pic:cNvPicPr>
                                                  <a:picLocks noChangeAspect="1" noChangeArrowheads="1"/>
                                                </pic:cNvPicPr>
                                              </pic:nvPicPr>
                                              <pic:blipFill>
                                                <a:blip r:embed="rId153"/>
                                                <a:stretch>
                                                  <a:fillRect/>
                                                </a:stretch>
                                              </pic:blipFill>
                                              <pic:spPr bwMode="auto">
                                                <a:xfrm>
                                                  <a:off x="0" y="0"/>
                                                  <a:ext cx="342900" cy="3810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151"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Government/Regulatory Experience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95"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605"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61pt;height:705.2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30" w:before="500" w:after="283"/>
                        <w:jc w:val="left"/>
                        <w:rPr/>
                      </w:pPr>
                      <w:r>
                        <w:rPr>
                          <w:spacing w:val="-2"/>
                        </w:rPr>
                        <w:t>Mr. Alschuler’s achievements in academia and business, as well as his extensive knowledge of commercial real estate, New York City’s economy, commercial and other markets in New York City and national and international markets for real estate, and his expertise in inter-governmental relations, provide the Board with the ability to assess the real estate market and the Company’s business from a knowledgeable and informed perspective, from which he provides valuable insights into the Company’s business.</w:t>
                      </w:r>
                      <w:r>
                        <w:rPr>
                          <w:spacing w:val="4"/>
                        </w:rPr>
                        <w:t xml:space="preserve"> </w:t>
                      </w:r>
                    </w:p>
                    <w:p>
                      <w:pPr>
                        <w:pStyle w:val="TextBody"/>
                        <w:bidi w:val="0"/>
                        <w:spacing w:before="0" w:after="283"/>
                        <w:ind w:left="0" w:right="0" w:hanging="0"/>
                        <w:jc w:val="left"/>
                        <w:rPr>
                          <w:bdr w:val="single" w:sz="8" w:space="1" w:color="83AD40"/>
                        </w:rPr>
                      </w:pPr>
                      <w:r>
                        <w:rPr>
                          <w:bdr w:val="single" w:sz="8" w:space="1" w:color="83AD40"/>
                        </w:rPr>
                        <w:t>​</w:t>
                      </w:r>
                    </w:p>
                    <w:p>
                      <w:pPr>
                        <w:pStyle w:val="TextBody"/>
                        <w:bidi w:val="0"/>
                        <w:spacing w:lineRule="atLeast" w:line="260" w:before="375" w:after="283"/>
                        <w:jc w:val="left"/>
                        <w:rPr>
                          <w:b/>
                          <w:color w:val="1F2668"/>
                          <w:sz w:val="22"/>
                        </w:rPr>
                      </w:pPr>
                      <w:r>
                        <w:rPr>
                          <w:b/>
                          <w:color w:val="1F2668"/>
                          <w:spacing w:val="-2"/>
                          <w:sz w:val="22"/>
                        </w:rPr>
                        <w:t>Professional Experience</w:t>
                      </w:r>
                      <w:r>
                        <w:rPr>
                          <w:b/>
                          <w:color w:val="000000"/>
                          <w:spacing w:val="4"/>
                          <w:sz w:val="22"/>
                        </w:rPr>
                        <w:t xml:space="preserve"> </w:t>
                      </w:r>
                    </w:p>
                    <w:p>
                      <w:pPr>
                        <w:pStyle w:val="TextBody"/>
                        <w:bidi w:val="0"/>
                        <w:spacing w:lineRule="atLeast" w:line="220" w:before="102" w:after="0"/>
                        <w:ind w:left="200" w:right="0" w:hanging="0"/>
                        <w:jc w:val="left"/>
                        <w:rPr/>
                      </w:pPr>
                      <w:r>
                        <w:rPr>
                          <w:spacing w:val="-2"/>
                        </w:rPr>
                        <w:t>Executive Chairman and director of Therme Group US, a privately-held company which designs, builds and operates large scale well-being facilities, since 2022</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Adjunct Associate Professor, Graduate School of Architecture, Planning &amp; Preservation at Columbia University, teaching real estate development</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Board of Directors of Friends of the High Line Inc. and the Sag Harbor Cinema Arts Center, each a 501(c)(3) tax-exempt organization</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B.A. degree from Wesleyan University and Ed.D. degree from the University of Massachusetts at Amherst</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Former board member of HR&amp;A Advisors Inc. from 2008 to 2021, Center for an Urban Future from 2014 to 2019, The Macerich Company from 2015 to 2023 and Xenia Hotels and Resorts, Inc. from 2015 to 2023</w:t>
                      </w:r>
                      <w:r>
                        <w:rPr>
                          <w:spacing w:val="4"/>
                        </w:rPr>
                        <w:t xml:space="preserve"> </w:t>
                      </w:r>
                    </w:p>
                    <w:p>
                      <w:pPr>
                        <w:pStyle w:val="TextBody"/>
                        <w:bidi w:val="0"/>
                        <w:spacing w:before="0" w:after="0"/>
                        <w:ind w:left="0" w:right="0" w:hanging="0"/>
                        <w:jc w:val="left"/>
                        <w:rPr/>
                      </w:pPr>
                      <w:r>
                        <w:rPr/>
                        <w:t>​</w:t>
                      </w:r>
                    </w:p>
                    <w:p>
                      <w:pPr>
                        <w:pStyle w:val="TextBody"/>
                        <w:bidi w:val="0"/>
                        <w:spacing w:before="0" w:after="283"/>
                        <w:ind w:left="0" w:right="0" w:hanging="0"/>
                        <w:jc w:val="left"/>
                        <w:rPr>
                          <w:bdr w:val="single" w:sz="8" w:space="1" w:color="83AD40"/>
                        </w:rPr>
                      </w:pPr>
                      <w:r>
                        <w:rPr>
                          <w:bdr w:val="single" w:sz="8" w:space="1" w:color="83AD40"/>
                        </w:rPr>
                        <w:t>​</w:t>
                      </w:r>
                    </w:p>
                    <w:p>
                      <w:pPr>
                        <w:pStyle w:val="TextBody"/>
                        <w:bidi w:val="0"/>
                        <w:spacing w:lineRule="atLeast" w:line="260" w:before="375" w:after="283"/>
                        <w:jc w:val="left"/>
                        <w:rPr>
                          <w:b/>
                          <w:color w:val="1F2668"/>
                          <w:sz w:val="22"/>
                        </w:rPr>
                      </w:pPr>
                      <w:r>
                        <w:rPr>
                          <w:b/>
                          <w:color w:val="1F2668"/>
                          <w:spacing w:val="-2"/>
                          <w:sz w:val="22"/>
                        </w:rPr>
                        <w:t>Skills, Experiences and Attributes</w:t>
                      </w:r>
                      <w:r>
                        <w:rPr>
                          <w:b/>
                          <w:color w:val="000000"/>
                          <w:spacing w:val="4"/>
                          <w:sz w:val="22"/>
                        </w:rPr>
                        <w:t xml:space="preserve"> </w:t>
                      </w:r>
                    </w:p>
                    <w:tbl>
                      <w:tblPr>
                        <w:tblW w:w="10205" w:type="dxa"/>
                        <w:jc w:val="left"/>
                        <w:tblInd w:w="0" w:type="dxa"/>
                        <w:tblLayout w:type="fixed"/>
                        <w:tblCellMar>
                          <w:top w:w="0" w:type="dxa"/>
                          <w:left w:w="0" w:type="dxa"/>
                          <w:bottom w:w="0" w:type="dxa"/>
                          <w:right w:w="0" w:type="dxa"/>
                        </w:tblCellMar>
                      </w:tblPr>
                      <w:tblGrid>
                        <w:gridCol w:w="124"/>
                        <w:gridCol w:w="720"/>
                        <w:gridCol w:w="109"/>
                        <w:gridCol w:w="109"/>
                        <w:gridCol w:w="3151"/>
                        <w:gridCol w:w="109"/>
                        <w:gridCol w:w="109"/>
                        <w:gridCol w:w="795"/>
                        <w:gridCol w:w="109"/>
                        <w:gridCol w:w="109"/>
                        <w:gridCol w:w="4605"/>
                        <w:gridCol w:w="156"/>
                      </w:tblGrid>
                      <w:tr>
                        <w:trPr/>
                        <w:tc>
                          <w:tcPr>
                            <w:tcW w:w="124" w:type="dxa"/>
                            <w:tcBorders/>
                            <w:vAlign w:val="center"/>
                          </w:tcPr>
                          <w:p>
                            <w:pPr>
                              <w:pStyle w:val="TableContents"/>
                              <w:bidi w:val="0"/>
                              <w:spacing w:before="0" w:after="283"/>
                              <w:jc w:val="left"/>
                              <w:rPr/>
                            </w:pPr>
                            <w:r>
                              <w:rPr/>
                              <w:t>​</w:t>
                            </w:r>
                          </w:p>
                        </w:tc>
                        <w:tc>
                          <w:tcPr>
                            <w:tcW w:w="720" w:type="dxa"/>
                            <w:tcBorders/>
                            <w:vAlign w:val="center"/>
                          </w:tcPr>
                          <w:p>
                            <w:pPr>
                              <w:pStyle w:val="TableContents"/>
                              <w:bidi w:val="0"/>
                              <w:spacing w:before="0" w:after="0"/>
                              <w:jc w:val="left"/>
                              <w:rPr/>
                            </w:pPr>
                            <w:r>
                              <w:rPr/>
                              <w:drawing>
                                <wp:inline distT="0" distB="0" distL="0" distR="0">
                                  <wp:extent cx="371475" cy="390525"/>
                                  <wp:effectExtent l="0" t="0" r="0" b="0"/>
                                  <wp:docPr id="220"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128" descr=""/>
                                          <pic:cNvPicPr>
                                            <a:picLocks noChangeAspect="1" noChangeArrowheads="1"/>
                                          </pic:cNvPicPr>
                                        </pic:nvPicPr>
                                        <pic:blipFill>
                                          <a:blip r:embed="rId154"/>
                                          <a:stretch>
                                            <a:fillRect/>
                                          </a:stretch>
                                        </pic:blipFill>
                                        <pic:spPr bwMode="auto">
                                          <a:xfrm>
                                            <a:off x="0" y="0"/>
                                            <a:ext cx="371475" cy="3905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151"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Executive Leadership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95"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71475" cy="371475"/>
                                  <wp:effectExtent l="0" t="0" r="0" b="0"/>
                                  <wp:docPr id="221"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129" descr=""/>
                                          <pic:cNvPicPr>
                                            <a:picLocks noChangeAspect="1" noChangeArrowheads="1"/>
                                          </pic:cNvPicPr>
                                        </pic:nvPicPr>
                                        <pic:blipFill>
                                          <a:blip r:embed="rId155"/>
                                          <a:stretch>
                                            <a:fillRect/>
                                          </a:stretch>
                                        </pic:blipFill>
                                        <pic:spPr bwMode="auto">
                                          <a:xfrm>
                                            <a:off x="0" y="0"/>
                                            <a:ext cx="371475" cy="3714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605"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Finance/Capital Markets </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20"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52425" cy="409575"/>
                                  <wp:effectExtent l="0" t="0" r="0" b="0"/>
                                  <wp:docPr id="222"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130" descr=""/>
                                          <pic:cNvPicPr>
                                            <a:picLocks noChangeAspect="1" noChangeArrowheads="1"/>
                                          </pic:cNvPicPr>
                                        </pic:nvPicPr>
                                        <pic:blipFill>
                                          <a:blip r:embed="rId156"/>
                                          <a:stretch>
                                            <a:fillRect/>
                                          </a:stretch>
                                        </pic:blipFill>
                                        <pic:spPr bwMode="auto">
                                          <a:xfrm>
                                            <a:off x="0" y="0"/>
                                            <a:ext cx="352425" cy="4095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151"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Risk Management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95"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419100" cy="419100"/>
                                  <wp:effectExtent l="0" t="0" r="0" b="0"/>
                                  <wp:docPr id="223"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131" descr=""/>
                                          <pic:cNvPicPr>
                                            <a:picLocks noChangeAspect="1" noChangeArrowheads="1"/>
                                          </pic:cNvPicPr>
                                        </pic:nvPicPr>
                                        <pic:blipFill>
                                          <a:blip r:embed="rId157"/>
                                          <a:stretch>
                                            <a:fillRect/>
                                          </a:stretch>
                                        </pic:blipFill>
                                        <pic:spPr bwMode="auto">
                                          <a:xfrm>
                                            <a:off x="0" y="0"/>
                                            <a:ext cx="419100" cy="4191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605" w:type="dxa"/>
                            <w:tcBorders/>
                            <w:tcMar>
                              <w:top w:w="28" w:type="dxa"/>
                              <w:left w:w="28" w:type="dxa"/>
                              <w:bottom w:w="28" w:type="dxa"/>
                              <w:right w:w="28" w:type="dxa"/>
                            </w:tcMar>
                            <w:vAlign w:val="center"/>
                          </w:tcPr>
                          <w:p>
                            <w:pPr>
                              <w:pStyle w:val="TableContents"/>
                              <w:bidi w:val="0"/>
                              <w:spacing w:lineRule="atLeast" w:line="220" w:before="0" w:after="0"/>
                              <w:jc w:val="left"/>
                              <w:rPr/>
                            </w:pPr>
                            <w:r>
                              <w:rPr>
                                <w:spacing w:val="-2"/>
                              </w:rPr>
                              <w:t>Public Company Board Service/</w:t>
                            </w:r>
                            <w:r>
                              <w:rPr/>
                              <w:t>​</w:t>
                            </w:r>
                            <w:r>
                              <w:rPr>
                                <w:spacing w:val="-2"/>
                              </w:rPr>
                              <w:t xml:space="preserve">Corporate Governance </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20"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33375" cy="304800"/>
                                  <wp:effectExtent l="0" t="0" r="0" b="0"/>
                                  <wp:docPr id="224"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132" descr=""/>
                                          <pic:cNvPicPr>
                                            <a:picLocks noChangeAspect="1" noChangeArrowheads="1"/>
                                          </pic:cNvPicPr>
                                        </pic:nvPicPr>
                                        <pic:blipFill>
                                          <a:blip r:embed="rId158"/>
                                          <a:stretch>
                                            <a:fillRect/>
                                          </a:stretch>
                                        </pic:blipFill>
                                        <pic:spPr bwMode="auto">
                                          <a:xfrm>
                                            <a:off x="0" y="0"/>
                                            <a:ext cx="333375" cy="3048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151"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REIT/Real Estate Industry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95"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52425" cy="371475"/>
                                  <wp:effectExtent l="0" t="0" r="0" b="0"/>
                                  <wp:docPr id="225"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Image133" descr=""/>
                                          <pic:cNvPicPr>
                                            <a:picLocks noChangeAspect="1" noChangeArrowheads="1"/>
                                          </pic:cNvPicPr>
                                        </pic:nvPicPr>
                                        <pic:blipFill>
                                          <a:blip r:embed="rId159"/>
                                          <a:stretch>
                                            <a:fillRect/>
                                          </a:stretch>
                                        </pic:blipFill>
                                        <pic:spPr bwMode="auto">
                                          <a:xfrm>
                                            <a:off x="0" y="0"/>
                                            <a:ext cx="352425" cy="3714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605"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Experience Over Several Business Cycles </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20"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52425" cy="352425"/>
                                  <wp:effectExtent l="0" t="0" r="0" b="0"/>
                                  <wp:docPr id="226"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134" descr=""/>
                                          <pic:cNvPicPr>
                                            <a:picLocks noChangeAspect="1" noChangeArrowheads="1"/>
                                          </pic:cNvPicPr>
                                        </pic:nvPicPr>
                                        <pic:blipFill>
                                          <a:blip r:embed="rId160"/>
                                          <a:stretch>
                                            <a:fillRect/>
                                          </a:stretch>
                                        </pic:blipFill>
                                        <pic:spPr bwMode="auto">
                                          <a:xfrm>
                                            <a:off x="0" y="0"/>
                                            <a:ext cx="352425" cy="3524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151"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Talent Management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95"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33375" cy="257175"/>
                                  <wp:effectExtent l="0" t="0" r="0" b="0"/>
                                  <wp:docPr id="227"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135" descr=""/>
                                          <pic:cNvPicPr>
                                            <a:picLocks noChangeAspect="1" noChangeArrowheads="1"/>
                                          </pic:cNvPicPr>
                                        </pic:nvPicPr>
                                        <pic:blipFill>
                                          <a:blip r:embed="rId161"/>
                                          <a:stretch>
                                            <a:fillRect/>
                                          </a:stretch>
                                        </pic:blipFill>
                                        <pic:spPr bwMode="auto">
                                          <a:xfrm>
                                            <a:off x="0" y="0"/>
                                            <a:ext cx="333375" cy="2571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605"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Academia </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20"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42900" cy="381000"/>
                                  <wp:effectExtent l="0" t="0" r="0" b="0"/>
                                  <wp:docPr id="228"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136" descr=""/>
                                          <pic:cNvPicPr>
                                            <a:picLocks noChangeAspect="1" noChangeArrowheads="1"/>
                                          </pic:cNvPicPr>
                                        </pic:nvPicPr>
                                        <pic:blipFill>
                                          <a:blip r:embed="rId162"/>
                                          <a:stretch>
                                            <a:fillRect/>
                                          </a:stretch>
                                        </pic:blipFill>
                                        <pic:spPr bwMode="auto">
                                          <a:xfrm>
                                            <a:off x="0" y="0"/>
                                            <a:ext cx="342900" cy="3810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151"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Government/Regulatory Experience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95"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605"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571500" distR="0" simplePos="0" locked="0" layoutInCell="1" allowOverlap="1" relativeHeight="128">
                <wp:simplePos x="0" y="0"/>
                <wp:positionH relativeFrom="column">
                  <wp:align>left</wp:align>
                </wp:positionH>
                <wp:positionV relativeFrom="line">
                  <wp:posOffset>635</wp:posOffset>
                </wp:positionV>
                <wp:extent cx="1562100" cy="6670040"/>
                <wp:effectExtent l="0" t="0" r="0" b="0"/>
                <wp:wrapSquare wrapText="right"/>
                <wp:docPr id="229" name="Frame73"/>
                <a:graphic xmlns:a="http://schemas.openxmlformats.org/drawingml/2006/main">
                  <a:graphicData uri="http://schemas.microsoft.com/office/word/2010/wordprocessingShape">
                    <wps:wsp>
                      <wps:cNvSpPr txBox="1"/>
                      <wps:spPr>
                        <a:xfrm>
                          <a:off x="0" y="0"/>
                          <a:ext cx="1562100" cy="6670040"/>
                        </a:xfrm>
                        <a:prstGeom prst="rect"/>
                        <a:solidFill>
                          <a:srgbClr val="FFFFFF"/>
                        </a:solidFill>
                      </wps:spPr>
                      <wps:txbx>
                        <w:txbxContent>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4608" w:type="dxa"/>
                              <w:jc w:val="left"/>
                              <w:tblInd w:w="0" w:type="dxa"/>
                              <w:tblLayout w:type="fixed"/>
                              <w:tblCellMar>
                                <w:top w:w="0" w:type="dxa"/>
                                <w:left w:w="0" w:type="dxa"/>
                                <w:bottom w:w="0" w:type="dxa"/>
                                <w:right w:w="0" w:type="dxa"/>
                              </w:tblCellMar>
                            </w:tblPr>
                            <w:tblGrid>
                              <w:gridCol w:w="124"/>
                              <w:gridCol w:w="109"/>
                              <w:gridCol w:w="4112"/>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112" w:type="dxa"/>
                                  <w:tcBorders/>
                                  <w:shd w:fill="1F2668" w:val="clear"/>
                                  <w:vAlign w:val="center"/>
                                </w:tcPr>
                                <w:p>
                                  <w:pPr>
                                    <w:pStyle w:val="TableContents"/>
                                    <w:bidi w:val="0"/>
                                    <w:spacing w:lineRule="atLeast" w:line="280" w:before="0" w:after="0"/>
                                    <w:ind w:left="0" w:right="160" w:hanging="0"/>
                                    <w:jc w:val="left"/>
                                    <w:rPr>
                                      <w:sz w:val="24"/>
                                    </w:rPr>
                                  </w:pPr>
                                  <w:r>
                                    <w:rPr>
                                      <w:spacing w:val="-2"/>
                                      <w:sz w:val="24"/>
                                    </w:rPr>
                                    <w:t xml:space="preserve">JOHN H. </w:t>
                                    <w:br/>
                                    <w:t>ALSCHULER</w:t>
                                  </w:r>
                                  <w:r>
                                    <w:rPr>
                                      <w:sz w:val="24"/>
                                    </w:rPr>
                                    <w:t xml:space="preserve"> </w:t>
                                  </w:r>
                                </w:p>
                                <w:p>
                                  <w:pPr>
                                    <w:pStyle w:val="TableContents"/>
                                    <w:bidi w:val="0"/>
                                    <w:spacing w:before="200" w:after="283"/>
                                    <w:ind w:left="0" w:right="160" w:hanging="0"/>
                                    <w:jc w:val="left"/>
                                    <w:rPr/>
                                  </w:pPr>
                                  <w:r>
                                    <w:rPr/>
                                    <w:drawing>
                                      <wp:inline distT="0" distB="0" distL="0" distR="0">
                                        <wp:extent cx="1190625" cy="1447800"/>
                                        <wp:effectExtent l="0" t="0" r="0" b="0"/>
                                        <wp:docPr id="230"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127" descr=""/>
                                                <pic:cNvPicPr>
                                                  <a:picLocks noChangeAspect="1" noChangeArrowheads="1"/>
                                                </pic:cNvPicPr>
                                              </pic:nvPicPr>
                                              <pic:blipFill>
                                                <a:blip r:embed="rId163"/>
                                                <a:stretch>
                                                  <a:fillRect/>
                                                </a:stretch>
                                              </pic:blipFill>
                                              <pic:spPr bwMode="auto">
                                                <a:xfrm>
                                                  <a:off x="0" y="0"/>
                                                  <a:ext cx="1190625" cy="1447800"/>
                                                </a:xfrm>
                                                <a:prstGeom prst="rect">
                                                  <a:avLst/>
                                                </a:prstGeom>
                                              </pic:spPr>
                                            </pic:pic>
                                          </a:graphicData>
                                        </a:graphic>
                                      </wp:inline>
                                    </w:drawing>
                                  </w:r>
                                  <w:r>
                                    <w:rPr/>
                                    <w:t xml:space="preserve"> </w:t>
                                  </w:r>
                                </w:p>
                                <w:p>
                                  <w:pPr>
                                    <w:pStyle w:val="TableContents"/>
                                    <w:bidi w:val="0"/>
                                    <w:spacing w:lineRule="atLeast" w:line="220" w:before="199" w:after="283"/>
                                    <w:ind w:left="0" w:right="160" w:hanging="0"/>
                                    <w:jc w:val="left"/>
                                    <w:rPr/>
                                  </w:pPr>
                                  <w:r>
                                    <w:rPr>
                                      <w:spacing w:val="-2"/>
                                    </w:rPr>
                                    <w:t>Lead Independent Director</w:t>
                                  </w:r>
                                  <w:r>
                                    <w:rPr/>
                                    <w:t xml:space="preserve"> </w:t>
                                  </w:r>
                                </w:p>
                                <w:p>
                                  <w:pPr>
                                    <w:pStyle w:val="TableContents"/>
                                    <w:bidi w:val="0"/>
                                    <w:spacing w:lineRule="atLeast" w:line="180" w:before="160" w:after="283"/>
                                    <w:ind w:left="0" w:right="160" w:hanging="0"/>
                                    <w:jc w:val="left"/>
                                    <w:rPr>
                                      <w:b w:val="false"/>
                                    </w:rPr>
                                  </w:pPr>
                                  <w:r>
                                    <w:rPr>
                                      <w:b w:val="false"/>
                                      <w:spacing w:val="-2"/>
                                    </w:rPr>
                                    <w:t xml:space="preserve">Director Since: </w:t>
                                  </w:r>
                                  <w:r>
                                    <w:rPr>
                                      <w:b/>
                                      <w:spacing w:val="-2"/>
                                    </w:rPr>
                                    <w:t>1997</w:t>
                                  </w:r>
                                  <w:r>
                                    <w:rPr>
                                      <w:b w:val="false"/>
                                    </w:rPr>
                                    <w:t xml:space="preserve"> </w:t>
                                  </w:r>
                                </w:p>
                                <w:p>
                                  <w:pPr>
                                    <w:pStyle w:val="TableContents"/>
                                    <w:bidi w:val="0"/>
                                    <w:spacing w:lineRule="atLeast" w:line="180" w:before="160" w:after="283"/>
                                    <w:ind w:left="0" w:right="160" w:hanging="0"/>
                                    <w:jc w:val="left"/>
                                    <w:rPr>
                                      <w:b w:val="false"/>
                                    </w:rPr>
                                  </w:pPr>
                                  <w:r>
                                    <w:rPr>
                                      <w:b w:val="false"/>
                                      <w:spacing w:val="-2"/>
                                    </w:rPr>
                                    <w:t xml:space="preserve">Age: </w:t>
                                  </w:r>
                                  <w:r>
                                    <w:rPr>
                                      <w:b/>
                                      <w:spacing w:val="-2"/>
                                    </w:rPr>
                                    <w:t>78</w:t>
                                  </w:r>
                                  <w:r>
                                    <w:rPr>
                                      <w:b w:val="false"/>
                                    </w:rPr>
                                    <w:t xml:space="preserve"> </w:t>
                                  </w:r>
                                </w:p>
                                <w:p>
                                  <w:pPr>
                                    <w:pStyle w:val="TableContents"/>
                                    <w:bidi w:val="0"/>
                                    <w:spacing w:lineRule="atLeast" w:line="220" w:before="160" w:after="283"/>
                                    <w:ind w:left="0" w:right="160" w:hanging="0"/>
                                    <w:jc w:val="left"/>
                                    <w:rPr>
                                      <w:b w:val="false"/>
                                      <w:spacing w:val="-2"/>
                                    </w:rPr>
                                  </w:pPr>
                                  <w:r>
                                    <w:rPr>
                                      <w:b w:val="false"/>
                                      <w:spacing w:val="-2"/>
                                    </w:rPr>
                                    <w:t xml:space="preserve">SL Green </w:t>
                                    <w:br/>
                                    <w:t xml:space="preserve">Board Service: </w:t>
                                  </w:r>
                                </w:p>
                                <w:p>
                                  <w:pPr>
                                    <w:pStyle w:val="TableContents"/>
                                    <w:bidi w:val="0"/>
                                    <w:spacing w:lineRule="atLeast" w:line="220" w:before="160" w:after="0"/>
                                    <w:ind w:left="180" w:right="160" w:hanging="0"/>
                                    <w:jc w:val="left"/>
                                    <w:rPr>
                                      <w:b w:val="false"/>
                                    </w:rPr>
                                  </w:pPr>
                                  <w:r>
                                    <w:rPr>
                                      <w:b/>
                                      <w:spacing w:val="-2"/>
                                    </w:rPr>
                                    <w:t>Compensation Committee</w:t>
                                  </w:r>
                                  <w:r>
                                    <w:rPr>
                                      <w:b w:val="false"/>
                                    </w:rPr>
                                    <w:t xml:space="preserve"> </w:t>
                                  </w:r>
                                </w:p>
                                <w:p>
                                  <w:pPr>
                                    <w:pStyle w:val="TableContents"/>
                                    <w:bidi w:val="0"/>
                                    <w:spacing w:before="0" w:after="0"/>
                                    <w:ind w:left="0" w:right="0" w:hanging="0"/>
                                    <w:jc w:val="left"/>
                                    <w:rPr/>
                                  </w:pPr>
                                  <w:r>
                                    <w:rPr/>
                                    <w:t>​</w:t>
                                  </w:r>
                                </w:p>
                                <w:p>
                                  <w:pPr>
                                    <w:pStyle w:val="TableContents"/>
                                    <w:bidi w:val="0"/>
                                    <w:spacing w:lineRule="atLeast" w:line="220" w:before="160" w:after="0"/>
                                    <w:ind w:left="180" w:right="160" w:hanging="0"/>
                                    <w:jc w:val="left"/>
                                    <w:rPr/>
                                  </w:pPr>
                                  <w:r>
                                    <w:rPr>
                                      <w:spacing w:val="-2"/>
                                    </w:rPr>
                                    <w:t xml:space="preserve">Nominating </w:t>
                                    <w:br/>
                                    <w:t>and Corporate Governance Committee</w:t>
                                  </w:r>
                                  <w:r>
                                    <w:rPr/>
                                    <w:t xml:space="preserve"> </w:t>
                                  </w:r>
                                </w:p>
                                <w:p>
                                  <w:pPr>
                                    <w:pStyle w:val="TableContents"/>
                                    <w:bidi w:val="0"/>
                                    <w:spacing w:before="0" w:after="0"/>
                                    <w:ind w:left="0" w:right="0" w:hanging="0"/>
                                    <w:jc w:val="left"/>
                                    <w:rPr/>
                                  </w:pPr>
                                  <w:r>
                                    <w:rPr/>
                                    <w:t>​</w:t>
                                  </w:r>
                                </w:p>
                                <w:p>
                                  <w:pPr>
                                    <w:pStyle w:val="TableContents"/>
                                    <w:bidi w:val="0"/>
                                    <w:spacing w:lineRule="atLeast" w:line="220" w:before="160" w:after="0"/>
                                    <w:ind w:left="180" w:right="160" w:hanging="0"/>
                                    <w:jc w:val="left"/>
                                    <w:rPr/>
                                  </w:pPr>
                                  <w:r>
                                    <w:rPr>
                                      <w:spacing w:val="-2"/>
                                    </w:rPr>
                                    <w:t>Executive Committee</w:t>
                                  </w:r>
                                  <w:r>
                                    <w:rPr/>
                                    <w:t xml:space="preserve"> </w: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54" w:type="dxa"/>
                                  <w:tcBorders/>
                                  <w:shd w:fill="1F2668" w:val="clear"/>
                                  <w:vAlign w:val="center"/>
                                </w:tcPr>
                                <w:p>
                                  <w:pPr>
                                    <w:pStyle w:val="TableContents"/>
                                    <w:bidi w:val="0"/>
                                    <w:spacing w:before="0" w:after="283"/>
                                    <w:jc w:val="left"/>
                                    <w:rPr/>
                                  </w:pPr>
                                  <w:r>
                                    <w:rPr/>
                                    <w:t>​</w:t>
                                  </w:r>
                                </w:p>
                              </w:tc>
                            </w:tr>
                          </w:tbl>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23pt;height:525.2pt;mso-wrap-distance-left:45pt;mso-wrap-distance-right:0pt;mso-wrap-distance-top:0pt;mso-wrap-distance-bottom:0pt;margin-top:0pt;mso-position-vertical:top;mso-position-vertical-relative:text;margin-left:45pt;mso-position-horizontal:left;mso-position-horizontal-relative:text">
                <v:textbox>
                  <w:txbxContent>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4608" w:type="dxa"/>
                        <w:jc w:val="left"/>
                        <w:tblInd w:w="0" w:type="dxa"/>
                        <w:tblLayout w:type="fixed"/>
                        <w:tblCellMar>
                          <w:top w:w="0" w:type="dxa"/>
                          <w:left w:w="0" w:type="dxa"/>
                          <w:bottom w:w="0" w:type="dxa"/>
                          <w:right w:w="0" w:type="dxa"/>
                        </w:tblCellMar>
                      </w:tblPr>
                      <w:tblGrid>
                        <w:gridCol w:w="124"/>
                        <w:gridCol w:w="109"/>
                        <w:gridCol w:w="4112"/>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112" w:type="dxa"/>
                            <w:tcBorders/>
                            <w:shd w:fill="1F2668" w:val="clear"/>
                            <w:vAlign w:val="center"/>
                          </w:tcPr>
                          <w:p>
                            <w:pPr>
                              <w:pStyle w:val="TableContents"/>
                              <w:bidi w:val="0"/>
                              <w:spacing w:lineRule="atLeast" w:line="280" w:before="0" w:after="0"/>
                              <w:ind w:left="0" w:right="160" w:hanging="0"/>
                              <w:jc w:val="left"/>
                              <w:rPr>
                                <w:sz w:val="24"/>
                              </w:rPr>
                            </w:pPr>
                            <w:r>
                              <w:rPr>
                                <w:spacing w:val="-2"/>
                                <w:sz w:val="24"/>
                              </w:rPr>
                              <w:t xml:space="preserve">JOHN H. </w:t>
                              <w:br/>
                              <w:t>ALSCHULER</w:t>
                            </w:r>
                            <w:r>
                              <w:rPr>
                                <w:sz w:val="24"/>
                              </w:rPr>
                              <w:t xml:space="preserve"> </w:t>
                            </w:r>
                          </w:p>
                          <w:p>
                            <w:pPr>
                              <w:pStyle w:val="TableContents"/>
                              <w:bidi w:val="0"/>
                              <w:spacing w:before="200" w:after="283"/>
                              <w:ind w:left="0" w:right="160" w:hanging="0"/>
                              <w:jc w:val="left"/>
                              <w:rPr/>
                            </w:pPr>
                            <w:r>
                              <w:rPr/>
                              <w:drawing>
                                <wp:inline distT="0" distB="0" distL="0" distR="0">
                                  <wp:extent cx="1190625" cy="1447800"/>
                                  <wp:effectExtent l="0" t="0" r="0" b="0"/>
                                  <wp:docPr id="231"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Image127" descr=""/>
                                          <pic:cNvPicPr>
                                            <a:picLocks noChangeAspect="1" noChangeArrowheads="1"/>
                                          </pic:cNvPicPr>
                                        </pic:nvPicPr>
                                        <pic:blipFill>
                                          <a:blip r:embed="rId164"/>
                                          <a:stretch>
                                            <a:fillRect/>
                                          </a:stretch>
                                        </pic:blipFill>
                                        <pic:spPr bwMode="auto">
                                          <a:xfrm>
                                            <a:off x="0" y="0"/>
                                            <a:ext cx="1190625" cy="1447800"/>
                                          </a:xfrm>
                                          <a:prstGeom prst="rect">
                                            <a:avLst/>
                                          </a:prstGeom>
                                        </pic:spPr>
                                      </pic:pic>
                                    </a:graphicData>
                                  </a:graphic>
                                </wp:inline>
                              </w:drawing>
                            </w:r>
                            <w:r>
                              <w:rPr/>
                              <w:t xml:space="preserve"> </w:t>
                            </w:r>
                          </w:p>
                          <w:p>
                            <w:pPr>
                              <w:pStyle w:val="TableContents"/>
                              <w:bidi w:val="0"/>
                              <w:spacing w:lineRule="atLeast" w:line="220" w:before="199" w:after="283"/>
                              <w:ind w:left="0" w:right="160" w:hanging="0"/>
                              <w:jc w:val="left"/>
                              <w:rPr/>
                            </w:pPr>
                            <w:r>
                              <w:rPr>
                                <w:spacing w:val="-2"/>
                              </w:rPr>
                              <w:t>Lead Independent Director</w:t>
                            </w:r>
                            <w:r>
                              <w:rPr/>
                              <w:t xml:space="preserve"> </w:t>
                            </w:r>
                          </w:p>
                          <w:p>
                            <w:pPr>
                              <w:pStyle w:val="TableContents"/>
                              <w:bidi w:val="0"/>
                              <w:spacing w:lineRule="atLeast" w:line="180" w:before="160" w:after="283"/>
                              <w:ind w:left="0" w:right="160" w:hanging="0"/>
                              <w:jc w:val="left"/>
                              <w:rPr>
                                <w:b w:val="false"/>
                              </w:rPr>
                            </w:pPr>
                            <w:r>
                              <w:rPr>
                                <w:b w:val="false"/>
                                <w:spacing w:val="-2"/>
                              </w:rPr>
                              <w:t xml:space="preserve">Director Since: </w:t>
                            </w:r>
                            <w:r>
                              <w:rPr>
                                <w:b/>
                                <w:spacing w:val="-2"/>
                              </w:rPr>
                              <w:t>1997</w:t>
                            </w:r>
                            <w:r>
                              <w:rPr>
                                <w:b w:val="false"/>
                              </w:rPr>
                              <w:t xml:space="preserve"> </w:t>
                            </w:r>
                          </w:p>
                          <w:p>
                            <w:pPr>
                              <w:pStyle w:val="TableContents"/>
                              <w:bidi w:val="0"/>
                              <w:spacing w:lineRule="atLeast" w:line="180" w:before="160" w:after="283"/>
                              <w:ind w:left="0" w:right="160" w:hanging="0"/>
                              <w:jc w:val="left"/>
                              <w:rPr>
                                <w:b w:val="false"/>
                              </w:rPr>
                            </w:pPr>
                            <w:r>
                              <w:rPr>
                                <w:b w:val="false"/>
                                <w:spacing w:val="-2"/>
                              </w:rPr>
                              <w:t xml:space="preserve">Age: </w:t>
                            </w:r>
                            <w:r>
                              <w:rPr>
                                <w:b/>
                                <w:spacing w:val="-2"/>
                              </w:rPr>
                              <w:t>78</w:t>
                            </w:r>
                            <w:r>
                              <w:rPr>
                                <w:b w:val="false"/>
                              </w:rPr>
                              <w:t xml:space="preserve"> </w:t>
                            </w:r>
                          </w:p>
                          <w:p>
                            <w:pPr>
                              <w:pStyle w:val="TableContents"/>
                              <w:bidi w:val="0"/>
                              <w:spacing w:lineRule="atLeast" w:line="220" w:before="160" w:after="283"/>
                              <w:ind w:left="0" w:right="160" w:hanging="0"/>
                              <w:jc w:val="left"/>
                              <w:rPr>
                                <w:b w:val="false"/>
                                <w:spacing w:val="-2"/>
                              </w:rPr>
                            </w:pPr>
                            <w:r>
                              <w:rPr>
                                <w:b w:val="false"/>
                                <w:spacing w:val="-2"/>
                              </w:rPr>
                              <w:t xml:space="preserve">SL Green </w:t>
                              <w:br/>
                              <w:t xml:space="preserve">Board Service: </w:t>
                            </w:r>
                          </w:p>
                          <w:p>
                            <w:pPr>
                              <w:pStyle w:val="TableContents"/>
                              <w:bidi w:val="0"/>
                              <w:spacing w:lineRule="atLeast" w:line="220" w:before="160" w:after="0"/>
                              <w:ind w:left="180" w:right="160" w:hanging="0"/>
                              <w:jc w:val="left"/>
                              <w:rPr>
                                <w:b w:val="false"/>
                              </w:rPr>
                            </w:pPr>
                            <w:r>
                              <w:rPr>
                                <w:b/>
                                <w:spacing w:val="-2"/>
                              </w:rPr>
                              <w:t>Compensation Committee</w:t>
                            </w:r>
                            <w:r>
                              <w:rPr>
                                <w:b w:val="false"/>
                              </w:rPr>
                              <w:t xml:space="preserve"> </w:t>
                            </w:r>
                          </w:p>
                          <w:p>
                            <w:pPr>
                              <w:pStyle w:val="TableContents"/>
                              <w:bidi w:val="0"/>
                              <w:spacing w:before="0" w:after="0"/>
                              <w:ind w:left="0" w:right="0" w:hanging="0"/>
                              <w:jc w:val="left"/>
                              <w:rPr/>
                            </w:pPr>
                            <w:r>
                              <w:rPr/>
                              <w:t>​</w:t>
                            </w:r>
                          </w:p>
                          <w:p>
                            <w:pPr>
                              <w:pStyle w:val="TableContents"/>
                              <w:bidi w:val="0"/>
                              <w:spacing w:lineRule="atLeast" w:line="220" w:before="160" w:after="0"/>
                              <w:ind w:left="180" w:right="160" w:hanging="0"/>
                              <w:jc w:val="left"/>
                              <w:rPr/>
                            </w:pPr>
                            <w:r>
                              <w:rPr>
                                <w:spacing w:val="-2"/>
                              </w:rPr>
                              <w:t xml:space="preserve">Nominating </w:t>
                              <w:br/>
                              <w:t>and Corporate Governance Committee</w:t>
                            </w:r>
                            <w:r>
                              <w:rPr/>
                              <w:t xml:space="preserve"> </w:t>
                            </w:r>
                          </w:p>
                          <w:p>
                            <w:pPr>
                              <w:pStyle w:val="TableContents"/>
                              <w:bidi w:val="0"/>
                              <w:spacing w:before="0" w:after="0"/>
                              <w:ind w:left="0" w:right="0" w:hanging="0"/>
                              <w:jc w:val="left"/>
                              <w:rPr/>
                            </w:pPr>
                            <w:r>
                              <w:rPr/>
                              <w:t>​</w:t>
                            </w:r>
                          </w:p>
                          <w:p>
                            <w:pPr>
                              <w:pStyle w:val="TableContents"/>
                              <w:bidi w:val="0"/>
                              <w:spacing w:lineRule="atLeast" w:line="220" w:before="160" w:after="0"/>
                              <w:ind w:left="180" w:right="160" w:hanging="0"/>
                              <w:jc w:val="left"/>
                              <w:rPr/>
                            </w:pPr>
                            <w:r>
                              <w:rPr>
                                <w:spacing w:val="-2"/>
                              </w:rPr>
                              <w:t>Executive Committee</w:t>
                            </w:r>
                            <w:r>
                              <w:rPr/>
                              <w:t xml:space="preserve"> </w: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54" w:type="dxa"/>
                            <w:tcBorders/>
                            <w:shd w:fill="1F2668" w:val="clear"/>
                            <w:vAlign w:val="center"/>
                          </w:tcPr>
                          <w:p>
                            <w:pPr>
                              <w:pStyle w:val="TableContents"/>
                              <w:bidi w:val="0"/>
                              <w:spacing w:before="0" w:after="283"/>
                              <w:jc w:val="left"/>
                              <w:rPr/>
                            </w:pPr>
                            <w:r>
                              <w:rPr/>
                              <w:t>​</w:t>
                            </w:r>
                          </w:p>
                        </w:tc>
                      </w:tr>
                    </w:tbl>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64770" distB="0" distL="0" distR="0" simplePos="0" locked="0" layoutInCell="1" allowOverlap="1" relativeHeight="373">
                <wp:simplePos x="0" y="0"/>
                <wp:positionH relativeFrom="column">
                  <wp:align>left</wp:align>
                </wp:positionH>
                <wp:positionV relativeFrom="line">
                  <wp:align>top</wp:align>
                </wp:positionV>
                <wp:extent cx="127000" cy="350520"/>
                <wp:effectExtent l="0" t="0" r="0" b="0"/>
                <wp:wrapSquare wrapText="right"/>
                <wp:docPr id="232" name="Frame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5.1pt;mso-wrap-distance-bottom:0pt;margin-top:5.1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24130" distB="0" distL="0" distR="0" simplePos="0" locked="0" layoutInCell="1" allowOverlap="1" relativeHeight="374">
                <wp:simplePos x="0" y="0"/>
                <wp:positionH relativeFrom="column">
                  <wp:align>left</wp:align>
                </wp:positionH>
                <wp:positionV relativeFrom="line">
                  <wp:align>top</wp:align>
                </wp:positionV>
                <wp:extent cx="127000" cy="350520"/>
                <wp:effectExtent l="0" t="0" r="0" b="0"/>
                <wp:wrapSquare wrapText="right"/>
                <wp:docPr id="233" name="Frame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24130" distB="0" distL="0" distR="0" simplePos="0" locked="0" layoutInCell="1" allowOverlap="1" relativeHeight="375">
                <wp:simplePos x="0" y="0"/>
                <wp:positionH relativeFrom="column">
                  <wp:align>left</wp:align>
                </wp:positionH>
                <wp:positionV relativeFrom="line">
                  <wp:align>top</wp:align>
                </wp:positionV>
                <wp:extent cx="127000" cy="350520"/>
                <wp:effectExtent l="0" t="0" r="0" b="0"/>
                <wp:wrapSquare wrapText="right"/>
                <wp:docPr id="234" name="Frame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24130" distB="0" distL="0" distR="0" simplePos="0" locked="0" layoutInCell="1" allowOverlap="1" relativeHeight="376">
                <wp:simplePos x="0" y="0"/>
                <wp:positionH relativeFrom="column">
                  <wp:align>left</wp:align>
                </wp:positionH>
                <wp:positionV relativeFrom="line">
                  <wp:align>top</wp:align>
                </wp:positionV>
                <wp:extent cx="127000" cy="350520"/>
                <wp:effectExtent l="0" t="0" r="0" b="0"/>
                <wp:wrapSquare wrapText="right"/>
                <wp:docPr id="235" name="Frame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24130" distB="0" distL="0" distR="0" simplePos="0" locked="0" layoutInCell="1" allowOverlap="1" relativeHeight="377">
                <wp:simplePos x="0" y="0"/>
                <wp:positionH relativeFrom="column">
                  <wp:align>left</wp:align>
                </wp:positionH>
                <wp:positionV relativeFrom="line">
                  <wp:align>top</wp:align>
                </wp:positionV>
                <wp:extent cx="127000" cy="350520"/>
                <wp:effectExtent l="0" t="0" r="0" b="0"/>
                <wp:wrapSquare wrapText="right"/>
                <wp:docPr id="236" name="Frame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101600" distB="0" distL="0" distR="0" simplePos="0" locked="0" layoutInCell="1" allowOverlap="1" relativeHeight="370">
                <wp:simplePos x="0" y="0"/>
                <wp:positionH relativeFrom="column">
                  <wp:align>left</wp:align>
                </wp:positionH>
                <wp:positionV relativeFrom="line">
                  <wp:align>top</wp:align>
                </wp:positionV>
                <wp:extent cx="114300" cy="350520"/>
                <wp:effectExtent l="0" t="0" r="0" b="0"/>
                <wp:wrapSquare wrapText="right"/>
                <wp:docPr id="237" name="Frame74"/>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 w:val="false"/>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 w:val="false"/>
                        </w:rPr>
                        <w:br/>
                      </w:r>
                    </w:p>
                  </w:txbxContent>
                </v:textbox>
                <w10:wrap type="square" side="right"/>
              </v:rect>
            </w:pict>
          </mc:Fallback>
        </mc:AlternateContent>
      </w:r>
      <w:r>
        <mc:AlternateContent>
          <mc:Choice Requires="wps">
            <w:drawing>
              <wp:anchor behindDoc="0" distT="101600" distB="0" distL="0" distR="0" simplePos="0" locked="0" layoutInCell="1" allowOverlap="1" relativeHeight="371">
                <wp:simplePos x="0" y="0"/>
                <wp:positionH relativeFrom="column">
                  <wp:align>left</wp:align>
                </wp:positionH>
                <wp:positionV relativeFrom="line">
                  <wp:align>top</wp:align>
                </wp:positionV>
                <wp:extent cx="114300" cy="350520"/>
                <wp:effectExtent l="0" t="0" r="0" b="0"/>
                <wp:wrapSquare wrapText="right"/>
                <wp:docPr id="238" name="Frame75"/>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101600" distB="0" distL="0" distR="0" simplePos="0" locked="0" layoutInCell="1" allowOverlap="1" relativeHeight="372">
                <wp:simplePos x="0" y="0"/>
                <wp:positionH relativeFrom="column">
                  <wp:align>left</wp:align>
                </wp:positionH>
                <wp:positionV relativeFrom="line">
                  <wp:align>top</wp:align>
                </wp:positionV>
                <wp:extent cx="114300" cy="350520"/>
                <wp:effectExtent l="0" t="0" r="0" b="0"/>
                <wp:wrapSquare wrapText="right"/>
                <wp:docPr id="239" name="Frame76"/>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225" w:type="dxa"/>
        <w:jc w:val="left"/>
        <w:tblInd w:w="900" w:type="dxa"/>
        <w:tblLayout w:type="fixed"/>
        <w:tblCellMar>
          <w:top w:w="0" w:type="dxa"/>
          <w:left w:w="0" w:type="dxa"/>
          <w:bottom w:w="0" w:type="dxa"/>
          <w:right w:w="0" w:type="dxa"/>
        </w:tblCellMar>
      </w:tblPr>
      <w:tblGrid>
        <w:gridCol w:w="124"/>
        <w:gridCol w:w="346"/>
        <w:gridCol w:w="109"/>
        <w:gridCol w:w="109"/>
        <w:gridCol w:w="4383"/>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14</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383" w:type="dxa"/>
            <w:tcBorders/>
            <w:vAlign w:val="center"/>
          </w:tcPr>
          <w:p>
            <w:pPr>
              <w:pStyle w:val="TableContents"/>
              <w:bidi w:val="0"/>
              <w:spacing w:lineRule="atLeast" w:line="200" w:before="0" w:after="0"/>
              <w:jc w:val="left"/>
              <w:rPr/>
            </w:pPr>
            <w:r>
              <w:rPr>
                <w:spacing w:val="-2"/>
              </w:rPr>
              <w:t>    </w:t>
            </w:r>
            <w:r>
              <w:rPr>
                <w:spacing w:val="-2"/>
                <w:sz w:val="16"/>
              </w:rPr>
              <w:t>SL GREEN REALTY CORP. 2026 PROXY STATEMENT</w:t>
            </w:r>
            <w:r>
              <w:rPr>
                <w:sz w:val="16"/>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5014"/>
        <w:ind w:left="900" w:right="0" w:hanging="0"/>
        <w:jc w:val="left"/>
        <w:rPr>
          <w:caps w:val="false"/>
          <w:smallCaps w:val="false"/>
          <w:color w:val="000000"/>
        </w:rPr>
      </w:pPr>
      <w:r>
        <w:rPr>
          <w:caps w:val="false"/>
          <w:smallCaps w:val="false"/>
          <w:color w:val="000000"/>
        </w:rPr>
        <w:t>​</w:t>
      </w:r>
      <w:r>
        <mc:AlternateContent>
          <mc:Choice Requires="wps">
            <w:drawing>
              <wp:anchor behindDoc="0" distT="0" distB="0" distL="254000" distR="0" simplePos="0" locked="0" layoutInCell="1" allowOverlap="1" relativeHeight="86">
                <wp:simplePos x="0" y="0"/>
                <wp:positionH relativeFrom="column">
                  <wp:align>left</wp:align>
                </wp:positionH>
                <wp:positionV relativeFrom="line">
                  <wp:posOffset>635</wp:posOffset>
                </wp:positionV>
                <wp:extent cx="4584700" cy="7949565"/>
                <wp:effectExtent l="0" t="0" r="0" b="0"/>
                <wp:wrapSquare wrapText="right"/>
                <wp:docPr id="240" name="Frame86"/>
                <a:graphic xmlns:a="http://schemas.openxmlformats.org/drawingml/2006/main">
                  <a:graphicData uri="http://schemas.microsoft.com/office/word/2010/wordprocessingShape">
                    <wps:wsp>
                      <wps:cNvSpPr txBox="1"/>
                      <wps:spPr>
                        <a:xfrm>
                          <a:off x="0" y="0"/>
                          <a:ext cx="4584700" cy="7949565"/>
                        </a:xfrm>
                        <a:prstGeom prst="rect"/>
                        <a:solidFill>
                          <a:srgbClr val="FFFFFF"/>
                        </a:solidFill>
                      </wps:spPr>
                      <wps:txbx>
                        <w:txbxContent>
                          <w:p>
                            <w:pPr>
                              <w:pStyle w:val="TextBody"/>
                              <w:bidi w:val="0"/>
                              <w:spacing w:lineRule="atLeast" w:line="240" w:before="500" w:after="283"/>
                              <w:jc w:val="left"/>
                              <w:rPr/>
                            </w:pPr>
                            <w:r>
                              <w:rPr>
                                <w:spacing w:val="-2"/>
                              </w:rPr>
                              <w:t>Ms. Brown’s extensive experience in academia, including teaching and writing in the areas of property, land use planning, real estate transactions and housing law, contribute a unique and valuable perspective to the Board.</w:t>
                            </w:r>
                            <w:r>
                              <w:rPr>
                                <w:spacing w:val="4"/>
                              </w:rPr>
                              <w:t xml:space="preserve"> </w:t>
                            </w:r>
                          </w:p>
                          <w:p>
                            <w:pPr>
                              <w:pStyle w:val="TextBody"/>
                              <w:bidi w:val="0"/>
                              <w:spacing w:before="0" w:after="283"/>
                              <w:ind w:left="0" w:right="0" w:hanging="0"/>
                              <w:jc w:val="left"/>
                              <w:rPr>
                                <w:bdr w:val="single" w:sz="8" w:space="1" w:color="83AD40"/>
                              </w:rPr>
                            </w:pPr>
                            <w:r>
                              <w:rPr>
                                <w:bdr w:val="single" w:sz="8" w:space="1" w:color="83AD40"/>
                              </w:rPr>
                              <w:t>​</w:t>
                            </w:r>
                          </w:p>
                          <w:p>
                            <w:pPr>
                              <w:pStyle w:val="TextBody"/>
                              <w:bidi w:val="0"/>
                              <w:spacing w:lineRule="atLeast" w:line="260" w:before="480" w:after="283"/>
                              <w:jc w:val="left"/>
                              <w:rPr>
                                <w:b/>
                                <w:color w:val="1F2668"/>
                                <w:sz w:val="22"/>
                              </w:rPr>
                            </w:pPr>
                            <w:r>
                              <w:rPr>
                                <w:b/>
                                <w:color w:val="1F2668"/>
                                <w:spacing w:val="-2"/>
                                <w:sz w:val="22"/>
                              </w:rPr>
                              <w:t>Professional Experience</w:t>
                            </w:r>
                            <w:r>
                              <w:rPr>
                                <w:b/>
                                <w:color w:val="000000"/>
                                <w:spacing w:val="4"/>
                                <w:sz w:val="22"/>
                              </w:rPr>
                              <w:t xml:space="preserve"> </w:t>
                            </w:r>
                          </w:p>
                          <w:p>
                            <w:pPr>
                              <w:pStyle w:val="TextBody"/>
                              <w:bidi w:val="0"/>
                              <w:spacing w:lineRule="atLeast" w:line="220" w:before="160" w:after="0"/>
                              <w:ind w:left="200" w:right="0" w:hanging="0"/>
                              <w:jc w:val="left"/>
                              <w:rPr/>
                            </w:pPr>
                            <w:r>
                              <w:rPr>
                                <w:spacing w:val="-2"/>
                              </w:rPr>
                              <w:t>Professor at the University of Richmond School of Law since 2012, teaching Property Law Survey, Housing Law, Land Use Planning, and Real Estate Transactions</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60" w:after="0"/>
                              <w:ind w:left="200" w:right="0" w:hanging="0"/>
                              <w:jc w:val="left"/>
                              <w:rPr/>
                            </w:pPr>
                            <w:r>
                              <w:rPr>
                                <w:spacing w:val="-2"/>
                              </w:rPr>
                              <w:t>Former Professor at the University of North Carolina School of Law from 2008 to 2012 and Associate Professor from 2007 to 2008</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60" w:after="0"/>
                              <w:ind w:left="200" w:right="0" w:hanging="0"/>
                              <w:jc w:val="left"/>
                              <w:rPr/>
                            </w:pPr>
                            <w:r>
                              <w:rPr>
                                <w:spacing w:val="-2"/>
                              </w:rPr>
                              <w:t>Former Associate Professor of Law at the University of Alabama School of Law, and Assistant Professor from 2001 to 2004</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60" w:after="0"/>
                              <w:ind w:left="200" w:right="0" w:hanging="0"/>
                              <w:jc w:val="left"/>
                              <w:rPr/>
                            </w:pPr>
                            <w:r>
                              <w:rPr>
                                <w:spacing w:val="-2"/>
                              </w:rPr>
                              <w:t>Former Associate at Sirote &amp; Permutt, P.C. in Birmingham, Alabama focusing on general business, real estate, and consumer finance</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60" w:after="0"/>
                              <w:ind w:left="200" w:right="0" w:hanging="0"/>
                              <w:jc w:val="left"/>
                              <w:rPr/>
                            </w:pPr>
                            <w:r>
                              <w:rPr>
                                <w:spacing w:val="-2"/>
                              </w:rPr>
                              <w:t>Former Associate at McGuire, Woods, Battle &amp; Bootle, L.L.P. in Richmond, Virginia focusing on labor and employment discrimination</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60" w:after="0"/>
                              <w:ind w:left="200" w:right="0" w:hanging="0"/>
                              <w:jc w:val="left"/>
                              <w:rPr/>
                            </w:pPr>
                            <w:r>
                              <w:rPr>
                                <w:spacing w:val="-2"/>
                              </w:rPr>
                              <w:t>Former Judicial Law Clerk for the Honorable Sharon L. Blackburn, United States District Court, Northern District of Alabama</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60" w:after="0"/>
                              <w:ind w:left="200" w:right="0" w:hanging="0"/>
                              <w:jc w:val="left"/>
                              <w:rPr/>
                            </w:pPr>
                            <w:r>
                              <w:rPr>
                                <w:spacing w:val="-2"/>
                              </w:rPr>
                              <w:t>B.A. from Duke University and J.D./L.L.M. from Duke University School of Law</w:t>
                            </w:r>
                            <w:r>
                              <w:rPr>
                                <w:spacing w:val="4"/>
                              </w:rPr>
                              <w:t xml:space="preserve"> </w:t>
                            </w:r>
                          </w:p>
                          <w:p>
                            <w:pPr>
                              <w:pStyle w:val="TextBody"/>
                              <w:bidi w:val="0"/>
                              <w:spacing w:before="0" w:after="0"/>
                              <w:ind w:left="0" w:right="0" w:hanging="0"/>
                              <w:jc w:val="left"/>
                              <w:rPr/>
                            </w:pPr>
                            <w:r>
                              <w:rPr/>
                              <w:t>​</w:t>
                            </w:r>
                          </w:p>
                          <w:p>
                            <w:pPr>
                              <w:pStyle w:val="TextBody"/>
                              <w:bidi w:val="0"/>
                              <w:spacing w:before="0" w:after="283"/>
                              <w:ind w:left="0" w:right="0" w:hanging="0"/>
                              <w:jc w:val="left"/>
                              <w:rPr>
                                <w:bdr w:val="single" w:sz="8" w:space="1" w:color="83AD40"/>
                              </w:rPr>
                            </w:pPr>
                            <w:r>
                              <w:rPr>
                                <w:bdr w:val="single" w:sz="8" w:space="1" w:color="83AD40"/>
                              </w:rPr>
                              <w:t>​</w:t>
                            </w:r>
                          </w:p>
                          <w:p>
                            <w:pPr>
                              <w:pStyle w:val="TextBody"/>
                              <w:bidi w:val="0"/>
                              <w:spacing w:lineRule="atLeast" w:line="260" w:before="480" w:after="283"/>
                              <w:jc w:val="left"/>
                              <w:rPr>
                                <w:b/>
                                <w:color w:val="1F2668"/>
                                <w:sz w:val="22"/>
                              </w:rPr>
                            </w:pPr>
                            <w:r>
                              <w:rPr>
                                <w:b/>
                                <w:color w:val="1F2668"/>
                                <w:spacing w:val="-2"/>
                                <w:sz w:val="22"/>
                              </w:rPr>
                              <w:t>Skills, Experiences and Attributes</w:t>
                            </w:r>
                            <w:r>
                              <w:rPr>
                                <w:b/>
                                <w:color w:val="000000"/>
                                <w:spacing w:val="4"/>
                                <w:sz w:val="22"/>
                              </w:rPr>
                              <w:t xml:space="preserve"> </w:t>
                            </w:r>
                          </w:p>
                          <w:tbl>
                            <w:tblPr>
                              <w:tblW w:w="8525" w:type="dxa"/>
                              <w:jc w:val="left"/>
                              <w:tblInd w:w="0" w:type="dxa"/>
                              <w:tblLayout w:type="fixed"/>
                              <w:tblCellMar>
                                <w:top w:w="0" w:type="dxa"/>
                                <w:left w:w="0" w:type="dxa"/>
                                <w:bottom w:w="0" w:type="dxa"/>
                                <w:right w:w="0" w:type="dxa"/>
                              </w:tblCellMar>
                            </w:tblPr>
                            <w:tblGrid>
                              <w:gridCol w:w="124"/>
                              <w:gridCol w:w="731"/>
                              <w:gridCol w:w="109"/>
                              <w:gridCol w:w="109"/>
                              <w:gridCol w:w="2644"/>
                              <w:gridCol w:w="109"/>
                              <w:gridCol w:w="109"/>
                              <w:gridCol w:w="686"/>
                              <w:gridCol w:w="109"/>
                              <w:gridCol w:w="109"/>
                              <w:gridCol w:w="3532"/>
                              <w:gridCol w:w="154"/>
                            </w:tblGrid>
                            <w:tr>
                              <w:trPr/>
                              <w:tc>
                                <w:tcPr>
                                  <w:tcW w:w="124" w:type="dxa"/>
                                  <w:tcBorders/>
                                  <w:vAlign w:val="center"/>
                                </w:tcPr>
                                <w:p>
                                  <w:pPr>
                                    <w:pStyle w:val="TableContents"/>
                                    <w:bidi w:val="0"/>
                                    <w:spacing w:before="0" w:after="283"/>
                                    <w:jc w:val="left"/>
                                    <w:rPr/>
                                  </w:pPr>
                                  <w:r>
                                    <w:rPr/>
                                    <w:t>​</w:t>
                                  </w:r>
                                </w:p>
                              </w:tc>
                              <w:tc>
                                <w:tcPr>
                                  <w:tcW w:w="731" w:type="dxa"/>
                                  <w:tcBorders/>
                                  <w:vAlign w:val="center"/>
                                </w:tcPr>
                                <w:p>
                                  <w:pPr>
                                    <w:pStyle w:val="TableContents"/>
                                    <w:bidi w:val="0"/>
                                    <w:spacing w:before="0" w:after="0"/>
                                    <w:jc w:val="left"/>
                                    <w:rPr/>
                                  </w:pPr>
                                  <w:r>
                                    <w:rPr/>
                                    <w:drawing>
                                      <wp:inline distT="0" distB="0" distL="0" distR="0">
                                        <wp:extent cx="352425" cy="409575"/>
                                        <wp:effectExtent l="0" t="0" r="0" b="0"/>
                                        <wp:docPr id="241"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Image138" descr=""/>
                                                <pic:cNvPicPr>
                                                  <a:picLocks noChangeAspect="1" noChangeArrowheads="1"/>
                                                </pic:cNvPicPr>
                                              </pic:nvPicPr>
                                              <pic:blipFill>
                                                <a:blip r:embed="rId165"/>
                                                <a:stretch>
                                                  <a:fillRect/>
                                                </a:stretch>
                                              </pic:blipFill>
                                              <pic:spPr bwMode="auto">
                                                <a:xfrm>
                                                  <a:off x="0" y="0"/>
                                                  <a:ext cx="352425" cy="4095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644"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Risk Management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8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33375" cy="304800"/>
                                        <wp:effectExtent l="0" t="0" r="0" b="0"/>
                                        <wp:docPr id="242"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139" descr=""/>
                                                <pic:cNvPicPr>
                                                  <a:picLocks noChangeAspect="1" noChangeArrowheads="1"/>
                                                </pic:cNvPicPr>
                                              </pic:nvPicPr>
                                              <pic:blipFill>
                                                <a:blip r:embed="rId166"/>
                                                <a:stretch>
                                                  <a:fillRect/>
                                                </a:stretch>
                                              </pic:blipFill>
                                              <pic:spPr bwMode="auto">
                                                <a:xfrm>
                                                  <a:off x="0" y="0"/>
                                                  <a:ext cx="333375" cy="3048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532"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REIT/Real Estate Industry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1"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33375" cy="257175"/>
                                        <wp:effectExtent l="0" t="0" r="0" b="0"/>
                                        <wp:docPr id="243"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Image140" descr=""/>
                                                <pic:cNvPicPr>
                                                  <a:picLocks noChangeAspect="1" noChangeArrowheads="1"/>
                                                </pic:cNvPicPr>
                                              </pic:nvPicPr>
                                              <pic:blipFill>
                                                <a:blip r:embed="rId167"/>
                                                <a:stretch>
                                                  <a:fillRect/>
                                                </a:stretch>
                                              </pic:blipFill>
                                              <pic:spPr bwMode="auto">
                                                <a:xfrm>
                                                  <a:off x="0" y="0"/>
                                                  <a:ext cx="333375" cy="2571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644"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Academia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8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42900" cy="381000"/>
                                        <wp:effectExtent l="0" t="0" r="0" b="0"/>
                                        <wp:docPr id="244"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141" descr=""/>
                                                <pic:cNvPicPr>
                                                  <a:picLocks noChangeAspect="1" noChangeArrowheads="1"/>
                                                </pic:cNvPicPr>
                                              </pic:nvPicPr>
                                              <pic:blipFill>
                                                <a:blip r:embed="rId168"/>
                                                <a:stretch>
                                                  <a:fillRect/>
                                                </a:stretch>
                                              </pic:blipFill>
                                              <pic:spPr bwMode="auto">
                                                <a:xfrm>
                                                  <a:off x="0" y="0"/>
                                                  <a:ext cx="342900" cy="3810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532"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Government/Regulatory Experience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1"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71475" cy="295275"/>
                                        <wp:effectExtent l="0" t="0" r="0" b="0"/>
                                        <wp:docPr id="245"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Image142" descr=""/>
                                                <pic:cNvPicPr>
                                                  <a:picLocks noChangeAspect="1" noChangeArrowheads="1"/>
                                                </pic:cNvPicPr>
                                              </pic:nvPicPr>
                                              <pic:blipFill>
                                                <a:blip r:embed="rId169"/>
                                                <a:stretch>
                                                  <a:fillRect/>
                                                </a:stretch>
                                              </pic:blipFill>
                                              <pic:spPr bwMode="auto">
                                                <a:xfrm>
                                                  <a:off x="0" y="0"/>
                                                  <a:ext cx="371475" cy="2952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644"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Technology/Cybersecurity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86"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532"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61pt;height:625.95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500" w:after="283"/>
                        <w:jc w:val="left"/>
                        <w:rPr/>
                      </w:pPr>
                      <w:r>
                        <w:rPr>
                          <w:spacing w:val="-2"/>
                        </w:rPr>
                        <w:t>Ms. Brown’s extensive experience in academia, including teaching and writing in the areas of property, land use planning, real estate transactions and housing law, contribute a unique and valuable perspective to the Board.</w:t>
                      </w:r>
                      <w:r>
                        <w:rPr>
                          <w:spacing w:val="4"/>
                        </w:rPr>
                        <w:t xml:space="preserve"> </w:t>
                      </w:r>
                    </w:p>
                    <w:p>
                      <w:pPr>
                        <w:pStyle w:val="TextBody"/>
                        <w:bidi w:val="0"/>
                        <w:spacing w:before="0" w:after="283"/>
                        <w:ind w:left="0" w:right="0" w:hanging="0"/>
                        <w:jc w:val="left"/>
                        <w:rPr>
                          <w:bdr w:val="single" w:sz="8" w:space="1" w:color="83AD40"/>
                        </w:rPr>
                      </w:pPr>
                      <w:r>
                        <w:rPr>
                          <w:bdr w:val="single" w:sz="8" w:space="1" w:color="83AD40"/>
                        </w:rPr>
                        <w:t>​</w:t>
                      </w:r>
                    </w:p>
                    <w:p>
                      <w:pPr>
                        <w:pStyle w:val="TextBody"/>
                        <w:bidi w:val="0"/>
                        <w:spacing w:lineRule="atLeast" w:line="260" w:before="480" w:after="283"/>
                        <w:jc w:val="left"/>
                        <w:rPr>
                          <w:b/>
                          <w:color w:val="1F2668"/>
                          <w:sz w:val="22"/>
                        </w:rPr>
                      </w:pPr>
                      <w:r>
                        <w:rPr>
                          <w:b/>
                          <w:color w:val="1F2668"/>
                          <w:spacing w:val="-2"/>
                          <w:sz w:val="22"/>
                        </w:rPr>
                        <w:t>Professional Experience</w:t>
                      </w:r>
                      <w:r>
                        <w:rPr>
                          <w:b/>
                          <w:color w:val="000000"/>
                          <w:spacing w:val="4"/>
                          <w:sz w:val="22"/>
                        </w:rPr>
                        <w:t xml:space="preserve"> </w:t>
                      </w:r>
                    </w:p>
                    <w:p>
                      <w:pPr>
                        <w:pStyle w:val="TextBody"/>
                        <w:bidi w:val="0"/>
                        <w:spacing w:lineRule="atLeast" w:line="220" w:before="160" w:after="0"/>
                        <w:ind w:left="200" w:right="0" w:hanging="0"/>
                        <w:jc w:val="left"/>
                        <w:rPr/>
                      </w:pPr>
                      <w:r>
                        <w:rPr>
                          <w:spacing w:val="-2"/>
                        </w:rPr>
                        <w:t>Professor at the University of Richmond School of Law since 2012, teaching Property Law Survey, Housing Law, Land Use Planning, and Real Estate Transactions</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60" w:after="0"/>
                        <w:ind w:left="200" w:right="0" w:hanging="0"/>
                        <w:jc w:val="left"/>
                        <w:rPr/>
                      </w:pPr>
                      <w:r>
                        <w:rPr>
                          <w:spacing w:val="-2"/>
                        </w:rPr>
                        <w:t>Former Professor at the University of North Carolina School of Law from 2008 to 2012 and Associate Professor from 2007 to 2008</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60" w:after="0"/>
                        <w:ind w:left="200" w:right="0" w:hanging="0"/>
                        <w:jc w:val="left"/>
                        <w:rPr/>
                      </w:pPr>
                      <w:r>
                        <w:rPr>
                          <w:spacing w:val="-2"/>
                        </w:rPr>
                        <w:t>Former Associate Professor of Law at the University of Alabama School of Law, and Assistant Professor from 2001 to 2004</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60" w:after="0"/>
                        <w:ind w:left="200" w:right="0" w:hanging="0"/>
                        <w:jc w:val="left"/>
                        <w:rPr/>
                      </w:pPr>
                      <w:r>
                        <w:rPr>
                          <w:spacing w:val="-2"/>
                        </w:rPr>
                        <w:t>Former Associate at Sirote &amp; Permutt, P.C. in Birmingham, Alabama focusing on general business, real estate, and consumer finance</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60" w:after="0"/>
                        <w:ind w:left="200" w:right="0" w:hanging="0"/>
                        <w:jc w:val="left"/>
                        <w:rPr/>
                      </w:pPr>
                      <w:r>
                        <w:rPr>
                          <w:spacing w:val="-2"/>
                        </w:rPr>
                        <w:t>Former Associate at McGuire, Woods, Battle &amp; Bootle, L.L.P. in Richmond, Virginia focusing on labor and employment discrimination</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60" w:after="0"/>
                        <w:ind w:left="200" w:right="0" w:hanging="0"/>
                        <w:jc w:val="left"/>
                        <w:rPr/>
                      </w:pPr>
                      <w:r>
                        <w:rPr>
                          <w:spacing w:val="-2"/>
                        </w:rPr>
                        <w:t>Former Judicial Law Clerk for the Honorable Sharon L. Blackburn, United States District Court, Northern District of Alabama</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60" w:after="0"/>
                        <w:ind w:left="200" w:right="0" w:hanging="0"/>
                        <w:jc w:val="left"/>
                        <w:rPr/>
                      </w:pPr>
                      <w:r>
                        <w:rPr>
                          <w:spacing w:val="-2"/>
                        </w:rPr>
                        <w:t>B.A. from Duke University and J.D./L.L.M. from Duke University School of Law</w:t>
                      </w:r>
                      <w:r>
                        <w:rPr>
                          <w:spacing w:val="4"/>
                        </w:rPr>
                        <w:t xml:space="preserve"> </w:t>
                      </w:r>
                    </w:p>
                    <w:p>
                      <w:pPr>
                        <w:pStyle w:val="TextBody"/>
                        <w:bidi w:val="0"/>
                        <w:spacing w:before="0" w:after="0"/>
                        <w:ind w:left="0" w:right="0" w:hanging="0"/>
                        <w:jc w:val="left"/>
                        <w:rPr/>
                      </w:pPr>
                      <w:r>
                        <w:rPr/>
                        <w:t>​</w:t>
                      </w:r>
                    </w:p>
                    <w:p>
                      <w:pPr>
                        <w:pStyle w:val="TextBody"/>
                        <w:bidi w:val="0"/>
                        <w:spacing w:before="0" w:after="283"/>
                        <w:ind w:left="0" w:right="0" w:hanging="0"/>
                        <w:jc w:val="left"/>
                        <w:rPr>
                          <w:bdr w:val="single" w:sz="8" w:space="1" w:color="83AD40"/>
                        </w:rPr>
                      </w:pPr>
                      <w:r>
                        <w:rPr>
                          <w:bdr w:val="single" w:sz="8" w:space="1" w:color="83AD40"/>
                        </w:rPr>
                        <w:t>​</w:t>
                      </w:r>
                    </w:p>
                    <w:p>
                      <w:pPr>
                        <w:pStyle w:val="TextBody"/>
                        <w:bidi w:val="0"/>
                        <w:spacing w:lineRule="atLeast" w:line="260" w:before="480" w:after="283"/>
                        <w:jc w:val="left"/>
                        <w:rPr>
                          <w:b/>
                          <w:color w:val="1F2668"/>
                          <w:sz w:val="22"/>
                        </w:rPr>
                      </w:pPr>
                      <w:r>
                        <w:rPr>
                          <w:b/>
                          <w:color w:val="1F2668"/>
                          <w:spacing w:val="-2"/>
                          <w:sz w:val="22"/>
                        </w:rPr>
                        <w:t>Skills, Experiences and Attributes</w:t>
                      </w:r>
                      <w:r>
                        <w:rPr>
                          <w:b/>
                          <w:color w:val="000000"/>
                          <w:spacing w:val="4"/>
                          <w:sz w:val="22"/>
                        </w:rPr>
                        <w:t xml:space="preserve"> </w:t>
                      </w:r>
                    </w:p>
                    <w:tbl>
                      <w:tblPr>
                        <w:tblW w:w="8525" w:type="dxa"/>
                        <w:jc w:val="left"/>
                        <w:tblInd w:w="0" w:type="dxa"/>
                        <w:tblLayout w:type="fixed"/>
                        <w:tblCellMar>
                          <w:top w:w="0" w:type="dxa"/>
                          <w:left w:w="0" w:type="dxa"/>
                          <w:bottom w:w="0" w:type="dxa"/>
                          <w:right w:w="0" w:type="dxa"/>
                        </w:tblCellMar>
                      </w:tblPr>
                      <w:tblGrid>
                        <w:gridCol w:w="124"/>
                        <w:gridCol w:w="731"/>
                        <w:gridCol w:w="109"/>
                        <w:gridCol w:w="109"/>
                        <w:gridCol w:w="2644"/>
                        <w:gridCol w:w="109"/>
                        <w:gridCol w:w="109"/>
                        <w:gridCol w:w="686"/>
                        <w:gridCol w:w="109"/>
                        <w:gridCol w:w="109"/>
                        <w:gridCol w:w="3532"/>
                        <w:gridCol w:w="154"/>
                      </w:tblGrid>
                      <w:tr>
                        <w:trPr/>
                        <w:tc>
                          <w:tcPr>
                            <w:tcW w:w="124" w:type="dxa"/>
                            <w:tcBorders/>
                            <w:vAlign w:val="center"/>
                          </w:tcPr>
                          <w:p>
                            <w:pPr>
                              <w:pStyle w:val="TableContents"/>
                              <w:bidi w:val="0"/>
                              <w:spacing w:before="0" w:after="283"/>
                              <w:jc w:val="left"/>
                              <w:rPr/>
                            </w:pPr>
                            <w:r>
                              <w:rPr/>
                              <w:t>​</w:t>
                            </w:r>
                          </w:p>
                        </w:tc>
                        <w:tc>
                          <w:tcPr>
                            <w:tcW w:w="731" w:type="dxa"/>
                            <w:tcBorders/>
                            <w:vAlign w:val="center"/>
                          </w:tcPr>
                          <w:p>
                            <w:pPr>
                              <w:pStyle w:val="TableContents"/>
                              <w:bidi w:val="0"/>
                              <w:spacing w:before="0" w:after="0"/>
                              <w:jc w:val="left"/>
                              <w:rPr/>
                            </w:pPr>
                            <w:r>
                              <w:rPr/>
                              <w:drawing>
                                <wp:inline distT="0" distB="0" distL="0" distR="0">
                                  <wp:extent cx="352425" cy="409575"/>
                                  <wp:effectExtent l="0" t="0" r="0" b="0"/>
                                  <wp:docPr id="246"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138" descr=""/>
                                          <pic:cNvPicPr>
                                            <a:picLocks noChangeAspect="1" noChangeArrowheads="1"/>
                                          </pic:cNvPicPr>
                                        </pic:nvPicPr>
                                        <pic:blipFill>
                                          <a:blip r:embed="rId170"/>
                                          <a:stretch>
                                            <a:fillRect/>
                                          </a:stretch>
                                        </pic:blipFill>
                                        <pic:spPr bwMode="auto">
                                          <a:xfrm>
                                            <a:off x="0" y="0"/>
                                            <a:ext cx="352425" cy="4095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644"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Risk Management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8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33375" cy="304800"/>
                                  <wp:effectExtent l="0" t="0" r="0" b="0"/>
                                  <wp:docPr id="247"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Image139" descr=""/>
                                          <pic:cNvPicPr>
                                            <a:picLocks noChangeAspect="1" noChangeArrowheads="1"/>
                                          </pic:cNvPicPr>
                                        </pic:nvPicPr>
                                        <pic:blipFill>
                                          <a:blip r:embed="rId171"/>
                                          <a:stretch>
                                            <a:fillRect/>
                                          </a:stretch>
                                        </pic:blipFill>
                                        <pic:spPr bwMode="auto">
                                          <a:xfrm>
                                            <a:off x="0" y="0"/>
                                            <a:ext cx="333375" cy="3048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532"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REIT/Real Estate Industry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1"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33375" cy="257175"/>
                                  <wp:effectExtent l="0" t="0" r="0" b="0"/>
                                  <wp:docPr id="248"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Image140" descr=""/>
                                          <pic:cNvPicPr>
                                            <a:picLocks noChangeAspect="1" noChangeArrowheads="1"/>
                                          </pic:cNvPicPr>
                                        </pic:nvPicPr>
                                        <pic:blipFill>
                                          <a:blip r:embed="rId172"/>
                                          <a:stretch>
                                            <a:fillRect/>
                                          </a:stretch>
                                        </pic:blipFill>
                                        <pic:spPr bwMode="auto">
                                          <a:xfrm>
                                            <a:off x="0" y="0"/>
                                            <a:ext cx="333375" cy="2571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644"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Academia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8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42900" cy="381000"/>
                                  <wp:effectExtent l="0" t="0" r="0" b="0"/>
                                  <wp:docPr id="249"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Image141" descr=""/>
                                          <pic:cNvPicPr>
                                            <a:picLocks noChangeAspect="1" noChangeArrowheads="1"/>
                                          </pic:cNvPicPr>
                                        </pic:nvPicPr>
                                        <pic:blipFill>
                                          <a:blip r:embed="rId173"/>
                                          <a:stretch>
                                            <a:fillRect/>
                                          </a:stretch>
                                        </pic:blipFill>
                                        <pic:spPr bwMode="auto">
                                          <a:xfrm>
                                            <a:off x="0" y="0"/>
                                            <a:ext cx="342900" cy="3810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532"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Government/Regulatory Experience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1"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71475" cy="295275"/>
                                  <wp:effectExtent l="0" t="0" r="0" b="0"/>
                                  <wp:docPr id="250"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142" descr=""/>
                                          <pic:cNvPicPr>
                                            <a:picLocks noChangeAspect="1" noChangeArrowheads="1"/>
                                          </pic:cNvPicPr>
                                        </pic:nvPicPr>
                                        <pic:blipFill>
                                          <a:blip r:embed="rId174"/>
                                          <a:stretch>
                                            <a:fillRect/>
                                          </a:stretch>
                                        </pic:blipFill>
                                        <pic:spPr bwMode="auto">
                                          <a:xfrm>
                                            <a:off x="0" y="0"/>
                                            <a:ext cx="371475" cy="2952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644"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Technology/Cybersecurity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86"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532"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571500" distR="0" simplePos="0" locked="0" layoutInCell="1" allowOverlap="1" relativeHeight="134">
                <wp:simplePos x="0" y="0"/>
                <wp:positionH relativeFrom="column">
                  <wp:align>left</wp:align>
                </wp:positionH>
                <wp:positionV relativeFrom="line">
                  <wp:posOffset>635</wp:posOffset>
                </wp:positionV>
                <wp:extent cx="1562100" cy="6177280"/>
                <wp:effectExtent l="0" t="0" r="0" b="0"/>
                <wp:wrapSquare wrapText="right"/>
                <wp:docPr id="251" name="Frame83"/>
                <a:graphic xmlns:a="http://schemas.openxmlformats.org/drawingml/2006/main">
                  <a:graphicData uri="http://schemas.microsoft.com/office/word/2010/wordprocessingShape">
                    <wps:wsp>
                      <wps:cNvSpPr txBox="1"/>
                      <wps:spPr>
                        <a:xfrm>
                          <a:off x="0" y="0"/>
                          <a:ext cx="1562100" cy="6177280"/>
                        </a:xfrm>
                        <a:prstGeom prst="rect"/>
                        <a:solidFill>
                          <a:srgbClr val="FFFFFF"/>
                        </a:solidFill>
                      </wps:spPr>
                      <wps:txbx>
                        <w:txbxContent>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4923" w:type="dxa"/>
                              <w:jc w:val="left"/>
                              <w:tblInd w:w="0" w:type="dxa"/>
                              <w:tblLayout w:type="fixed"/>
                              <w:tblCellMar>
                                <w:top w:w="0" w:type="dxa"/>
                                <w:left w:w="0" w:type="dxa"/>
                                <w:bottom w:w="0" w:type="dxa"/>
                                <w:right w:w="0" w:type="dxa"/>
                              </w:tblCellMar>
                            </w:tblPr>
                            <w:tblGrid>
                              <w:gridCol w:w="124"/>
                              <w:gridCol w:w="109"/>
                              <w:gridCol w:w="4427"/>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427" w:type="dxa"/>
                                  <w:tcBorders/>
                                  <w:shd w:fill="1F2668" w:val="clear"/>
                                  <w:vAlign w:val="center"/>
                                </w:tcPr>
                                <w:p>
                                  <w:pPr>
                                    <w:pStyle w:val="TableContents"/>
                                    <w:bidi w:val="0"/>
                                    <w:spacing w:lineRule="atLeast" w:line="280" w:before="0" w:after="0"/>
                                    <w:ind w:left="0" w:right="160" w:hanging="0"/>
                                    <w:jc w:val="left"/>
                                    <w:rPr>
                                      <w:b/>
                                      <w:sz w:val="24"/>
                                    </w:rPr>
                                  </w:pPr>
                                  <w:r>
                                    <w:rPr>
                                      <w:b/>
                                      <w:spacing w:val="-2"/>
                                      <w:sz w:val="24"/>
                                    </w:rPr>
                                    <w:t xml:space="preserve">CAROL N. </w:t>
                                    <w:br/>
                                    <w:t>BROWN</w:t>
                                  </w:r>
                                  <w:r>
                                    <w:rPr>
                                      <w:b/>
                                      <w:sz w:val="24"/>
                                    </w:rPr>
                                    <w:t xml:space="preserve">​ </w:t>
                                  </w:r>
                                </w:p>
                                <w:p>
                                  <w:pPr>
                                    <w:pStyle w:val="TableContents"/>
                                    <w:bidi w:val="0"/>
                                    <w:spacing w:before="200" w:after="283"/>
                                    <w:ind w:left="0" w:right="160" w:hanging="0"/>
                                    <w:jc w:val="left"/>
                                    <w:rPr/>
                                  </w:pPr>
                                  <w:r>
                                    <w:rPr/>
                                    <w:drawing>
                                      <wp:inline distT="0" distB="0" distL="0" distR="0">
                                        <wp:extent cx="1219200" cy="1495425"/>
                                        <wp:effectExtent l="0" t="0" r="0" b="0"/>
                                        <wp:docPr id="252"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Image137" descr=""/>
                                                <pic:cNvPicPr>
                                                  <a:picLocks noChangeAspect="1" noChangeArrowheads="1"/>
                                                </pic:cNvPicPr>
                                              </pic:nvPicPr>
                                              <pic:blipFill>
                                                <a:blip r:embed="rId175"/>
                                                <a:stretch>
                                                  <a:fillRect/>
                                                </a:stretch>
                                              </pic:blipFill>
                                              <pic:spPr bwMode="auto">
                                                <a:xfrm>
                                                  <a:off x="0" y="0"/>
                                                  <a:ext cx="1219200" cy="1495425"/>
                                                </a:xfrm>
                                                <a:prstGeom prst="rect">
                                                  <a:avLst/>
                                                </a:prstGeom>
                                              </pic:spPr>
                                            </pic:pic>
                                          </a:graphicData>
                                        </a:graphic>
                                      </wp:inline>
                                    </w:drawing>
                                  </w:r>
                                  <w:r>
                                    <w:rPr/>
                                    <w:t xml:space="preserve"> </w:t>
                                  </w:r>
                                </w:p>
                                <w:p>
                                  <w:pPr>
                                    <w:pStyle w:val="TableContents"/>
                                    <w:bidi w:val="0"/>
                                    <w:spacing w:lineRule="atLeast" w:line="180" w:before="220" w:after="283"/>
                                    <w:ind w:left="0" w:right="160" w:hanging="0"/>
                                    <w:jc w:val="left"/>
                                    <w:rPr>
                                      <w:b/>
                                    </w:rPr>
                                  </w:pPr>
                                  <w:r>
                                    <w:rPr>
                                      <w:b/>
                                      <w:spacing w:val="-2"/>
                                    </w:rPr>
                                    <w:t>Independent Director</w:t>
                                  </w:r>
                                  <w:r>
                                    <w:rPr>
                                      <w:b/>
                                    </w:rPr>
                                    <w:t xml:space="preserve"> </w:t>
                                  </w:r>
                                </w:p>
                                <w:p>
                                  <w:pPr>
                                    <w:pStyle w:val="TableContents"/>
                                    <w:bidi w:val="0"/>
                                    <w:spacing w:lineRule="atLeast" w:line="180" w:before="160" w:after="283"/>
                                    <w:ind w:left="0" w:right="160" w:hanging="0"/>
                                    <w:jc w:val="left"/>
                                    <w:rPr/>
                                  </w:pPr>
                                  <w:r>
                                    <w:rPr>
                                      <w:spacing w:val="-2"/>
                                    </w:rPr>
                                    <w:t xml:space="preserve">Director Since: </w:t>
                                  </w:r>
                                  <w:r>
                                    <w:rPr>
                                      <w:b/>
                                      <w:spacing w:val="-2"/>
                                    </w:rPr>
                                    <w:t>2022</w:t>
                                  </w:r>
                                  <w:r>
                                    <w:rPr/>
                                    <w:t xml:space="preserve"> </w:t>
                                  </w:r>
                                </w:p>
                                <w:p>
                                  <w:pPr>
                                    <w:pStyle w:val="TableContents"/>
                                    <w:bidi w:val="0"/>
                                    <w:spacing w:lineRule="atLeast" w:line="180" w:before="160" w:after="283"/>
                                    <w:ind w:left="0" w:right="160" w:hanging="0"/>
                                    <w:jc w:val="left"/>
                                    <w:rPr/>
                                  </w:pPr>
                                  <w:r>
                                    <w:rPr>
                                      <w:spacing w:val="-2"/>
                                    </w:rPr>
                                    <w:t xml:space="preserve">Age: </w:t>
                                  </w:r>
                                  <w:r>
                                    <w:rPr>
                                      <w:b/>
                                      <w:spacing w:val="-2"/>
                                    </w:rPr>
                                    <w:t>56</w:t>
                                  </w:r>
                                  <w:r>
                                    <w:rPr/>
                                    <w:t xml:space="preserve"> </w:t>
                                  </w:r>
                                </w:p>
                                <w:p>
                                  <w:pPr>
                                    <w:pStyle w:val="TableContents"/>
                                    <w:bidi w:val="0"/>
                                    <w:spacing w:lineRule="atLeast" w:line="220" w:before="160" w:after="283"/>
                                    <w:ind w:left="0" w:right="160" w:hanging="0"/>
                                    <w:jc w:val="left"/>
                                    <w:rPr>
                                      <w:spacing w:val="-2"/>
                                    </w:rPr>
                                  </w:pPr>
                                  <w:r>
                                    <w:rPr>
                                      <w:spacing w:val="-2"/>
                                    </w:rPr>
                                    <w:t xml:space="preserve">SL Green </w:t>
                                    <w:br/>
                                    <w:t xml:space="preserve">Board Service: </w:t>
                                  </w:r>
                                </w:p>
                                <w:p>
                                  <w:pPr>
                                    <w:pStyle w:val="TableContents"/>
                                    <w:bidi w:val="0"/>
                                    <w:spacing w:lineRule="atLeast" w:line="180" w:before="160" w:after="0"/>
                                    <w:ind w:left="180" w:right="160" w:hanging="0"/>
                                    <w:jc w:val="left"/>
                                    <w:rPr/>
                                  </w:pPr>
                                  <w:r>
                                    <w:rPr>
                                      <w:b/>
                                      <w:spacing w:val="-2"/>
                                    </w:rPr>
                                    <w:t>Audit Committee</w:t>
                                  </w:r>
                                  <w:r>
                                    <w:rPr/>
                                    <w:t xml:space="preserve"> </w:t>
                                  </w:r>
                                </w:p>
                                <w:p>
                                  <w:pPr>
                                    <w:pStyle w:val="TableContents"/>
                                    <w:bidi w:val="0"/>
                                    <w:spacing w:before="0" w:after="0"/>
                                    <w:ind w:left="0" w:right="0" w:hanging="0"/>
                                    <w:jc w:val="left"/>
                                    <w:rPr/>
                                  </w:pPr>
                                  <w:r>
                                    <w:rPr/>
                                    <w:t>​</w:t>
                                  </w:r>
                                </w:p>
                                <w:p>
                                  <w:pPr>
                                    <w:pStyle w:val="TableContents"/>
                                    <w:bidi w:val="0"/>
                                    <w:spacing w:lineRule="atLeast" w:line="220" w:before="160" w:after="0"/>
                                    <w:ind w:left="180" w:right="160" w:hanging="0"/>
                                    <w:jc w:val="left"/>
                                    <w:rPr>
                                      <w:b/>
                                    </w:rPr>
                                  </w:pPr>
                                  <w:r>
                                    <w:rPr>
                                      <w:b/>
                                      <w:spacing w:val="-2"/>
                                    </w:rPr>
                                    <w:t xml:space="preserve">Nominating </w:t>
                                    <w:br/>
                                    <w:t>and Corporate Governance Committee</w:t>
                                  </w:r>
                                  <w:r>
                                    <w:rPr>
                                      <w:b/>
                                    </w:rPr>
                                    <w:t xml:space="preserve"> </w: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54" w:type="dxa"/>
                                  <w:tcBorders/>
                                  <w:shd w:fill="1F2668" w:val="clear"/>
                                  <w:vAlign w:val="center"/>
                                </w:tcPr>
                                <w:p>
                                  <w:pPr>
                                    <w:pStyle w:val="TableContents"/>
                                    <w:bidi w:val="0"/>
                                    <w:spacing w:before="0" w:after="283"/>
                                    <w:jc w:val="left"/>
                                    <w:rPr/>
                                  </w:pPr>
                                  <w:r>
                                    <w:rPr/>
                                    <w:t>​</w:t>
                                  </w:r>
                                </w:p>
                              </w:tc>
                            </w:tr>
                          </w:tbl>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23pt;height:486.4pt;mso-wrap-distance-left:45pt;mso-wrap-distance-right:0pt;mso-wrap-distance-top:0pt;mso-wrap-distance-bottom:0pt;margin-top:0pt;mso-position-vertical:top;mso-position-vertical-relative:text;margin-left:213pt;mso-position-horizontal:left;mso-position-horizontal-relative:text">
                <v:textbox>
                  <w:txbxContent>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4923" w:type="dxa"/>
                        <w:jc w:val="left"/>
                        <w:tblInd w:w="0" w:type="dxa"/>
                        <w:tblLayout w:type="fixed"/>
                        <w:tblCellMar>
                          <w:top w:w="0" w:type="dxa"/>
                          <w:left w:w="0" w:type="dxa"/>
                          <w:bottom w:w="0" w:type="dxa"/>
                          <w:right w:w="0" w:type="dxa"/>
                        </w:tblCellMar>
                      </w:tblPr>
                      <w:tblGrid>
                        <w:gridCol w:w="124"/>
                        <w:gridCol w:w="109"/>
                        <w:gridCol w:w="4427"/>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427" w:type="dxa"/>
                            <w:tcBorders/>
                            <w:shd w:fill="1F2668" w:val="clear"/>
                            <w:vAlign w:val="center"/>
                          </w:tcPr>
                          <w:p>
                            <w:pPr>
                              <w:pStyle w:val="TableContents"/>
                              <w:bidi w:val="0"/>
                              <w:spacing w:lineRule="atLeast" w:line="280" w:before="0" w:after="0"/>
                              <w:ind w:left="0" w:right="160" w:hanging="0"/>
                              <w:jc w:val="left"/>
                              <w:rPr>
                                <w:b/>
                                <w:sz w:val="24"/>
                              </w:rPr>
                            </w:pPr>
                            <w:r>
                              <w:rPr>
                                <w:b/>
                                <w:spacing w:val="-2"/>
                                <w:sz w:val="24"/>
                              </w:rPr>
                              <w:t xml:space="preserve">CAROL N. </w:t>
                              <w:br/>
                              <w:t>BROWN</w:t>
                            </w:r>
                            <w:r>
                              <w:rPr>
                                <w:b/>
                                <w:sz w:val="24"/>
                              </w:rPr>
                              <w:t xml:space="preserve">​ </w:t>
                            </w:r>
                          </w:p>
                          <w:p>
                            <w:pPr>
                              <w:pStyle w:val="TableContents"/>
                              <w:bidi w:val="0"/>
                              <w:spacing w:before="200" w:after="283"/>
                              <w:ind w:left="0" w:right="160" w:hanging="0"/>
                              <w:jc w:val="left"/>
                              <w:rPr/>
                            </w:pPr>
                            <w:r>
                              <w:rPr/>
                              <w:drawing>
                                <wp:inline distT="0" distB="0" distL="0" distR="0">
                                  <wp:extent cx="1219200" cy="1495425"/>
                                  <wp:effectExtent l="0" t="0" r="0" b="0"/>
                                  <wp:docPr id="253"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Image137" descr=""/>
                                          <pic:cNvPicPr>
                                            <a:picLocks noChangeAspect="1" noChangeArrowheads="1"/>
                                          </pic:cNvPicPr>
                                        </pic:nvPicPr>
                                        <pic:blipFill>
                                          <a:blip r:embed="rId176"/>
                                          <a:stretch>
                                            <a:fillRect/>
                                          </a:stretch>
                                        </pic:blipFill>
                                        <pic:spPr bwMode="auto">
                                          <a:xfrm>
                                            <a:off x="0" y="0"/>
                                            <a:ext cx="1219200" cy="1495425"/>
                                          </a:xfrm>
                                          <a:prstGeom prst="rect">
                                            <a:avLst/>
                                          </a:prstGeom>
                                        </pic:spPr>
                                      </pic:pic>
                                    </a:graphicData>
                                  </a:graphic>
                                </wp:inline>
                              </w:drawing>
                            </w:r>
                            <w:r>
                              <w:rPr/>
                              <w:t xml:space="preserve"> </w:t>
                            </w:r>
                          </w:p>
                          <w:p>
                            <w:pPr>
                              <w:pStyle w:val="TableContents"/>
                              <w:bidi w:val="0"/>
                              <w:spacing w:lineRule="atLeast" w:line="180" w:before="220" w:after="283"/>
                              <w:ind w:left="0" w:right="160" w:hanging="0"/>
                              <w:jc w:val="left"/>
                              <w:rPr>
                                <w:b/>
                              </w:rPr>
                            </w:pPr>
                            <w:r>
                              <w:rPr>
                                <w:b/>
                                <w:spacing w:val="-2"/>
                              </w:rPr>
                              <w:t>Independent Director</w:t>
                            </w:r>
                            <w:r>
                              <w:rPr>
                                <w:b/>
                              </w:rPr>
                              <w:t xml:space="preserve"> </w:t>
                            </w:r>
                          </w:p>
                          <w:p>
                            <w:pPr>
                              <w:pStyle w:val="TableContents"/>
                              <w:bidi w:val="0"/>
                              <w:spacing w:lineRule="atLeast" w:line="180" w:before="160" w:after="283"/>
                              <w:ind w:left="0" w:right="160" w:hanging="0"/>
                              <w:jc w:val="left"/>
                              <w:rPr/>
                            </w:pPr>
                            <w:r>
                              <w:rPr>
                                <w:spacing w:val="-2"/>
                              </w:rPr>
                              <w:t xml:space="preserve">Director Since: </w:t>
                            </w:r>
                            <w:r>
                              <w:rPr>
                                <w:b/>
                                <w:spacing w:val="-2"/>
                              </w:rPr>
                              <w:t>2022</w:t>
                            </w:r>
                            <w:r>
                              <w:rPr/>
                              <w:t xml:space="preserve"> </w:t>
                            </w:r>
                          </w:p>
                          <w:p>
                            <w:pPr>
                              <w:pStyle w:val="TableContents"/>
                              <w:bidi w:val="0"/>
                              <w:spacing w:lineRule="atLeast" w:line="180" w:before="160" w:after="283"/>
                              <w:ind w:left="0" w:right="160" w:hanging="0"/>
                              <w:jc w:val="left"/>
                              <w:rPr/>
                            </w:pPr>
                            <w:r>
                              <w:rPr>
                                <w:spacing w:val="-2"/>
                              </w:rPr>
                              <w:t xml:space="preserve">Age: </w:t>
                            </w:r>
                            <w:r>
                              <w:rPr>
                                <w:b/>
                                <w:spacing w:val="-2"/>
                              </w:rPr>
                              <w:t>56</w:t>
                            </w:r>
                            <w:r>
                              <w:rPr/>
                              <w:t xml:space="preserve"> </w:t>
                            </w:r>
                          </w:p>
                          <w:p>
                            <w:pPr>
                              <w:pStyle w:val="TableContents"/>
                              <w:bidi w:val="0"/>
                              <w:spacing w:lineRule="atLeast" w:line="220" w:before="160" w:after="283"/>
                              <w:ind w:left="0" w:right="160" w:hanging="0"/>
                              <w:jc w:val="left"/>
                              <w:rPr>
                                <w:spacing w:val="-2"/>
                              </w:rPr>
                            </w:pPr>
                            <w:r>
                              <w:rPr>
                                <w:spacing w:val="-2"/>
                              </w:rPr>
                              <w:t xml:space="preserve">SL Green </w:t>
                              <w:br/>
                              <w:t xml:space="preserve">Board Service: </w:t>
                            </w:r>
                          </w:p>
                          <w:p>
                            <w:pPr>
                              <w:pStyle w:val="TableContents"/>
                              <w:bidi w:val="0"/>
                              <w:spacing w:lineRule="atLeast" w:line="180" w:before="160" w:after="0"/>
                              <w:ind w:left="180" w:right="160" w:hanging="0"/>
                              <w:jc w:val="left"/>
                              <w:rPr/>
                            </w:pPr>
                            <w:r>
                              <w:rPr>
                                <w:b/>
                                <w:spacing w:val="-2"/>
                              </w:rPr>
                              <w:t>Audit Committee</w:t>
                            </w:r>
                            <w:r>
                              <w:rPr/>
                              <w:t xml:space="preserve"> </w:t>
                            </w:r>
                          </w:p>
                          <w:p>
                            <w:pPr>
                              <w:pStyle w:val="TableContents"/>
                              <w:bidi w:val="0"/>
                              <w:spacing w:before="0" w:after="0"/>
                              <w:ind w:left="0" w:right="0" w:hanging="0"/>
                              <w:jc w:val="left"/>
                              <w:rPr/>
                            </w:pPr>
                            <w:r>
                              <w:rPr/>
                              <w:t>​</w:t>
                            </w:r>
                          </w:p>
                          <w:p>
                            <w:pPr>
                              <w:pStyle w:val="TableContents"/>
                              <w:bidi w:val="0"/>
                              <w:spacing w:lineRule="atLeast" w:line="220" w:before="160" w:after="0"/>
                              <w:ind w:left="180" w:right="160" w:hanging="0"/>
                              <w:jc w:val="left"/>
                              <w:rPr>
                                <w:b/>
                              </w:rPr>
                            </w:pPr>
                            <w:r>
                              <w:rPr>
                                <w:b/>
                                <w:spacing w:val="-2"/>
                              </w:rPr>
                              <w:t xml:space="preserve">Nominating </w:t>
                              <w:br/>
                              <w:t>and Corporate Governance Committee</w:t>
                            </w:r>
                            <w:r>
                              <w:rPr>
                                <w:b/>
                              </w:rPr>
                              <w:t xml:space="preserve"> </w: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54" w:type="dxa"/>
                            <w:tcBorders/>
                            <w:shd w:fill="1F2668" w:val="clear"/>
                            <w:vAlign w:val="center"/>
                          </w:tcPr>
                          <w:p>
                            <w:pPr>
                              <w:pStyle w:val="TableContents"/>
                              <w:bidi w:val="0"/>
                              <w:spacing w:before="0" w:after="283"/>
                              <w:jc w:val="left"/>
                              <w:rPr/>
                            </w:pPr>
                            <w:r>
                              <w:rPr/>
                              <w:t>​</w:t>
                            </w:r>
                          </w:p>
                        </w:tc>
                      </w:tr>
                    </w:tbl>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101600" distB="0" distL="0" distR="0" simplePos="0" locked="0" layoutInCell="1" allowOverlap="1" relativeHeight="380">
                <wp:simplePos x="0" y="0"/>
                <wp:positionH relativeFrom="column">
                  <wp:align>left</wp:align>
                </wp:positionH>
                <wp:positionV relativeFrom="line">
                  <wp:align>top</wp:align>
                </wp:positionV>
                <wp:extent cx="127000" cy="350520"/>
                <wp:effectExtent l="0" t="0" r="0" b="0"/>
                <wp:wrapSquare wrapText="right"/>
                <wp:docPr id="254" name="Frame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38100" distB="0" distL="0" distR="0" simplePos="0" locked="0" layoutInCell="1" allowOverlap="1" relativeHeight="381">
                <wp:simplePos x="0" y="0"/>
                <wp:positionH relativeFrom="column">
                  <wp:align>left</wp:align>
                </wp:positionH>
                <wp:positionV relativeFrom="line">
                  <wp:align>top</wp:align>
                </wp:positionV>
                <wp:extent cx="127000" cy="350520"/>
                <wp:effectExtent l="0" t="0" r="0" b="0"/>
                <wp:wrapSquare wrapText="right"/>
                <wp:docPr id="255" name="Frame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38100" distB="0" distL="0" distR="0" simplePos="0" locked="0" layoutInCell="1" allowOverlap="1" relativeHeight="382">
                <wp:simplePos x="0" y="0"/>
                <wp:positionH relativeFrom="column">
                  <wp:align>left</wp:align>
                </wp:positionH>
                <wp:positionV relativeFrom="line">
                  <wp:align>top</wp:align>
                </wp:positionV>
                <wp:extent cx="127000" cy="350520"/>
                <wp:effectExtent l="0" t="0" r="0" b="0"/>
                <wp:wrapSquare wrapText="right"/>
                <wp:docPr id="256" name="Frame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38100" distB="0" distL="0" distR="0" simplePos="0" locked="0" layoutInCell="1" allowOverlap="1" relativeHeight="383">
                <wp:simplePos x="0" y="0"/>
                <wp:positionH relativeFrom="column">
                  <wp:align>left</wp:align>
                </wp:positionH>
                <wp:positionV relativeFrom="line">
                  <wp:align>top</wp:align>
                </wp:positionV>
                <wp:extent cx="127000" cy="350520"/>
                <wp:effectExtent l="0" t="0" r="0" b="0"/>
                <wp:wrapSquare wrapText="right"/>
                <wp:docPr id="257" name="Frame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38100" distB="0" distL="0" distR="0" simplePos="0" locked="0" layoutInCell="1" allowOverlap="1" relativeHeight="384">
                <wp:simplePos x="0" y="0"/>
                <wp:positionH relativeFrom="column">
                  <wp:align>left</wp:align>
                </wp:positionH>
                <wp:positionV relativeFrom="line">
                  <wp:align>top</wp:align>
                </wp:positionV>
                <wp:extent cx="127000" cy="350520"/>
                <wp:effectExtent l="0" t="0" r="0" b="0"/>
                <wp:wrapSquare wrapText="right"/>
                <wp:docPr id="258" name="Frame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38100" distB="0" distL="0" distR="0" simplePos="0" locked="0" layoutInCell="1" allowOverlap="1" relativeHeight="385">
                <wp:simplePos x="0" y="0"/>
                <wp:positionH relativeFrom="column">
                  <wp:align>left</wp:align>
                </wp:positionH>
                <wp:positionV relativeFrom="line">
                  <wp:align>top</wp:align>
                </wp:positionV>
                <wp:extent cx="127000" cy="350520"/>
                <wp:effectExtent l="0" t="0" r="0" b="0"/>
                <wp:wrapSquare wrapText="right"/>
                <wp:docPr id="259" name="Frame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38100" distB="0" distL="0" distR="0" simplePos="0" locked="0" layoutInCell="1" allowOverlap="1" relativeHeight="386">
                <wp:simplePos x="0" y="0"/>
                <wp:positionH relativeFrom="column">
                  <wp:align>left</wp:align>
                </wp:positionH>
                <wp:positionV relativeFrom="line">
                  <wp:align>top</wp:align>
                </wp:positionV>
                <wp:extent cx="127000" cy="350520"/>
                <wp:effectExtent l="0" t="0" r="0" b="0"/>
                <wp:wrapSquare wrapText="right"/>
                <wp:docPr id="260" name="Frame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101600" distB="0" distL="0" distR="0" simplePos="0" locked="0" layoutInCell="1" allowOverlap="1" relativeHeight="378">
                <wp:simplePos x="0" y="0"/>
                <wp:positionH relativeFrom="column">
                  <wp:align>left</wp:align>
                </wp:positionH>
                <wp:positionV relativeFrom="line">
                  <wp:align>top</wp:align>
                </wp:positionV>
                <wp:extent cx="114300" cy="350520"/>
                <wp:effectExtent l="0" t="0" r="0" b="0"/>
                <wp:wrapSquare wrapText="right"/>
                <wp:docPr id="261" name="Frame84"/>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101600" distB="0" distL="0" distR="0" simplePos="0" locked="0" layoutInCell="1" allowOverlap="1" relativeHeight="379">
                <wp:simplePos x="0" y="0"/>
                <wp:positionH relativeFrom="column">
                  <wp:align>left</wp:align>
                </wp:positionH>
                <wp:positionV relativeFrom="line">
                  <wp:align>top</wp:align>
                </wp:positionV>
                <wp:extent cx="114300" cy="350520"/>
                <wp:effectExtent l="0" t="0" r="0" b="0"/>
                <wp:wrapSquare wrapText="right"/>
                <wp:docPr id="262" name="Frame85"/>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
                        </w:rPr>
                        <w:br/>
                      </w:r>
                    </w:p>
                  </w:txbxContent>
                </v:textbox>
                <w10:wrap type="square" side="right"/>
              </v:rect>
            </w:pict>
          </mc:Fallback>
        </mc:AlternateConten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8095" w:type="dxa"/>
        <w:jc w:val="left"/>
        <w:tblInd w:w="900" w:type="dxa"/>
        <w:tblLayout w:type="fixed"/>
        <w:tblCellMar>
          <w:top w:w="0" w:type="dxa"/>
          <w:left w:w="0" w:type="dxa"/>
          <w:bottom w:w="0" w:type="dxa"/>
          <w:right w:w="0" w:type="dxa"/>
        </w:tblCellMar>
      </w:tblPr>
      <w:tblGrid>
        <w:gridCol w:w="124"/>
        <w:gridCol w:w="7253"/>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7253" w:type="dxa"/>
            <w:tcBorders/>
            <w:vAlign w:val="center"/>
          </w:tcPr>
          <w:p>
            <w:pPr>
              <w:pStyle w:val="TableContents"/>
              <w:bidi w:val="0"/>
              <w:spacing w:lineRule="atLeast" w:line="200" w:before="0" w:after="0"/>
              <w:jc w:val="left"/>
              <w:rPr/>
            </w:pPr>
            <w:r>
              <w:rPr>
                <w:spacing w:val="-2"/>
              </w:rPr>
              <w:t>OUR BOARD OF DIRECTORS AND CORPORATE GOVERNANCE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color w:val="1F2668"/>
                <w:sz w:val="24"/>
              </w:rPr>
            </w:pPr>
            <w:r>
              <w:rPr>
                <w:color w:val="1F2668"/>
                <w:sz w:val="24"/>
              </w:rPr>
              <w:t>15</w:t>
            </w:r>
          </w:p>
        </w:tc>
        <w:tc>
          <w:tcPr>
            <w:tcW w:w="154" w:type="dxa"/>
            <w:tcBorders/>
            <w:vAlign w:val="center"/>
          </w:tcPr>
          <w:p>
            <w:pPr>
              <w:pStyle w:val="TableContents"/>
              <w:bidi w:val="0"/>
              <w:spacing w:before="0" w:after="283"/>
              <w:jc w:val="left"/>
              <w:rPr/>
            </w:pPr>
            <w:r>
              <w:rPr/>
              <w:t>​</w:t>
            </w:r>
          </w:p>
        </w:tc>
      </w:tr>
    </w:tbl>
    <w:p>
      <w:pPr>
        <w:pStyle w:val="TextBody"/>
        <w:bidi w:val="0"/>
        <w:spacing w:before="0" w:after="0"/>
        <w:ind w:left="900" w:right="0" w:hanging="0"/>
        <w:jc w:val="left"/>
        <w:rPr>
          <w:caps w:val="false"/>
          <w:smallCaps w:val="false"/>
          <w:color w:val="000000"/>
        </w:rPr>
      </w:pPr>
      <w:r>
        <w:rPr>
          <w:caps w:val="false"/>
          <w:smallCaps w:val="false"/>
          <w:color w:val="000000"/>
        </w:rPr>
        <w:t>​</w:t>
      </w:r>
      <w:r>
        <mc:AlternateContent>
          <mc:Choice Requires="wps">
            <w:drawing>
              <wp:anchor behindDoc="0" distT="0" distB="0" distL="254000" distR="0" simplePos="0" locked="0" layoutInCell="1" allowOverlap="1" relativeHeight="71">
                <wp:simplePos x="0" y="0"/>
                <wp:positionH relativeFrom="column">
                  <wp:align>left</wp:align>
                </wp:positionH>
                <wp:positionV relativeFrom="line">
                  <wp:posOffset>635</wp:posOffset>
                </wp:positionV>
                <wp:extent cx="4584700" cy="9972040"/>
                <wp:effectExtent l="0" t="0" r="0" b="0"/>
                <wp:wrapSquare wrapText="right"/>
                <wp:docPr id="263" name="Frame97"/>
                <a:graphic xmlns:a="http://schemas.openxmlformats.org/drawingml/2006/main">
                  <a:graphicData uri="http://schemas.microsoft.com/office/word/2010/wordprocessingShape">
                    <wps:wsp>
                      <wps:cNvSpPr txBox="1"/>
                      <wps:spPr>
                        <a:xfrm>
                          <a:off x="0" y="0"/>
                          <a:ext cx="4584700" cy="9972040"/>
                        </a:xfrm>
                        <a:prstGeom prst="rect"/>
                        <a:solidFill>
                          <a:srgbClr val="FFFFFF"/>
                        </a:solidFill>
                      </wps:spPr>
                      <wps:txbx>
                        <w:txbxContent>
                          <w:p>
                            <w:pPr>
                              <w:pStyle w:val="TextBody"/>
                              <w:bidi w:val="0"/>
                              <w:spacing w:lineRule="atLeast" w:line="230" w:before="500" w:after="283"/>
                              <w:jc w:val="left"/>
                              <w:rPr/>
                            </w:pPr>
                            <w:r>
                              <w:rPr>
                                <w:spacing w:val="-2"/>
                              </w:rPr>
                              <w:t>Ms. Dillard’s sophisticated understanding of tax, real estate, investment programs, finance, compensation and corporate governance, all viewed through the lens of over twenty years of global financial services and technology experience and together with her considerable operational expertise, provide the Board and the Company with deep and practical insight on a broad range of matters.</w:t>
                            </w:r>
                            <w:r>
                              <w:rPr>
                                <w:spacing w:val="4"/>
                              </w:rPr>
                              <w:t xml:space="preserve"> </w:t>
                            </w:r>
                          </w:p>
                          <w:p>
                            <w:pPr>
                              <w:pStyle w:val="TextBody"/>
                              <w:bidi w:val="0"/>
                              <w:spacing w:before="0" w:after="283"/>
                              <w:ind w:left="0" w:right="0" w:hanging="0"/>
                              <w:jc w:val="left"/>
                              <w:rPr>
                                <w:bdr w:val="single" w:sz="8" w:space="1" w:color="83AD40"/>
                              </w:rPr>
                            </w:pPr>
                            <w:r>
                              <w:rPr>
                                <w:bdr w:val="single" w:sz="8" w:space="1" w:color="83AD40"/>
                              </w:rPr>
                              <w:t>​</w:t>
                            </w:r>
                          </w:p>
                          <w:p>
                            <w:pPr>
                              <w:pStyle w:val="TextBody"/>
                              <w:bidi w:val="0"/>
                              <w:spacing w:lineRule="atLeast" w:line="260" w:before="384" w:after="283"/>
                              <w:jc w:val="left"/>
                              <w:rPr>
                                <w:b/>
                                <w:color w:val="1F2668"/>
                                <w:sz w:val="22"/>
                              </w:rPr>
                            </w:pPr>
                            <w:r>
                              <w:rPr>
                                <w:b/>
                                <w:color w:val="1F2668"/>
                                <w:spacing w:val="-2"/>
                                <w:sz w:val="22"/>
                              </w:rPr>
                              <w:t>Professional Experience</w:t>
                            </w:r>
                            <w:r>
                              <w:rPr>
                                <w:b/>
                                <w:color w:val="000000"/>
                                <w:spacing w:val="4"/>
                                <w:sz w:val="22"/>
                              </w:rPr>
                              <w:t xml:space="preserve"> </w:t>
                            </w:r>
                          </w:p>
                          <w:p>
                            <w:pPr>
                              <w:pStyle w:val="TextBody"/>
                              <w:bidi w:val="0"/>
                              <w:spacing w:lineRule="atLeast" w:line="220" w:before="102" w:after="0"/>
                              <w:ind w:left="200" w:right="0" w:hanging="0"/>
                              <w:jc w:val="left"/>
                              <w:rPr/>
                            </w:pPr>
                            <w:r>
                              <w:rPr>
                                <w:spacing w:val="-2"/>
                              </w:rPr>
                              <w:t>Senior Managing Director and Chief Financial Officer of Vista Equity Partners, a leading global investment firm focused exclusively on enterprise software, data and technology-enabled businesses, since April 2022</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Executive Vice President of Investment Intelligence of Nasdaq, Inc., a global technology firm serving the capital markets and other industries, from June 2019 to April 2022</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Managing Director for the Carlyle Group, a global alternative asset manager, from 2011 to May 2019, head of Carlyle’s Investment Solutions Group from December 2015 to May 2019, and member of Carlyle’s Management Committee; joined Carlyle in 2002</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Chief Operating Officer and Chief Financial Officer of Carlyle’s Investment Solutions Group from 2013 to December 2015; former head of Global Tax Department and head of Global Equity Programs; and member of Carlyle’s Transaction Team where she played a significant role in transactions, including Carlyle’s initial public offering</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Served in the Real Estate and Financial Services Group of the Tax Practice of Arthur Andersen, LLP prior to 2002</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B.S. in business administration from the University of Richmond</w:t>
                            </w:r>
                            <w:r>
                              <w:rPr>
                                <w:spacing w:val="4"/>
                              </w:rPr>
                              <w:t xml:space="preserve"> </w:t>
                            </w:r>
                          </w:p>
                          <w:p>
                            <w:pPr>
                              <w:pStyle w:val="TextBody"/>
                              <w:bidi w:val="0"/>
                              <w:spacing w:before="0" w:after="0"/>
                              <w:ind w:left="0" w:right="0" w:hanging="0"/>
                              <w:jc w:val="left"/>
                              <w:rPr/>
                            </w:pPr>
                            <w:r>
                              <w:rPr/>
                              <w:t>​</w:t>
                            </w:r>
                          </w:p>
                          <w:p>
                            <w:pPr>
                              <w:pStyle w:val="TextBody"/>
                              <w:bidi w:val="0"/>
                              <w:spacing w:before="0" w:after="283"/>
                              <w:ind w:left="0" w:right="0" w:hanging="0"/>
                              <w:jc w:val="left"/>
                              <w:rPr>
                                <w:bdr w:val="single" w:sz="8" w:space="1" w:color="83AD40"/>
                              </w:rPr>
                            </w:pPr>
                            <w:r>
                              <w:rPr>
                                <w:bdr w:val="single" w:sz="8" w:space="1" w:color="83AD40"/>
                              </w:rPr>
                              <w:t>​</w:t>
                            </w:r>
                          </w:p>
                          <w:p>
                            <w:pPr>
                              <w:pStyle w:val="TextBody"/>
                              <w:bidi w:val="0"/>
                              <w:spacing w:lineRule="atLeast" w:line="260" w:before="382" w:after="283"/>
                              <w:jc w:val="left"/>
                              <w:rPr>
                                <w:b/>
                                <w:color w:val="1F2668"/>
                                <w:sz w:val="22"/>
                              </w:rPr>
                            </w:pPr>
                            <w:r>
                              <w:rPr>
                                <w:b/>
                                <w:color w:val="1F2668"/>
                                <w:spacing w:val="-2"/>
                                <w:sz w:val="22"/>
                              </w:rPr>
                              <w:t>Skills, Experiences and Attributes</w:t>
                            </w:r>
                            <w:r>
                              <w:rPr>
                                <w:b/>
                                <w:color w:val="000000"/>
                                <w:spacing w:val="4"/>
                                <w:sz w:val="22"/>
                              </w:rPr>
                              <w:t xml:space="preserve"> </w:t>
                            </w:r>
                          </w:p>
                          <w:tbl>
                            <w:tblPr>
                              <w:tblW w:w="10205" w:type="dxa"/>
                              <w:jc w:val="left"/>
                              <w:tblInd w:w="0" w:type="dxa"/>
                              <w:tblLayout w:type="fixed"/>
                              <w:tblCellMar>
                                <w:top w:w="0" w:type="dxa"/>
                                <w:left w:w="0" w:type="dxa"/>
                                <w:bottom w:w="0" w:type="dxa"/>
                                <w:right w:w="0" w:type="dxa"/>
                              </w:tblCellMar>
                            </w:tblPr>
                            <w:tblGrid>
                              <w:gridCol w:w="124"/>
                              <w:gridCol w:w="728"/>
                              <w:gridCol w:w="109"/>
                              <w:gridCol w:w="109"/>
                              <w:gridCol w:w="2594"/>
                              <w:gridCol w:w="109"/>
                              <w:gridCol w:w="109"/>
                              <w:gridCol w:w="803"/>
                              <w:gridCol w:w="109"/>
                              <w:gridCol w:w="109"/>
                              <w:gridCol w:w="5146"/>
                              <w:gridCol w:w="156"/>
                            </w:tblGrid>
                            <w:tr>
                              <w:trPr/>
                              <w:tc>
                                <w:tcPr>
                                  <w:tcW w:w="124" w:type="dxa"/>
                                  <w:tcBorders/>
                                  <w:vAlign w:val="center"/>
                                </w:tcPr>
                                <w:p>
                                  <w:pPr>
                                    <w:pStyle w:val="TableContents"/>
                                    <w:bidi w:val="0"/>
                                    <w:spacing w:before="0" w:after="283"/>
                                    <w:jc w:val="left"/>
                                    <w:rPr/>
                                  </w:pPr>
                                  <w:r>
                                    <w:rPr/>
                                    <w:t>​</w:t>
                                  </w:r>
                                </w:p>
                              </w:tc>
                              <w:tc>
                                <w:tcPr>
                                  <w:tcW w:w="728" w:type="dxa"/>
                                  <w:tcBorders/>
                                  <w:vAlign w:val="center"/>
                                </w:tcPr>
                                <w:p>
                                  <w:pPr>
                                    <w:pStyle w:val="TableContents"/>
                                    <w:bidi w:val="0"/>
                                    <w:spacing w:before="0" w:after="0"/>
                                    <w:jc w:val="left"/>
                                    <w:rPr/>
                                  </w:pPr>
                                  <w:r>
                                    <w:rPr/>
                                    <w:drawing>
                                      <wp:inline distT="0" distB="0" distL="0" distR="0">
                                        <wp:extent cx="371475" cy="390525"/>
                                        <wp:effectExtent l="0" t="0" r="0" b="0"/>
                                        <wp:docPr id="264"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Image144" descr=""/>
                                                <pic:cNvPicPr>
                                                  <a:picLocks noChangeAspect="1" noChangeArrowheads="1"/>
                                                </pic:cNvPicPr>
                                              </pic:nvPicPr>
                                              <pic:blipFill>
                                                <a:blip r:embed="rId177"/>
                                                <a:stretch>
                                                  <a:fillRect/>
                                                </a:stretch>
                                              </pic:blipFill>
                                              <pic:spPr bwMode="auto">
                                                <a:xfrm>
                                                  <a:off x="0" y="0"/>
                                                  <a:ext cx="371475" cy="3905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94"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Executive Leadership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3"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71475" cy="371475"/>
                                        <wp:effectExtent l="0" t="0" r="0" b="0"/>
                                        <wp:docPr id="265"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Image145" descr=""/>
                                                <pic:cNvPicPr>
                                                  <a:picLocks noChangeAspect="1" noChangeArrowheads="1"/>
                                                </pic:cNvPicPr>
                                              </pic:nvPicPr>
                                              <pic:blipFill>
                                                <a:blip r:embed="rId178"/>
                                                <a:stretch>
                                                  <a:fillRect/>
                                                </a:stretch>
                                              </pic:blipFill>
                                              <pic:spPr bwMode="auto">
                                                <a:xfrm>
                                                  <a:off x="0" y="0"/>
                                                  <a:ext cx="371475" cy="3714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146"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Finance/Capital Markets </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28"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52425" cy="409575"/>
                                        <wp:effectExtent l="0" t="0" r="0" b="0"/>
                                        <wp:docPr id="266"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Image146" descr=""/>
                                                <pic:cNvPicPr>
                                                  <a:picLocks noChangeAspect="1" noChangeArrowheads="1"/>
                                                </pic:cNvPicPr>
                                              </pic:nvPicPr>
                                              <pic:blipFill>
                                                <a:blip r:embed="rId179"/>
                                                <a:stretch>
                                                  <a:fillRect/>
                                                </a:stretch>
                                              </pic:blipFill>
                                              <pic:spPr bwMode="auto">
                                                <a:xfrm>
                                                  <a:off x="0" y="0"/>
                                                  <a:ext cx="352425" cy="4095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94"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Risk Management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3"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419100" cy="419100"/>
                                        <wp:effectExtent l="0" t="0" r="0" b="0"/>
                                        <wp:docPr id="267"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Image147" descr=""/>
                                                <pic:cNvPicPr>
                                                  <a:picLocks noChangeAspect="1" noChangeArrowheads="1"/>
                                                </pic:cNvPicPr>
                                              </pic:nvPicPr>
                                              <pic:blipFill>
                                                <a:blip r:embed="rId180"/>
                                                <a:stretch>
                                                  <a:fillRect/>
                                                </a:stretch>
                                              </pic:blipFill>
                                              <pic:spPr bwMode="auto">
                                                <a:xfrm>
                                                  <a:off x="0" y="0"/>
                                                  <a:ext cx="419100" cy="4191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146" w:type="dxa"/>
                                  <w:tcBorders/>
                                  <w:tcMar>
                                    <w:top w:w="28" w:type="dxa"/>
                                    <w:left w:w="28" w:type="dxa"/>
                                    <w:bottom w:w="28" w:type="dxa"/>
                                    <w:right w:w="28" w:type="dxa"/>
                                  </w:tcMar>
                                  <w:vAlign w:val="center"/>
                                </w:tcPr>
                                <w:p>
                                  <w:pPr>
                                    <w:pStyle w:val="TableContents"/>
                                    <w:bidi w:val="0"/>
                                    <w:spacing w:lineRule="atLeast" w:line="220" w:before="0" w:after="0"/>
                                    <w:jc w:val="left"/>
                                    <w:rPr/>
                                  </w:pPr>
                                  <w:r>
                                    <w:rPr>
                                      <w:spacing w:val="-2"/>
                                    </w:rPr>
                                    <w:t>Public Company Board Service/</w:t>
                                  </w:r>
                                  <w:r>
                                    <w:rPr/>
                                    <w:t>​</w:t>
                                  </w:r>
                                  <w:r>
                                    <w:rPr>
                                      <w:spacing w:val="-2"/>
                                    </w:rPr>
                                    <w:t xml:space="preserve">Corporate Governance </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28"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33375" cy="304800"/>
                                        <wp:effectExtent l="0" t="0" r="0" b="0"/>
                                        <wp:docPr id="268"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Image148" descr=""/>
                                                <pic:cNvPicPr>
                                                  <a:picLocks noChangeAspect="1" noChangeArrowheads="1"/>
                                                </pic:cNvPicPr>
                                              </pic:nvPicPr>
                                              <pic:blipFill>
                                                <a:blip r:embed="rId181"/>
                                                <a:stretch>
                                                  <a:fillRect/>
                                                </a:stretch>
                                              </pic:blipFill>
                                              <pic:spPr bwMode="auto">
                                                <a:xfrm>
                                                  <a:off x="0" y="0"/>
                                                  <a:ext cx="333375" cy="3048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94"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REIT/Real Estate Industry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3"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52425" cy="371475"/>
                                        <wp:effectExtent l="0" t="0" r="0" b="0"/>
                                        <wp:docPr id="269"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Image149" descr=""/>
                                                <pic:cNvPicPr>
                                                  <a:picLocks noChangeAspect="1" noChangeArrowheads="1"/>
                                                </pic:cNvPicPr>
                                              </pic:nvPicPr>
                                              <pic:blipFill>
                                                <a:blip r:embed="rId182"/>
                                                <a:stretch>
                                                  <a:fillRect/>
                                                </a:stretch>
                                              </pic:blipFill>
                                              <pic:spPr bwMode="auto">
                                                <a:xfrm>
                                                  <a:off x="0" y="0"/>
                                                  <a:ext cx="352425" cy="3714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146"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Experience Over Several Business Cycles </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28"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52425" cy="352425"/>
                                        <wp:effectExtent l="0" t="0" r="0" b="0"/>
                                        <wp:docPr id="270"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Image150" descr=""/>
                                                <pic:cNvPicPr>
                                                  <a:picLocks noChangeAspect="1" noChangeArrowheads="1"/>
                                                </pic:cNvPicPr>
                                              </pic:nvPicPr>
                                              <pic:blipFill>
                                                <a:blip r:embed="rId183"/>
                                                <a:stretch>
                                                  <a:fillRect/>
                                                </a:stretch>
                                              </pic:blipFill>
                                              <pic:spPr bwMode="auto">
                                                <a:xfrm>
                                                  <a:off x="0" y="0"/>
                                                  <a:ext cx="352425" cy="3524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94"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Talent Management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3"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52425" cy="371475"/>
                                        <wp:effectExtent l="0" t="0" r="0" b="0"/>
                                        <wp:docPr id="271"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Image151" descr=""/>
                                                <pic:cNvPicPr>
                                                  <a:picLocks noChangeAspect="1" noChangeArrowheads="1"/>
                                                </pic:cNvPicPr>
                                              </pic:nvPicPr>
                                              <pic:blipFill>
                                                <a:blip r:embed="rId184"/>
                                                <a:stretch>
                                                  <a:fillRect/>
                                                </a:stretch>
                                              </pic:blipFill>
                                              <pic:spPr bwMode="auto">
                                                <a:xfrm>
                                                  <a:off x="0" y="0"/>
                                                  <a:ext cx="352425" cy="3714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146"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Accounting </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28"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71475" cy="295275"/>
                                        <wp:effectExtent l="0" t="0" r="0" b="0"/>
                                        <wp:docPr id="272"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Image152" descr=""/>
                                                <pic:cNvPicPr>
                                                  <a:picLocks noChangeAspect="1" noChangeArrowheads="1"/>
                                                </pic:cNvPicPr>
                                              </pic:nvPicPr>
                                              <pic:blipFill>
                                                <a:blip r:embed="rId185"/>
                                                <a:stretch>
                                                  <a:fillRect/>
                                                </a:stretch>
                                              </pic:blipFill>
                                              <pic:spPr bwMode="auto">
                                                <a:xfrm>
                                                  <a:off x="0" y="0"/>
                                                  <a:ext cx="371475" cy="2952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94"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Technology/Cybersecurity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3"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146"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61pt;height:785.2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30" w:before="500" w:after="283"/>
                        <w:jc w:val="left"/>
                        <w:rPr/>
                      </w:pPr>
                      <w:r>
                        <w:rPr>
                          <w:spacing w:val="-2"/>
                        </w:rPr>
                        <w:t>Ms. Dillard’s sophisticated understanding of tax, real estate, investment programs, finance, compensation and corporate governance, all viewed through the lens of over twenty years of global financial services and technology experience and together with her considerable operational expertise, provide the Board and the Company with deep and practical insight on a broad range of matters.</w:t>
                      </w:r>
                      <w:r>
                        <w:rPr>
                          <w:spacing w:val="4"/>
                        </w:rPr>
                        <w:t xml:space="preserve"> </w:t>
                      </w:r>
                    </w:p>
                    <w:p>
                      <w:pPr>
                        <w:pStyle w:val="TextBody"/>
                        <w:bidi w:val="0"/>
                        <w:spacing w:before="0" w:after="283"/>
                        <w:ind w:left="0" w:right="0" w:hanging="0"/>
                        <w:jc w:val="left"/>
                        <w:rPr>
                          <w:bdr w:val="single" w:sz="8" w:space="1" w:color="83AD40"/>
                        </w:rPr>
                      </w:pPr>
                      <w:r>
                        <w:rPr>
                          <w:bdr w:val="single" w:sz="8" w:space="1" w:color="83AD40"/>
                        </w:rPr>
                        <w:t>​</w:t>
                      </w:r>
                    </w:p>
                    <w:p>
                      <w:pPr>
                        <w:pStyle w:val="TextBody"/>
                        <w:bidi w:val="0"/>
                        <w:spacing w:lineRule="atLeast" w:line="260" w:before="384" w:after="283"/>
                        <w:jc w:val="left"/>
                        <w:rPr>
                          <w:b/>
                          <w:color w:val="1F2668"/>
                          <w:sz w:val="22"/>
                        </w:rPr>
                      </w:pPr>
                      <w:r>
                        <w:rPr>
                          <w:b/>
                          <w:color w:val="1F2668"/>
                          <w:spacing w:val="-2"/>
                          <w:sz w:val="22"/>
                        </w:rPr>
                        <w:t>Professional Experience</w:t>
                      </w:r>
                      <w:r>
                        <w:rPr>
                          <w:b/>
                          <w:color w:val="000000"/>
                          <w:spacing w:val="4"/>
                          <w:sz w:val="22"/>
                        </w:rPr>
                        <w:t xml:space="preserve"> </w:t>
                      </w:r>
                    </w:p>
                    <w:p>
                      <w:pPr>
                        <w:pStyle w:val="TextBody"/>
                        <w:bidi w:val="0"/>
                        <w:spacing w:lineRule="atLeast" w:line="220" w:before="102" w:after="0"/>
                        <w:ind w:left="200" w:right="0" w:hanging="0"/>
                        <w:jc w:val="left"/>
                        <w:rPr/>
                      </w:pPr>
                      <w:r>
                        <w:rPr>
                          <w:spacing w:val="-2"/>
                        </w:rPr>
                        <w:t>Senior Managing Director and Chief Financial Officer of Vista Equity Partners, a leading global investment firm focused exclusively on enterprise software, data and technology-enabled businesses, since April 2022</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Executive Vice President of Investment Intelligence of Nasdaq, Inc., a global technology firm serving the capital markets and other industries, from June 2019 to April 2022</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Managing Director for the Carlyle Group, a global alternative asset manager, from 2011 to May 2019, head of Carlyle’s Investment Solutions Group from December 2015 to May 2019, and member of Carlyle’s Management Committee; joined Carlyle in 2002</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Chief Operating Officer and Chief Financial Officer of Carlyle’s Investment Solutions Group from 2013 to December 2015; former head of Global Tax Department and head of Global Equity Programs; and member of Carlyle’s Transaction Team where she played a significant role in transactions, including Carlyle’s initial public offering</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Served in the Real Estate and Financial Services Group of the Tax Practice of Arthur Andersen, LLP prior to 2002</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B.S. in business administration from the University of Richmond</w:t>
                      </w:r>
                      <w:r>
                        <w:rPr>
                          <w:spacing w:val="4"/>
                        </w:rPr>
                        <w:t xml:space="preserve"> </w:t>
                      </w:r>
                    </w:p>
                    <w:p>
                      <w:pPr>
                        <w:pStyle w:val="TextBody"/>
                        <w:bidi w:val="0"/>
                        <w:spacing w:before="0" w:after="0"/>
                        <w:ind w:left="0" w:right="0" w:hanging="0"/>
                        <w:jc w:val="left"/>
                        <w:rPr/>
                      </w:pPr>
                      <w:r>
                        <w:rPr/>
                        <w:t>​</w:t>
                      </w:r>
                    </w:p>
                    <w:p>
                      <w:pPr>
                        <w:pStyle w:val="TextBody"/>
                        <w:bidi w:val="0"/>
                        <w:spacing w:before="0" w:after="283"/>
                        <w:ind w:left="0" w:right="0" w:hanging="0"/>
                        <w:jc w:val="left"/>
                        <w:rPr>
                          <w:bdr w:val="single" w:sz="8" w:space="1" w:color="83AD40"/>
                        </w:rPr>
                      </w:pPr>
                      <w:r>
                        <w:rPr>
                          <w:bdr w:val="single" w:sz="8" w:space="1" w:color="83AD40"/>
                        </w:rPr>
                        <w:t>​</w:t>
                      </w:r>
                    </w:p>
                    <w:p>
                      <w:pPr>
                        <w:pStyle w:val="TextBody"/>
                        <w:bidi w:val="0"/>
                        <w:spacing w:lineRule="atLeast" w:line="260" w:before="382" w:after="283"/>
                        <w:jc w:val="left"/>
                        <w:rPr>
                          <w:b/>
                          <w:color w:val="1F2668"/>
                          <w:sz w:val="22"/>
                        </w:rPr>
                      </w:pPr>
                      <w:r>
                        <w:rPr>
                          <w:b/>
                          <w:color w:val="1F2668"/>
                          <w:spacing w:val="-2"/>
                          <w:sz w:val="22"/>
                        </w:rPr>
                        <w:t>Skills, Experiences and Attributes</w:t>
                      </w:r>
                      <w:r>
                        <w:rPr>
                          <w:b/>
                          <w:color w:val="000000"/>
                          <w:spacing w:val="4"/>
                          <w:sz w:val="22"/>
                        </w:rPr>
                        <w:t xml:space="preserve"> </w:t>
                      </w:r>
                    </w:p>
                    <w:tbl>
                      <w:tblPr>
                        <w:tblW w:w="10205" w:type="dxa"/>
                        <w:jc w:val="left"/>
                        <w:tblInd w:w="0" w:type="dxa"/>
                        <w:tblLayout w:type="fixed"/>
                        <w:tblCellMar>
                          <w:top w:w="0" w:type="dxa"/>
                          <w:left w:w="0" w:type="dxa"/>
                          <w:bottom w:w="0" w:type="dxa"/>
                          <w:right w:w="0" w:type="dxa"/>
                        </w:tblCellMar>
                      </w:tblPr>
                      <w:tblGrid>
                        <w:gridCol w:w="124"/>
                        <w:gridCol w:w="728"/>
                        <w:gridCol w:w="109"/>
                        <w:gridCol w:w="109"/>
                        <w:gridCol w:w="2594"/>
                        <w:gridCol w:w="109"/>
                        <w:gridCol w:w="109"/>
                        <w:gridCol w:w="803"/>
                        <w:gridCol w:w="109"/>
                        <w:gridCol w:w="109"/>
                        <w:gridCol w:w="5146"/>
                        <w:gridCol w:w="156"/>
                      </w:tblGrid>
                      <w:tr>
                        <w:trPr/>
                        <w:tc>
                          <w:tcPr>
                            <w:tcW w:w="124" w:type="dxa"/>
                            <w:tcBorders/>
                            <w:vAlign w:val="center"/>
                          </w:tcPr>
                          <w:p>
                            <w:pPr>
                              <w:pStyle w:val="TableContents"/>
                              <w:bidi w:val="0"/>
                              <w:spacing w:before="0" w:after="283"/>
                              <w:jc w:val="left"/>
                              <w:rPr/>
                            </w:pPr>
                            <w:r>
                              <w:rPr/>
                              <w:t>​</w:t>
                            </w:r>
                          </w:p>
                        </w:tc>
                        <w:tc>
                          <w:tcPr>
                            <w:tcW w:w="728" w:type="dxa"/>
                            <w:tcBorders/>
                            <w:vAlign w:val="center"/>
                          </w:tcPr>
                          <w:p>
                            <w:pPr>
                              <w:pStyle w:val="TableContents"/>
                              <w:bidi w:val="0"/>
                              <w:spacing w:before="0" w:after="0"/>
                              <w:jc w:val="left"/>
                              <w:rPr/>
                            </w:pPr>
                            <w:r>
                              <w:rPr/>
                              <w:drawing>
                                <wp:inline distT="0" distB="0" distL="0" distR="0">
                                  <wp:extent cx="371475" cy="390525"/>
                                  <wp:effectExtent l="0" t="0" r="0" b="0"/>
                                  <wp:docPr id="273"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Image144" descr=""/>
                                          <pic:cNvPicPr>
                                            <a:picLocks noChangeAspect="1" noChangeArrowheads="1"/>
                                          </pic:cNvPicPr>
                                        </pic:nvPicPr>
                                        <pic:blipFill>
                                          <a:blip r:embed="rId186"/>
                                          <a:stretch>
                                            <a:fillRect/>
                                          </a:stretch>
                                        </pic:blipFill>
                                        <pic:spPr bwMode="auto">
                                          <a:xfrm>
                                            <a:off x="0" y="0"/>
                                            <a:ext cx="371475" cy="3905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94"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Executive Leadership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3"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71475" cy="371475"/>
                                  <wp:effectExtent l="0" t="0" r="0" b="0"/>
                                  <wp:docPr id="274"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Image145" descr=""/>
                                          <pic:cNvPicPr>
                                            <a:picLocks noChangeAspect="1" noChangeArrowheads="1"/>
                                          </pic:cNvPicPr>
                                        </pic:nvPicPr>
                                        <pic:blipFill>
                                          <a:blip r:embed="rId187"/>
                                          <a:stretch>
                                            <a:fillRect/>
                                          </a:stretch>
                                        </pic:blipFill>
                                        <pic:spPr bwMode="auto">
                                          <a:xfrm>
                                            <a:off x="0" y="0"/>
                                            <a:ext cx="371475" cy="3714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146"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Finance/Capital Markets </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28"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52425" cy="409575"/>
                                  <wp:effectExtent l="0" t="0" r="0" b="0"/>
                                  <wp:docPr id="275"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Image146" descr=""/>
                                          <pic:cNvPicPr>
                                            <a:picLocks noChangeAspect="1" noChangeArrowheads="1"/>
                                          </pic:cNvPicPr>
                                        </pic:nvPicPr>
                                        <pic:blipFill>
                                          <a:blip r:embed="rId188"/>
                                          <a:stretch>
                                            <a:fillRect/>
                                          </a:stretch>
                                        </pic:blipFill>
                                        <pic:spPr bwMode="auto">
                                          <a:xfrm>
                                            <a:off x="0" y="0"/>
                                            <a:ext cx="352425" cy="4095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94"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Risk Management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3"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419100" cy="419100"/>
                                  <wp:effectExtent l="0" t="0" r="0" b="0"/>
                                  <wp:docPr id="276"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Image147" descr=""/>
                                          <pic:cNvPicPr>
                                            <a:picLocks noChangeAspect="1" noChangeArrowheads="1"/>
                                          </pic:cNvPicPr>
                                        </pic:nvPicPr>
                                        <pic:blipFill>
                                          <a:blip r:embed="rId189"/>
                                          <a:stretch>
                                            <a:fillRect/>
                                          </a:stretch>
                                        </pic:blipFill>
                                        <pic:spPr bwMode="auto">
                                          <a:xfrm>
                                            <a:off x="0" y="0"/>
                                            <a:ext cx="419100" cy="4191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146" w:type="dxa"/>
                            <w:tcBorders/>
                            <w:tcMar>
                              <w:top w:w="28" w:type="dxa"/>
                              <w:left w:w="28" w:type="dxa"/>
                              <w:bottom w:w="28" w:type="dxa"/>
                              <w:right w:w="28" w:type="dxa"/>
                            </w:tcMar>
                            <w:vAlign w:val="center"/>
                          </w:tcPr>
                          <w:p>
                            <w:pPr>
                              <w:pStyle w:val="TableContents"/>
                              <w:bidi w:val="0"/>
                              <w:spacing w:lineRule="atLeast" w:line="220" w:before="0" w:after="0"/>
                              <w:jc w:val="left"/>
                              <w:rPr/>
                            </w:pPr>
                            <w:r>
                              <w:rPr>
                                <w:spacing w:val="-2"/>
                              </w:rPr>
                              <w:t>Public Company Board Service/</w:t>
                            </w:r>
                            <w:r>
                              <w:rPr/>
                              <w:t>​</w:t>
                            </w:r>
                            <w:r>
                              <w:rPr>
                                <w:spacing w:val="-2"/>
                              </w:rPr>
                              <w:t xml:space="preserve">Corporate Governance </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28"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33375" cy="304800"/>
                                  <wp:effectExtent l="0" t="0" r="0" b="0"/>
                                  <wp:docPr id="277"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 name="Image148" descr=""/>
                                          <pic:cNvPicPr>
                                            <a:picLocks noChangeAspect="1" noChangeArrowheads="1"/>
                                          </pic:cNvPicPr>
                                        </pic:nvPicPr>
                                        <pic:blipFill>
                                          <a:blip r:embed="rId190"/>
                                          <a:stretch>
                                            <a:fillRect/>
                                          </a:stretch>
                                        </pic:blipFill>
                                        <pic:spPr bwMode="auto">
                                          <a:xfrm>
                                            <a:off x="0" y="0"/>
                                            <a:ext cx="333375" cy="3048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94"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REIT/Real Estate Industry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3"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52425" cy="371475"/>
                                  <wp:effectExtent l="0" t="0" r="0" b="0"/>
                                  <wp:docPr id="278"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Image149" descr=""/>
                                          <pic:cNvPicPr>
                                            <a:picLocks noChangeAspect="1" noChangeArrowheads="1"/>
                                          </pic:cNvPicPr>
                                        </pic:nvPicPr>
                                        <pic:blipFill>
                                          <a:blip r:embed="rId191"/>
                                          <a:stretch>
                                            <a:fillRect/>
                                          </a:stretch>
                                        </pic:blipFill>
                                        <pic:spPr bwMode="auto">
                                          <a:xfrm>
                                            <a:off x="0" y="0"/>
                                            <a:ext cx="352425" cy="3714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146"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Experience Over Several Business Cycles </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28"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52425" cy="352425"/>
                                  <wp:effectExtent l="0" t="0" r="0" b="0"/>
                                  <wp:docPr id="279"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 name="Image150" descr=""/>
                                          <pic:cNvPicPr>
                                            <a:picLocks noChangeAspect="1" noChangeArrowheads="1"/>
                                          </pic:cNvPicPr>
                                        </pic:nvPicPr>
                                        <pic:blipFill>
                                          <a:blip r:embed="rId192"/>
                                          <a:stretch>
                                            <a:fillRect/>
                                          </a:stretch>
                                        </pic:blipFill>
                                        <pic:spPr bwMode="auto">
                                          <a:xfrm>
                                            <a:off x="0" y="0"/>
                                            <a:ext cx="352425" cy="3524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94"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Talent Management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3"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52425" cy="371475"/>
                                  <wp:effectExtent l="0" t="0" r="0" b="0"/>
                                  <wp:docPr id="280"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Image151" descr=""/>
                                          <pic:cNvPicPr>
                                            <a:picLocks noChangeAspect="1" noChangeArrowheads="1"/>
                                          </pic:cNvPicPr>
                                        </pic:nvPicPr>
                                        <pic:blipFill>
                                          <a:blip r:embed="rId193"/>
                                          <a:stretch>
                                            <a:fillRect/>
                                          </a:stretch>
                                        </pic:blipFill>
                                        <pic:spPr bwMode="auto">
                                          <a:xfrm>
                                            <a:off x="0" y="0"/>
                                            <a:ext cx="352425" cy="3714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146"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Accounting </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28"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71475" cy="295275"/>
                                  <wp:effectExtent l="0" t="0" r="0" b="0"/>
                                  <wp:docPr id="281"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 name="Image152" descr=""/>
                                          <pic:cNvPicPr>
                                            <a:picLocks noChangeAspect="1" noChangeArrowheads="1"/>
                                          </pic:cNvPicPr>
                                        </pic:nvPicPr>
                                        <pic:blipFill>
                                          <a:blip r:embed="rId194"/>
                                          <a:stretch>
                                            <a:fillRect/>
                                          </a:stretch>
                                        </pic:blipFill>
                                        <pic:spPr bwMode="auto">
                                          <a:xfrm>
                                            <a:off x="0" y="0"/>
                                            <a:ext cx="371475" cy="2952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94"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Technology/Cybersecurity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3"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146"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571500" distR="0" simplePos="0" locked="0" layoutInCell="1" allowOverlap="1" relativeHeight="83">
                <wp:simplePos x="0" y="0"/>
                <wp:positionH relativeFrom="column">
                  <wp:align>left</wp:align>
                </wp:positionH>
                <wp:positionV relativeFrom="line">
                  <wp:posOffset>635</wp:posOffset>
                </wp:positionV>
                <wp:extent cx="1562100" cy="6205855"/>
                <wp:effectExtent l="0" t="0" r="0" b="0"/>
                <wp:wrapSquare wrapText="right"/>
                <wp:docPr id="282" name="Frame94"/>
                <a:graphic xmlns:a="http://schemas.openxmlformats.org/drawingml/2006/main">
                  <a:graphicData uri="http://schemas.microsoft.com/office/word/2010/wordprocessingShape">
                    <wps:wsp>
                      <wps:cNvSpPr txBox="1"/>
                      <wps:spPr>
                        <a:xfrm>
                          <a:off x="0" y="0"/>
                          <a:ext cx="1562100" cy="6205855"/>
                        </a:xfrm>
                        <a:prstGeom prst="rect"/>
                        <a:solidFill>
                          <a:srgbClr val="FFFFFF"/>
                        </a:solidFill>
                      </wps:spPr>
                      <wps:txbx>
                        <w:txbxContent>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3604" w:type="dxa"/>
                              <w:jc w:val="left"/>
                              <w:tblInd w:w="0" w:type="dxa"/>
                              <w:tblLayout w:type="fixed"/>
                              <w:tblCellMar>
                                <w:top w:w="0" w:type="dxa"/>
                                <w:left w:w="0" w:type="dxa"/>
                                <w:bottom w:w="0" w:type="dxa"/>
                                <w:right w:w="0" w:type="dxa"/>
                              </w:tblCellMar>
                            </w:tblPr>
                            <w:tblGrid>
                              <w:gridCol w:w="124"/>
                              <w:gridCol w:w="109"/>
                              <w:gridCol w:w="3108"/>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108" w:type="dxa"/>
                                  <w:tcBorders/>
                                  <w:shd w:fill="1F2668" w:val="clear"/>
                                  <w:vAlign w:val="center"/>
                                </w:tcPr>
                                <w:p>
                                  <w:pPr>
                                    <w:pStyle w:val="TableContents"/>
                                    <w:bidi w:val="0"/>
                                    <w:spacing w:lineRule="atLeast" w:line="280" w:before="0" w:after="0"/>
                                    <w:ind w:left="0" w:right="160" w:hanging="0"/>
                                    <w:jc w:val="left"/>
                                    <w:rPr>
                                      <w:b/>
                                      <w:sz w:val="24"/>
                                    </w:rPr>
                                  </w:pPr>
                                  <w:r>
                                    <w:rPr>
                                      <w:b/>
                                      <w:spacing w:val="-2"/>
                                      <w:sz w:val="24"/>
                                    </w:rPr>
                                    <w:t xml:space="preserve">LAUREN B. </w:t>
                                    <w:br/>
                                    <w:t>DILLARD</w:t>
                                  </w:r>
                                  <w:r>
                                    <w:rPr>
                                      <w:b/>
                                      <w:sz w:val="24"/>
                                    </w:rPr>
                                    <w:t xml:space="preserve"> </w:t>
                                  </w:r>
                                </w:p>
                                <w:p>
                                  <w:pPr>
                                    <w:pStyle w:val="TableContents"/>
                                    <w:bidi w:val="0"/>
                                    <w:spacing w:before="200" w:after="283"/>
                                    <w:ind w:left="0" w:right="160" w:hanging="0"/>
                                    <w:jc w:val="left"/>
                                    <w:rPr/>
                                  </w:pPr>
                                  <w:r>
                                    <w:rPr/>
                                    <w:drawing>
                                      <wp:inline distT="0" distB="0" distL="0" distR="0">
                                        <wp:extent cx="1219200" cy="1524000"/>
                                        <wp:effectExtent l="0" t="0" r="0" b="0"/>
                                        <wp:docPr id="283"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Image143" descr=""/>
                                                <pic:cNvPicPr>
                                                  <a:picLocks noChangeAspect="1" noChangeArrowheads="1"/>
                                                </pic:cNvPicPr>
                                              </pic:nvPicPr>
                                              <pic:blipFill>
                                                <a:blip r:embed="rId195"/>
                                                <a:stretch>
                                                  <a:fillRect/>
                                                </a:stretch>
                                              </pic:blipFill>
                                              <pic:spPr bwMode="auto">
                                                <a:xfrm>
                                                  <a:off x="0" y="0"/>
                                                  <a:ext cx="1219200" cy="1524000"/>
                                                </a:xfrm>
                                                <a:prstGeom prst="rect">
                                                  <a:avLst/>
                                                </a:prstGeom>
                                              </pic:spPr>
                                            </pic:pic>
                                          </a:graphicData>
                                        </a:graphic>
                                      </wp:inline>
                                    </w:drawing>
                                  </w:r>
                                  <w:r>
                                    <w:rPr/>
                                    <w:t xml:space="preserve"> </w:t>
                                  </w:r>
                                </w:p>
                                <w:p>
                                  <w:pPr>
                                    <w:pStyle w:val="TableContents"/>
                                    <w:bidi w:val="0"/>
                                    <w:spacing w:lineRule="atLeast" w:line="180" w:before="220" w:after="283"/>
                                    <w:ind w:left="0" w:right="160" w:hanging="0"/>
                                    <w:jc w:val="left"/>
                                    <w:rPr>
                                      <w:b/>
                                    </w:rPr>
                                  </w:pPr>
                                  <w:r>
                                    <w:rPr>
                                      <w:b/>
                                      <w:spacing w:val="-2"/>
                                    </w:rPr>
                                    <w:t>Independent Director</w:t>
                                  </w:r>
                                  <w:r>
                                    <w:rPr>
                                      <w:b/>
                                    </w:rPr>
                                    <w:t xml:space="preserve"> </w:t>
                                  </w:r>
                                </w:p>
                                <w:p>
                                  <w:pPr>
                                    <w:pStyle w:val="TableContents"/>
                                    <w:bidi w:val="0"/>
                                    <w:spacing w:lineRule="atLeast" w:line="180" w:before="160" w:after="283"/>
                                    <w:ind w:left="0" w:right="160" w:hanging="0"/>
                                    <w:jc w:val="left"/>
                                    <w:rPr/>
                                  </w:pPr>
                                  <w:r>
                                    <w:rPr>
                                      <w:spacing w:val="-2"/>
                                    </w:rPr>
                                    <w:t xml:space="preserve">Director Since: </w:t>
                                  </w:r>
                                  <w:r>
                                    <w:rPr>
                                      <w:b/>
                                      <w:spacing w:val="-2"/>
                                    </w:rPr>
                                    <w:t>2016</w:t>
                                  </w:r>
                                  <w:r>
                                    <w:rPr/>
                                    <w:t xml:space="preserve"> </w:t>
                                  </w:r>
                                </w:p>
                                <w:p>
                                  <w:pPr>
                                    <w:pStyle w:val="TableContents"/>
                                    <w:bidi w:val="0"/>
                                    <w:spacing w:lineRule="atLeast" w:line="180" w:before="160" w:after="283"/>
                                    <w:ind w:left="0" w:right="160" w:hanging="0"/>
                                    <w:jc w:val="left"/>
                                    <w:rPr/>
                                  </w:pPr>
                                  <w:r>
                                    <w:rPr>
                                      <w:spacing w:val="-2"/>
                                    </w:rPr>
                                    <w:t xml:space="preserve">Age: </w:t>
                                  </w:r>
                                  <w:r>
                                    <w:rPr>
                                      <w:b/>
                                      <w:spacing w:val="-2"/>
                                    </w:rPr>
                                    <w:t>50</w:t>
                                  </w:r>
                                  <w:r>
                                    <w:rPr/>
                                    <w:t xml:space="preserve"> </w:t>
                                  </w:r>
                                </w:p>
                                <w:p>
                                  <w:pPr>
                                    <w:pStyle w:val="TableContents"/>
                                    <w:bidi w:val="0"/>
                                    <w:spacing w:lineRule="atLeast" w:line="220" w:before="160" w:after="283"/>
                                    <w:ind w:left="0" w:right="160" w:hanging="0"/>
                                    <w:jc w:val="left"/>
                                    <w:rPr>
                                      <w:spacing w:val="-2"/>
                                    </w:rPr>
                                  </w:pPr>
                                  <w:r>
                                    <w:rPr>
                                      <w:spacing w:val="-2"/>
                                    </w:rPr>
                                    <w:t xml:space="preserve">SL Green </w:t>
                                    <w:br/>
                                    <w:t xml:space="preserve">Board Service: </w:t>
                                  </w:r>
                                </w:p>
                                <w:p>
                                  <w:pPr>
                                    <w:pStyle w:val="TableContents"/>
                                    <w:bidi w:val="0"/>
                                    <w:spacing w:lineRule="atLeast" w:line="220" w:before="160" w:after="0"/>
                                    <w:ind w:left="180" w:right="160" w:hanging="0"/>
                                    <w:jc w:val="left"/>
                                    <w:rPr/>
                                  </w:pPr>
                                  <w:r>
                                    <w:rPr>
                                      <w:b/>
                                      <w:spacing w:val="-2"/>
                                    </w:rPr>
                                    <w:t>Audit Committee, Chair</w:t>
                                  </w:r>
                                  <w:r>
                                    <w:rPr/>
                                    <w:t xml:space="preserve"> </w:t>
                                  </w:r>
                                </w:p>
                                <w:p>
                                  <w:pPr>
                                    <w:pStyle w:val="TableContents"/>
                                    <w:bidi w:val="0"/>
                                    <w:spacing w:before="0" w:after="0"/>
                                    <w:ind w:left="0" w:right="0" w:hanging="0"/>
                                    <w:jc w:val="left"/>
                                    <w:rPr/>
                                  </w:pPr>
                                  <w:r>
                                    <w:rPr/>
                                    <w:t>​</w:t>
                                  </w:r>
                                </w:p>
                                <w:p>
                                  <w:pPr>
                                    <w:pStyle w:val="TableContents"/>
                                    <w:bidi w:val="0"/>
                                    <w:spacing w:lineRule="atLeast" w:line="220" w:before="160" w:after="0"/>
                                    <w:ind w:left="180" w:right="160" w:hanging="0"/>
                                    <w:jc w:val="left"/>
                                    <w:rPr>
                                      <w:b/>
                                    </w:rPr>
                                  </w:pPr>
                                  <w:r>
                                    <w:rPr>
                                      <w:b/>
                                      <w:spacing w:val="-2"/>
                                    </w:rPr>
                                    <w:t>Compensation Committee</w:t>
                                  </w:r>
                                  <w:r>
                                    <w:rPr>
                                      <w:b/>
                                    </w:rPr>
                                    <w:t xml:space="preserve"> </w: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54" w:type="dxa"/>
                                  <w:tcBorders/>
                                  <w:shd w:fill="1F2668" w:val="clear"/>
                                  <w:vAlign w:val="center"/>
                                </w:tcPr>
                                <w:p>
                                  <w:pPr>
                                    <w:pStyle w:val="TableContents"/>
                                    <w:bidi w:val="0"/>
                                    <w:spacing w:before="0" w:after="283"/>
                                    <w:jc w:val="left"/>
                                    <w:rPr/>
                                  </w:pPr>
                                  <w:r>
                                    <w:rPr/>
                                    <w:t>​</w:t>
                                  </w:r>
                                </w:p>
                              </w:tc>
                            </w:tr>
                          </w:tbl>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23pt;height:488.65pt;mso-wrap-distance-left:45pt;mso-wrap-distance-right:0pt;mso-wrap-distance-top:0pt;mso-wrap-distance-bottom:0pt;margin-top:0pt;mso-position-vertical:top;mso-position-vertical-relative:text;margin-left:45pt;mso-position-horizontal:left;mso-position-horizontal-relative:text">
                <v:textbox>
                  <w:txbxContent>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3604" w:type="dxa"/>
                        <w:jc w:val="left"/>
                        <w:tblInd w:w="0" w:type="dxa"/>
                        <w:tblLayout w:type="fixed"/>
                        <w:tblCellMar>
                          <w:top w:w="0" w:type="dxa"/>
                          <w:left w:w="0" w:type="dxa"/>
                          <w:bottom w:w="0" w:type="dxa"/>
                          <w:right w:w="0" w:type="dxa"/>
                        </w:tblCellMar>
                      </w:tblPr>
                      <w:tblGrid>
                        <w:gridCol w:w="124"/>
                        <w:gridCol w:w="109"/>
                        <w:gridCol w:w="3108"/>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108" w:type="dxa"/>
                            <w:tcBorders/>
                            <w:shd w:fill="1F2668" w:val="clear"/>
                            <w:vAlign w:val="center"/>
                          </w:tcPr>
                          <w:p>
                            <w:pPr>
                              <w:pStyle w:val="TableContents"/>
                              <w:bidi w:val="0"/>
                              <w:spacing w:lineRule="atLeast" w:line="280" w:before="0" w:after="0"/>
                              <w:ind w:left="0" w:right="160" w:hanging="0"/>
                              <w:jc w:val="left"/>
                              <w:rPr>
                                <w:b/>
                                <w:sz w:val="24"/>
                              </w:rPr>
                            </w:pPr>
                            <w:r>
                              <w:rPr>
                                <w:b/>
                                <w:spacing w:val="-2"/>
                                <w:sz w:val="24"/>
                              </w:rPr>
                              <w:t xml:space="preserve">LAUREN B. </w:t>
                              <w:br/>
                              <w:t>DILLARD</w:t>
                            </w:r>
                            <w:r>
                              <w:rPr>
                                <w:b/>
                                <w:sz w:val="24"/>
                              </w:rPr>
                              <w:t xml:space="preserve"> </w:t>
                            </w:r>
                          </w:p>
                          <w:p>
                            <w:pPr>
                              <w:pStyle w:val="TableContents"/>
                              <w:bidi w:val="0"/>
                              <w:spacing w:before="200" w:after="283"/>
                              <w:ind w:left="0" w:right="160" w:hanging="0"/>
                              <w:jc w:val="left"/>
                              <w:rPr/>
                            </w:pPr>
                            <w:r>
                              <w:rPr/>
                              <w:drawing>
                                <wp:inline distT="0" distB="0" distL="0" distR="0">
                                  <wp:extent cx="1219200" cy="1524000"/>
                                  <wp:effectExtent l="0" t="0" r="0" b="0"/>
                                  <wp:docPr id="284"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Image143" descr=""/>
                                          <pic:cNvPicPr>
                                            <a:picLocks noChangeAspect="1" noChangeArrowheads="1"/>
                                          </pic:cNvPicPr>
                                        </pic:nvPicPr>
                                        <pic:blipFill>
                                          <a:blip r:embed="rId196"/>
                                          <a:stretch>
                                            <a:fillRect/>
                                          </a:stretch>
                                        </pic:blipFill>
                                        <pic:spPr bwMode="auto">
                                          <a:xfrm>
                                            <a:off x="0" y="0"/>
                                            <a:ext cx="1219200" cy="1524000"/>
                                          </a:xfrm>
                                          <a:prstGeom prst="rect">
                                            <a:avLst/>
                                          </a:prstGeom>
                                        </pic:spPr>
                                      </pic:pic>
                                    </a:graphicData>
                                  </a:graphic>
                                </wp:inline>
                              </w:drawing>
                            </w:r>
                            <w:r>
                              <w:rPr/>
                              <w:t xml:space="preserve"> </w:t>
                            </w:r>
                          </w:p>
                          <w:p>
                            <w:pPr>
                              <w:pStyle w:val="TableContents"/>
                              <w:bidi w:val="0"/>
                              <w:spacing w:lineRule="atLeast" w:line="180" w:before="220" w:after="283"/>
                              <w:ind w:left="0" w:right="160" w:hanging="0"/>
                              <w:jc w:val="left"/>
                              <w:rPr>
                                <w:b/>
                              </w:rPr>
                            </w:pPr>
                            <w:r>
                              <w:rPr>
                                <w:b/>
                                <w:spacing w:val="-2"/>
                              </w:rPr>
                              <w:t>Independent Director</w:t>
                            </w:r>
                            <w:r>
                              <w:rPr>
                                <w:b/>
                              </w:rPr>
                              <w:t xml:space="preserve"> </w:t>
                            </w:r>
                          </w:p>
                          <w:p>
                            <w:pPr>
                              <w:pStyle w:val="TableContents"/>
                              <w:bidi w:val="0"/>
                              <w:spacing w:lineRule="atLeast" w:line="180" w:before="160" w:after="283"/>
                              <w:ind w:left="0" w:right="160" w:hanging="0"/>
                              <w:jc w:val="left"/>
                              <w:rPr/>
                            </w:pPr>
                            <w:r>
                              <w:rPr>
                                <w:spacing w:val="-2"/>
                              </w:rPr>
                              <w:t xml:space="preserve">Director Since: </w:t>
                            </w:r>
                            <w:r>
                              <w:rPr>
                                <w:b/>
                                <w:spacing w:val="-2"/>
                              </w:rPr>
                              <w:t>2016</w:t>
                            </w:r>
                            <w:r>
                              <w:rPr/>
                              <w:t xml:space="preserve"> </w:t>
                            </w:r>
                          </w:p>
                          <w:p>
                            <w:pPr>
                              <w:pStyle w:val="TableContents"/>
                              <w:bidi w:val="0"/>
                              <w:spacing w:lineRule="atLeast" w:line="180" w:before="160" w:after="283"/>
                              <w:ind w:left="0" w:right="160" w:hanging="0"/>
                              <w:jc w:val="left"/>
                              <w:rPr/>
                            </w:pPr>
                            <w:r>
                              <w:rPr>
                                <w:spacing w:val="-2"/>
                              </w:rPr>
                              <w:t xml:space="preserve">Age: </w:t>
                            </w:r>
                            <w:r>
                              <w:rPr>
                                <w:b/>
                                <w:spacing w:val="-2"/>
                              </w:rPr>
                              <w:t>50</w:t>
                            </w:r>
                            <w:r>
                              <w:rPr/>
                              <w:t xml:space="preserve"> </w:t>
                            </w:r>
                          </w:p>
                          <w:p>
                            <w:pPr>
                              <w:pStyle w:val="TableContents"/>
                              <w:bidi w:val="0"/>
                              <w:spacing w:lineRule="atLeast" w:line="220" w:before="160" w:after="283"/>
                              <w:ind w:left="0" w:right="160" w:hanging="0"/>
                              <w:jc w:val="left"/>
                              <w:rPr>
                                <w:spacing w:val="-2"/>
                              </w:rPr>
                            </w:pPr>
                            <w:r>
                              <w:rPr>
                                <w:spacing w:val="-2"/>
                              </w:rPr>
                              <w:t xml:space="preserve">SL Green </w:t>
                              <w:br/>
                              <w:t xml:space="preserve">Board Service: </w:t>
                            </w:r>
                          </w:p>
                          <w:p>
                            <w:pPr>
                              <w:pStyle w:val="TableContents"/>
                              <w:bidi w:val="0"/>
                              <w:spacing w:lineRule="atLeast" w:line="220" w:before="160" w:after="0"/>
                              <w:ind w:left="180" w:right="160" w:hanging="0"/>
                              <w:jc w:val="left"/>
                              <w:rPr/>
                            </w:pPr>
                            <w:r>
                              <w:rPr>
                                <w:b/>
                                <w:spacing w:val="-2"/>
                              </w:rPr>
                              <w:t>Audit Committee, Chair</w:t>
                            </w:r>
                            <w:r>
                              <w:rPr/>
                              <w:t xml:space="preserve"> </w:t>
                            </w:r>
                          </w:p>
                          <w:p>
                            <w:pPr>
                              <w:pStyle w:val="TableContents"/>
                              <w:bidi w:val="0"/>
                              <w:spacing w:before="0" w:after="0"/>
                              <w:ind w:left="0" w:right="0" w:hanging="0"/>
                              <w:jc w:val="left"/>
                              <w:rPr/>
                            </w:pPr>
                            <w:r>
                              <w:rPr/>
                              <w:t>​</w:t>
                            </w:r>
                          </w:p>
                          <w:p>
                            <w:pPr>
                              <w:pStyle w:val="TableContents"/>
                              <w:bidi w:val="0"/>
                              <w:spacing w:lineRule="atLeast" w:line="220" w:before="160" w:after="0"/>
                              <w:ind w:left="180" w:right="160" w:hanging="0"/>
                              <w:jc w:val="left"/>
                              <w:rPr>
                                <w:b/>
                              </w:rPr>
                            </w:pPr>
                            <w:r>
                              <w:rPr>
                                <w:b/>
                                <w:spacing w:val="-2"/>
                              </w:rPr>
                              <w:t>Compensation Committee</w:t>
                            </w:r>
                            <w:r>
                              <w:rPr>
                                <w:b/>
                              </w:rPr>
                              <w:t xml:space="preserve"> </w: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54" w:type="dxa"/>
                            <w:tcBorders/>
                            <w:shd w:fill="1F2668" w:val="clear"/>
                            <w:vAlign w:val="center"/>
                          </w:tcPr>
                          <w:p>
                            <w:pPr>
                              <w:pStyle w:val="TableContents"/>
                              <w:bidi w:val="0"/>
                              <w:spacing w:before="0" w:after="283"/>
                              <w:jc w:val="left"/>
                              <w:rPr/>
                            </w:pPr>
                            <w:r>
                              <w:rPr/>
                              <w:t>​</w:t>
                            </w:r>
                          </w:p>
                        </w:tc>
                      </w:tr>
                    </w:tbl>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64770" distB="0" distL="0" distR="0" simplePos="0" locked="0" layoutInCell="1" allowOverlap="1" relativeHeight="389">
                <wp:simplePos x="0" y="0"/>
                <wp:positionH relativeFrom="column">
                  <wp:align>left</wp:align>
                </wp:positionH>
                <wp:positionV relativeFrom="line">
                  <wp:align>top</wp:align>
                </wp:positionV>
                <wp:extent cx="127000" cy="350520"/>
                <wp:effectExtent l="0" t="0" r="0" b="0"/>
                <wp:wrapSquare wrapText="right"/>
                <wp:docPr id="285" name="Frame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5.1pt;mso-wrap-distance-bottom:0pt;margin-top:5.1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24130" distB="0" distL="0" distR="0" simplePos="0" locked="0" layoutInCell="1" allowOverlap="1" relativeHeight="390">
                <wp:simplePos x="0" y="0"/>
                <wp:positionH relativeFrom="column">
                  <wp:align>left</wp:align>
                </wp:positionH>
                <wp:positionV relativeFrom="line">
                  <wp:align>top</wp:align>
                </wp:positionV>
                <wp:extent cx="127000" cy="350520"/>
                <wp:effectExtent l="0" t="0" r="0" b="0"/>
                <wp:wrapSquare wrapText="right"/>
                <wp:docPr id="286" name="Frame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24130" distB="0" distL="0" distR="0" simplePos="0" locked="0" layoutInCell="1" allowOverlap="1" relativeHeight="391">
                <wp:simplePos x="0" y="0"/>
                <wp:positionH relativeFrom="column">
                  <wp:align>left</wp:align>
                </wp:positionH>
                <wp:positionV relativeFrom="line">
                  <wp:align>top</wp:align>
                </wp:positionV>
                <wp:extent cx="127000" cy="350520"/>
                <wp:effectExtent l="0" t="0" r="0" b="0"/>
                <wp:wrapSquare wrapText="right"/>
                <wp:docPr id="287" name="Frame1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24130" distB="0" distL="0" distR="0" simplePos="0" locked="0" layoutInCell="1" allowOverlap="1" relativeHeight="392">
                <wp:simplePos x="0" y="0"/>
                <wp:positionH relativeFrom="column">
                  <wp:align>left</wp:align>
                </wp:positionH>
                <wp:positionV relativeFrom="line">
                  <wp:align>top</wp:align>
                </wp:positionV>
                <wp:extent cx="127000" cy="350520"/>
                <wp:effectExtent l="0" t="0" r="0" b="0"/>
                <wp:wrapSquare wrapText="right"/>
                <wp:docPr id="288" name="Frame1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24130" distB="0" distL="0" distR="0" simplePos="0" locked="0" layoutInCell="1" allowOverlap="1" relativeHeight="393">
                <wp:simplePos x="0" y="0"/>
                <wp:positionH relativeFrom="column">
                  <wp:align>left</wp:align>
                </wp:positionH>
                <wp:positionV relativeFrom="line">
                  <wp:align>top</wp:align>
                </wp:positionV>
                <wp:extent cx="127000" cy="350520"/>
                <wp:effectExtent l="0" t="0" r="0" b="0"/>
                <wp:wrapSquare wrapText="right"/>
                <wp:docPr id="289" name="Frame1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24130" distB="0" distL="0" distR="0" simplePos="0" locked="0" layoutInCell="1" allowOverlap="1" relativeHeight="394">
                <wp:simplePos x="0" y="0"/>
                <wp:positionH relativeFrom="column">
                  <wp:align>left</wp:align>
                </wp:positionH>
                <wp:positionV relativeFrom="line">
                  <wp:align>top</wp:align>
                </wp:positionV>
                <wp:extent cx="127000" cy="350520"/>
                <wp:effectExtent l="0" t="0" r="0" b="0"/>
                <wp:wrapSquare wrapText="right"/>
                <wp:docPr id="290" name="Frame1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101600" distB="0" distL="0" distR="0" simplePos="0" locked="0" layoutInCell="1" allowOverlap="1" relativeHeight="387">
                <wp:simplePos x="0" y="0"/>
                <wp:positionH relativeFrom="column">
                  <wp:align>left</wp:align>
                </wp:positionH>
                <wp:positionV relativeFrom="line">
                  <wp:align>top</wp:align>
                </wp:positionV>
                <wp:extent cx="114300" cy="350520"/>
                <wp:effectExtent l="0" t="0" r="0" b="0"/>
                <wp:wrapSquare wrapText="right"/>
                <wp:docPr id="291" name="Frame95"/>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101600" distB="0" distL="0" distR="0" simplePos="0" locked="0" layoutInCell="1" allowOverlap="1" relativeHeight="388">
                <wp:simplePos x="0" y="0"/>
                <wp:positionH relativeFrom="column">
                  <wp:align>left</wp:align>
                </wp:positionH>
                <wp:positionV relativeFrom="line">
                  <wp:align>top</wp:align>
                </wp:positionV>
                <wp:extent cx="114300" cy="350520"/>
                <wp:effectExtent l="0" t="0" r="0" b="0"/>
                <wp:wrapSquare wrapText="right"/>
                <wp:docPr id="292" name="Frame96"/>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
                        </w:rPr>
                        <w:br/>
                      </w:r>
                    </w:p>
                  </w:txbxContent>
                </v:textbox>
                <w10:wrap type="square" side="right"/>
              </v:rect>
            </w:pict>
          </mc:Fallback>
        </mc:AlternateConten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225" w:type="dxa"/>
        <w:jc w:val="left"/>
        <w:tblInd w:w="900" w:type="dxa"/>
        <w:tblLayout w:type="fixed"/>
        <w:tblCellMar>
          <w:top w:w="0" w:type="dxa"/>
          <w:left w:w="0" w:type="dxa"/>
          <w:bottom w:w="0" w:type="dxa"/>
          <w:right w:w="0" w:type="dxa"/>
        </w:tblCellMar>
      </w:tblPr>
      <w:tblGrid>
        <w:gridCol w:w="124"/>
        <w:gridCol w:w="346"/>
        <w:gridCol w:w="109"/>
        <w:gridCol w:w="109"/>
        <w:gridCol w:w="4383"/>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16</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383" w:type="dxa"/>
            <w:tcBorders/>
            <w:vAlign w:val="center"/>
          </w:tcPr>
          <w:p>
            <w:pPr>
              <w:pStyle w:val="TableContents"/>
              <w:bidi w:val="0"/>
              <w:spacing w:lineRule="atLeast" w:line="200" w:before="0" w:after="0"/>
              <w:jc w:val="left"/>
              <w:rPr/>
            </w:pPr>
            <w:r>
              <w:rPr>
                <w:spacing w:val="-2"/>
              </w:rPr>
              <w:t>    </w:t>
            </w:r>
            <w:r>
              <w:rPr>
                <w:spacing w:val="-2"/>
                <w:sz w:val="16"/>
              </w:rPr>
              <w:t>SL GREEN REALTY CORP. 2026 PROXY STATEMENT</w:t>
            </w:r>
            <w:r>
              <w:rPr>
                <w:sz w:val="16"/>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0"/>
        <w:ind w:left="900" w:right="0" w:hanging="0"/>
        <w:jc w:val="left"/>
        <w:rPr>
          <w:caps w:val="false"/>
          <w:smallCaps w:val="false"/>
          <w:color w:val="000000"/>
        </w:rPr>
      </w:pPr>
      <w:r>
        <w:rPr>
          <w:caps w:val="false"/>
          <w:smallCaps w:val="false"/>
          <w:color w:val="000000"/>
        </w:rPr>
        <w:t>​</w:t>
      </w:r>
      <w:r>
        <mc:AlternateContent>
          <mc:Choice Requires="wps">
            <w:drawing>
              <wp:anchor behindDoc="0" distT="0" distB="0" distL="571500" distR="0" simplePos="0" locked="0" layoutInCell="1" allowOverlap="1" relativeHeight="99">
                <wp:simplePos x="0" y="0"/>
                <wp:positionH relativeFrom="column">
                  <wp:align>left</wp:align>
                </wp:positionH>
                <wp:positionV relativeFrom="line">
                  <wp:posOffset>635</wp:posOffset>
                </wp:positionV>
                <wp:extent cx="1562100" cy="5753735"/>
                <wp:effectExtent l="0" t="0" r="0" b="0"/>
                <wp:wrapSquare wrapText="right"/>
                <wp:docPr id="293" name="Frame104"/>
                <a:graphic xmlns:a="http://schemas.openxmlformats.org/drawingml/2006/main">
                  <a:graphicData uri="http://schemas.microsoft.com/office/word/2010/wordprocessingShape">
                    <wps:wsp>
                      <wps:cNvSpPr txBox="1"/>
                      <wps:spPr>
                        <a:xfrm>
                          <a:off x="0" y="0"/>
                          <a:ext cx="1562100" cy="5753735"/>
                        </a:xfrm>
                        <a:prstGeom prst="rect"/>
                        <a:solidFill>
                          <a:srgbClr val="FFFFFF"/>
                        </a:solidFill>
                      </wps:spPr>
                      <wps:txbx>
                        <w:txbxContent>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3130" w:type="dxa"/>
                              <w:jc w:val="left"/>
                              <w:tblInd w:w="0" w:type="dxa"/>
                              <w:tblLayout w:type="fixed"/>
                              <w:tblCellMar>
                                <w:top w:w="0" w:type="dxa"/>
                                <w:left w:w="0" w:type="dxa"/>
                                <w:bottom w:w="0" w:type="dxa"/>
                                <w:right w:w="0" w:type="dxa"/>
                              </w:tblCellMar>
                            </w:tblPr>
                            <w:tblGrid>
                              <w:gridCol w:w="124"/>
                              <w:gridCol w:w="109"/>
                              <w:gridCol w:w="2634"/>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634" w:type="dxa"/>
                                  <w:tcBorders/>
                                  <w:shd w:fill="1F2668" w:val="clear"/>
                                  <w:vAlign w:val="center"/>
                                </w:tcPr>
                                <w:p>
                                  <w:pPr>
                                    <w:pStyle w:val="TableContents"/>
                                    <w:bidi w:val="0"/>
                                    <w:spacing w:lineRule="atLeast" w:line="280" w:before="0" w:after="0"/>
                                    <w:ind w:left="0" w:right="160" w:hanging="0"/>
                                    <w:jc w:val="left"/>
                                    <w:rPr>
                                      <w:b/>
                                      <w:sz w:val="24"/>
                                    </w:rPr>
                                  </w:pPr>
                                  <w:r>
                                    <w:rPr>
                                      <w:b/>
                                      <w:spacing w:val="-2"/>
                                      <w:sz w:val="24"/>
                                    </w:rPr>
                                    <w:t xml:space="preserve">STEPHEN L. </w:t>
                                    <w:br/>
                                    <w:t>GREEN</w:t>
                                  </w:r>
                                  <w:r>
                                    <w:rPr>
                                      <w:b/>
                                      <w:sz w:val="24"/>
                                    </w:rPr>
                                    <w:t xml:space="preserve">​ </w:t>
                                  </w:r>
                                </w:p>
                                <w:p>
                                  <w:pPr>
                                    <w:pStyle w:val="TableContents"/>
                                    <w:bidi w:val="0"/>
                                    <w:spacing w:before="200" w:after="283"/>
                                    <w:ind w:left="0" w:right="160" w:hanging="0"/>
                                    <w:jc w:val="left"/>
                                    <w:rPr/>
                                  </w:pPr>
                                  <w:r>
                                    <w:rPr/>
                                    <w:drawing>
                                      <wp:inline distT="0" distB="0" distL="0" distR="0">
                                        <wp:extent cx="1209675" cy="1524000"/>
                                        <wp:effectExtent l="0" t="0" r="0" b="0"/>
                                        <wp:docPr id="294"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 name="Image153" descr=""/>
                                                <pic:cNvPicPr>
                                                  <a:picLocks noChangeAspect="1" noChangeArrowheads="1"/>
                                                </pic:cNvPicPr>
                                              </pic:nvPicPr>
                                              <pic:blipFill>
                                                <a:blip r:embed="rId197"/>
                                                <a:stretch>
                                                  <a:fillRect/>
                                                </a:stretch>
                                              </pic:blipFill>
                                              <pic:spPr bwMode="auto">
                                                <a:xfrm>
                                                  <a:off x="0" y="0"/>
                                                  <a:ext cx="1209675" cy="1524000"/>
                                                </a:xfrm>
                                                <a:prstGeom prst="rect">
                                                  <a:avLst/>
                                                </a:prstGeom>
                                              </pic:spPr>
                                            </pic:pic>
                                          </a:graphicData>
                                        </a:graphic>
                                      </wp:inline>
                                    </w:drawing>
                                  </w:r>
                                  <w:r>
                                    <w:rPr/>
                                    <w:t xml:space="preserve"> </w:t>
                                  </w:r>
                                </w:p>
                                <w:p>
                                  <w:pPr>
                                    <w:pStyle w:val="TableContents"/>
                                    <w:bidi w:val="0"/>
                                    <w:spacing w:lineRule="atLeast" w:line="180" w:before="220" w:after="283"/>
                                    <w:ind w:left="0" w:right="160" w:hanging="0"/>
                                    <w:jc w:val="left"/>
                                    <w:rPr>
                                      <w:b/>
                                    </w:rPr>
                                  </w:pPr>
                                  <w:r>
                                    <w:rPr>
                                      <w:b/>
                                      <w:spacing w:val="-2"/>
                                    </w:rPr>
                                    <w:t>Director</w:t>
                                  </w:r>
                                  <w:r>
                                    <w:rPr>
                                      <w:b/>
                                    </w:rPr>
                                    <w:t xml:space="preserve"> </w:t>
                                  </w:r>
                                </w:p>
                                <w:p>
                                  <w:pPr>
                                    <w:pStyle w:val="TableContents"/>
                                    <w:bidi w:val="0"/>
                                    <w:spacing w:lineRule="atLeast" w:line="180" w:before="160" w:after="283"/>
                                    <w:ind w:left="0" w:right="160" w:hanging="0"/>
                                    <w:jc w:val="left"/>
                                    <w:rPr/>
                                  </w:pPr>
                                  <w:r>
                                    <w:rPr>
                                      <w:spacing w:val="-2"/>
                                    </w:rPr>
                                    <w:t xml:space="preserve">Director Since: </w:t>
                                  </w:r>
                                  <w:r>
                                    <w:rPr>
                                      <w:b/>
                                      <w:spacing w:val="-2"/>
                                    </w:rPr>
                                    <w:t>1997</w:t>
                                  </w:r>
                                  <w:r>
                                    <w:rPr/>
                                    <w:t xml:space="preserve"> </w:t>
                                  </w:r>
                                </w:p>
                                <w:p>
                                  <w:pPr>
                                    <w:pStyle w:val="TableContents"/>
                                    <w:bidi w:val="0"/>
                                    <w:spacing w:lineRule="atLeast" w:line="180" w:before="160" w:after="283"/>
                                    <w:ind w:left="0" w:right="160" w:hanging="0"/>
                                    <w:jc w:val="left"/>
                                    <w:rPr/>
                                  </w:pPr>
                                  <w:r>
                                    <w:rPr>
                                      <w:spacing w:val="-2"/>
                                    </w:rPr>
                                    <w:t xml:space="preserve">Age: </w:t>
                                  </w:r>
                                  <w:r>
                                    <w:rPr>
                                      <w:b/>
                                      <w:spacing w:val="-2"/>
                                    </w:rPr>
                                    <w:t>88</w:t>
                                  </w:r>
                                  <w:r>
                                    <w:rPr/>
                                    <w:t xml:space="preserve"> </w:t>
                                  </w:r>
                                </w:p>
                                <w:p>
                                  <w:pPr>
                                    <w:pStyle w:val="TableContents"/>
                                    <w:bidi w:val="0"/>
                                    <w:spacing w:lineRule="atLeast" w:line="220" w:before="160" w:after="283"/>
                                    <w:ind w:left="0" w:right="160" w:hanging="0"/>
                                    <w:jc w:val="left"/>
                                    <w:rPr/>
                                  </w:pPr>
                                  <w:r>
                                    <w:rPr>
                                      <w:spacing w:val="-2"/>
                                    </w:rPr>
                                    <w:t xml:space="preserve">SL Green </w:t>
                                    <w:br/>
                                    <w:t>Board Service:</w:t>
                                  </w:r>
                                  <w:r>
                                    <w:rPr/>
                                    <w:t xml:space="preserve"> </w:t>
                                  </w:r>
                                </w:p>
                                <w:p>
                                  <w:pPr>
                                    <w:pStyle w:val="TableContents"/>
                                    <w:bidi w:val="0"/>
                                    <w:spacing w:lineRule="atLeast" w:line="220" w:before="160" w:after="0"/>
                                    <w:ind w:left="180" w:right="160" w:hanging="0"/>
                                    <w:jc w:val="left"/>
                                    <w:rPr>
                                      <w:b/>
                                    </w:rPr>
                                  </w:pPr>
                                  <w:r>
                                    <w:rPr>
                                      <w:b/>
                                      <w:spacing w:val="-2"/>
                                    </w:rPr>
                                    <w:t>Executive Committee</w:t>
                                  </w:r>
                                  <w:r>
                                    <w:rPr>
                                      <w:b/>
                                    </w:rPr>
                                    <w:t xml:space="preserve"> </w: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54" w:type="dxa"/>
                                  <w:tcBorders/>
                                  <w:shd w:fill="1F2668" w:val="clear"/>
                                  <w:vAlign w:val="center"/>
                                </w:tcPr>
                                <w:p>
                                  <w:pPr>
                                    <w:pStyle w:val="TableContents"/>
                                    <w:bidi w:val="0"/>
                                    <w:spacing w:before="0" w:after="283"/>
                                    <w:jc w:val="left"/>
                                    <w:rPr/>
                                  </w:pPr>
                                  <w:r>
                                    <w:rPr/>
                                    <w:t>​</w:t>
                                  </w:r>
                                </w:p>
                              </w:tc>
                            </w:tr>
                          </w:tbl>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23pt;height:453.05pt;mso-wrap-distance-left:45pt;mso-wrap-distance-right:0pt;mso-wrap-distance-top:0pt;mso-wrap-distance-bottom:0pt;margin-top:0pt;mso-position-vertical:top;mso-position-vertical-relative:text;margin-left:213pt;mso-position-horizontal:left;mso-position-horizontal-relative:text">
                <v:textbox>
                  <w:txbxContent>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3130" w:type="dxa"/>
                        <w:jc w:val="left"/>
                        <w:tblInd w:w="0" w:type="dxa"/>
                        <w:tblLayout w:type="fixed"/>
                        <w:tblCellMar>
                          <w:top w:w="0" w:type="dxa"/>
                          <w:left w:w="0" w:type="dxa"/>
                          <w:bottom w:w="0" w:type="dxa"/>
                          <w:right w:w="0" w:type="dxa"/>
                        </w:tblCellMar>
                      </w:tblPr>
                      <w:tblGrid>
                        <w:gridCol w:w="124"/>
                        <w:gridCol w:w="109"/>
                        <w:gridCol w:w="2634"/>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634" w:type="dxa"/>
                            <w:tcBorders/>
                            <w:shd w:fill="1F2668" w:val="clear"/>
                            <w:vAlign w:val="center"/>
                          </w:tcPr>
                          <w:p>
                            <w:pPr>
                              <w:pStyle w:val="TableContents"/>
                              <w:bidi w:val="0"/>
                              <w:spacing w:lineRule="atLeast" w:line="280" w:before="0" w:after="0"/>
                              <w:ind w:left="0" w:right="160" w:hanging="0"/>
                              <w:jc w:val="left"/>
                              <w:rPr>
                                <w:b/>
                                <w:sz w:val="24"/>
                              </w:rPr>
                            </w:pPr>
                            <w:r>
                              <w:rPr>
                                <w:b/>
                                <w:spacing w:val="-2"/>
                                <w:sz w:val="24"/>
                              </w:rPr>
                              <w:t xml:space="preserve">STEPHEN L. </w:t>
                              <w:br/>
                              <w:t>GREEN</w:t>
                            </w:r>
                            <w:r>
                              <w:rPr>
                                <w:b/>
                                <w:sz w:val="24"/>
                              </w:rPr>
                              <w:t xml:space="preserve">​ </w:t>
                            </w:r>
                          </w:p>
                          <w:p>
                            <w:pPr>
                              <w:pStyle w:val="TableContents"/>
                              <w:bidi w:val="0"/>
                              <w:spacing w:before="200" w:after="283"/>
                              <w:ind w:left="0" w:right="160" w:hanging="0"/>
                              <w:jc w:val="left"/>
                              <w:rPr/>
                            </w:pPr>
                            <w:r>
                              <w:rPr/>
                              <w:drawing>
                                <wp:inline distT="0" distB="0" distL="0" distR="0">
                                  <wp:extent cx="1209675" cy="1524000"/>
                                  <wp:effectExtent l="0" t="0" r="0" b="0"/>
                                  <wp:docPr id="295"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 name="Image153" descr=""/>
                                          <pic:cNvPicPr>
                                            <a:picLocks noChangeAspect="1" noChangeArrowheads="1"/>
                                          </pic:cNvPicPr>
                                        </pic:nvPicPr>
                                        <pic:blipFill>
                                          <a:blip r:embed="rId198"/>
                                          <a:stretch>
                                            <a:fillRect/>
                                          </a:stretch>
                                        </pic:blipFill>
                                        <pic:spPr bwMode="auto">
                                          <a:xfrm>
                                            <a:off x="0" y="0"/>
                                            <a:ext cx="1209675" cy="1524000"/>
                                          </a:xfrm>
                                          <a:prstGeom prst="rect">
                                            <a:avLst/>
                                          </a:prstGeom>
                                        </pic:spPr>
                                      </pic:pic>
                                    </a:graphicData>
                                  </a:graphic>
                                </wp:inline>
                              </w:drawing>
                            </w:r>
                            <w:r>
                              <w:rPr/>
                              <w:t xml:space="preserve"> </w:t>
                            </w:r>
                          </w:p>
                          <w:p>
                            <w:pPr>
                              <w:pStyle w:val="TableContents"/>
                              <w:bidi w:val="0"/>
                              <w:spacing w:lineRule="atLeast" w:line="180" w:before="220" w:after="283"/>
                              <w:ind w:left="0" w:right="160" w:hanging="0"/>
                              <w:jc w:val="left"/>
                              <w:rPr>
                                <w:b/>
                              </w:rPr>
                            </w:pPr>
                            <w:r>
                              <w:rPr>
                                <w:b/>
                                <w:spacing w:val="-2"/>
                              </w:rPr>
                              <w:t>Director</w:t>
                            </w:r>
                            <w:r>
                              <w:rPr>
                                <w:b/>
                              </w:rPr>
                              <w:t xml:space="preserve"> </w:t>
                            </w:r>
                          </w:p>
                          <w:p>
                            <w:pPr>
                              <w:pStyle w:val="TableContents"/>
                              <w:bidi w:val="0"/>
                              <w:spacing w:lineRule="atLeast" w:line="180" w:before="160" w:after="283"/>
                              <w:ind w:left="0" w:right="160" w:hanging="0"/>
                              <w:jc w:val="left"/>
                              <w:rPr/>
                            </w:pPr>
                            <w:r>
                              <w:rPr>
                                <w:spacing w:val="-2"/>
                              </w:rPr>
                              <w:t xml:space="preserve">Director Since: </w:t>
                            </w:r>
                            <w:r>
                              <w:rPr>
                                <w:b/>
                                <w:spacing w:val="-2"/>
                              </w:rPr>
                              <w:t>1997</w:t>
                            </w:r>
                            <w:r>
                              <w:rPr/>
                              <w:t xml:space="preserve"> </w:t>
                            </w:r>
                          </w:p>
                          <w:p>
                            <w:pPr>
                              <w:pStyle w:val="TableContents"/>
                              <w:bidi w:val="0"/>
                              <w:spacing w:lineRule="atLeast" w:line="180" w:before="160" w:after="283"/>
                              <w:ind w:left="0" w:right="160" w:hanging="0"/>
                              <w:jc w:val="left"/>
                              <w:rPr/>
                            </w:pPr>
                            <w:r>
                              <w:rPr>
                                <w:spacing w:val="-2"/>
                              </w:rPr>
                              <w:t xml:space="preserve">Age: </w:t>
                            </w:r>
                            <w:r>
                              <w:rPr>
                                <w:b/>
                                <w:spacing w:val="-2"/>
                              </w:rPr>
                              <w:t>88</w:t>
                            </w:r>
                            <w:r>
                              <w:rPr/>
                              <w:t xml:space="preserve"> </w:t>
                            </w:r>
                          </w:p>
                          <w:p>
                            <w:pPr>
                              <w:pStyle w:val="TableContents"/>
                              <w:bidi w:val="0"/>
                              <w:spacing w:lineRule="atLeast" w:line="220" w:before="160" w:after="283"/>
                              <w:ind w:left="0" w:right="160" w:hanging="0"/>
                              <w:jc w:val="left"/>
                              <w:rPr/>
                            </w:pPr>
                            <w:r>
                              <w:rPr>
                                <w:spacing w:val="-2"/>
                              </w:rPr>
                              <w:t xml:space="preserve">SL Green </w:t>
                              <w:br/>
                              <w:t>Board Service:</w:t>
                            </w:r>
                            <w:r>
                              <w:rPr/>
                              <w:t xml:space="preserve"> </w:t>
                            </w:r>
                          </w:p>
                          <w:p>
                            <w:pPr>
                              <w:pStyle w:val="TableContents"/>
                              <w:bidi w:val="0"/>
                              <w:spacing w:lineRule="atLeast" w:line="220" w:before="160" w:after="0"/>
                              <w:ind w:left="180" w:right="160" w:hanging="0"/>
                              <w:jc w:val="left"/>
                              <w:rPr>
                                <w:b/>
                              </w:rPr>
                            </w:pPr>
                            <w:r>
                              <w:rPr>
                                <w:b/>
                                <w:spacing w:val="-2"/>
                              </w:rPr>
                              <w:t>Executive Committee</w:t>
                            </w:r>
                            <w:r>
                              <w:rPr>
                                <w:b/>
                              </w:rPr>
                              <w:t xml:space="preserve"> </w: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54" w:type="dxa"/>
                            <w:tcBorders/>
                            <w:shd w:fill="1F2668" w:val="clear"/>
                            <w:vAlign w:val="center"/>
                          </w:tcPr>
                          <w:p>
                            <w:pPr>
                              <w:pStyle w:val="TableContents"/>
                              <w:bidi w:val="0"/>
                              <w:spacing w:before="0" w:after="283"/>
                              <w:jc w:val="left"/>
                              <w:rPr/>
                            </w:pPr>
                            <w:r>
                              <w:rPr/>
                              <w:t>​</w:t>
                            </w:r>
                          </w:p>
                        </w:tc>
                      </w:tr>
                    </w:tbl>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254000" distR="0" simplePos="0" locked="0" layoutInCell="1" allowOverlap="1" relativeHeight="101">
                <wp:simplePos x="0" y="0"/>
                <wp:positionH relativeFrom="column">
                  <wp:align>left</wp:align>
                </wp:positionH>
                <wp:positionV relativeFrom="line">
                  <wp:posOffset>635</wp:posOffset>
                </wp:positionV>
                <wp:extent cx="4584700" cy="9972040"/>
                <wp:effectExtent l="0" t="0" r="0" b="0"/>
                <wp:wrapSquare wrapText="right"/>
                <wp:docPr id="296" name="Frame106"/>
                <a:graphic xmlns:a="http://schemas.openxmlformats.org/drawingml/2006/main">
                  <a:graphicData uri="http://schemas.microsoft.com/office/word/2010/wordprocessingShape">
                    <wps:wsp>
                      <wps:cNvSpPr txBox="1"/>
                      <wps:spPr>
                        <a:xfrm>
                          <a:off x="0" y="0"/>
                          <a:ext cx="4584700" cy="9972040"/>
                        </a:xfrm>
                        <a:prstGeom prst="rect"/>
                        <a:solidFill>
                          <a:srgbClr val="FFFFFF"/>
                        </a:solidFill>
                      </wps:spPr>
                      <wps:txbx>
                        <w:txbxContent>
                          <w:p>
                            <w:pPr>
                              <w:pStyle w:val="TextBody"/>
                              <w:bidi w:val="0"/>
                              <w:spacing w:lineRule="atLeast" w:line="230" w:before="500" w:after="283"/>
                              <w:jc w:val="left"/>
                              <w:rPr/>
                            </w:pPr>
                            <w:r>
                              <w:rPr>
                                <w:spacing w:val="-2"/>
                              </w:rPr>
                              <w:t>In addition to his industry-wide reputation, Mr. Green’s extensive skills and experience in real estate, including founding our predecessor company, provide the Board with invaluable knowledge of and expertise in our business and industry. This experience, particularly his experience having led our predecessor and the Company, contributes depth and context to the Board’s discussions of the Company’s business.</w:t>
                            </w:r>
                            <w:r>
                              <w:rPr>
                                <w:spacing w:val="4"/>
                              </w:rPr>
                              <w:t xml:space="preserve"> </w:t>
                            </w:r>
                          </w:p>
                          <w:p>
                            <w:pPr>
                              <w:pStyle w:val="TextBody"/>
                              <w:bidi w:val="0"/>
                              <w:spacing w:before="0" w:after="283"/>
                              <w:ind w:left="0" w:right="0" w:hanging="0"/>
                              <w:jc w:val="left"/>
                              <w:rPr>
                                <w:bdr w:val="single" w:sz="8" w:space="1" w:color="83AD40"/>
                              </w:rPr>
                            </w:pPr>
                            <w:r>
                              <w:rPr>
                                <w:bdr w:val="single" w:sz="8" w:space="1" w:color="83AD40"/>
                              </w:rPr>
                              <w:t>​</w:t>
                            </w:r>
                          </w:p>
                          <w:p>
                            <w:pPr>
                              <w:pStyle w:val="TextBody"/>
                              <w:bidi w:val="0"/>
                              <w:spacing w:lineRule="atLeast" w:line="260" w:before="371" w:after="283"/>
                              <w:jc w:val="left"/>
                              <w:rPr>
                                <w:b/>
                                <w:color w:val="1F2668"/>
                                <w:sz w:val="22"/>
                              </w:rPr>
                            </w:pPr>
                            <w:r>
                              <w:rPr>
                                <w:b/>
                                <w:color w:val="1F2668"/>
                                <w:spacing w:val="-2"/>
                                <w:sz w:val="22"/>
                              </w:rPr>
                              <w:t>Professional Experience</w:t>
                            </w:r>
                            <w:r>
                              <w:rPr>
                                <w:b/>
                                <w:color w:val="000000"/>
                                <w:spacing w:val="4"/>
                                <w:sz w:val="22"/>
                              </w:rPr>
                              <w:t xml:space="preserve"> </w:t>
                            </w:r>
                          </w:p>
                          <w:p>
                            <w:pPr>
                              <w:pStyle w:val="TextBody"/>
                              <w:bidi w:val="0"/>
                              <w:spacing w:lineRule="atLeast" w:line="220" w:before="102" w:after="0"/>
                              <w:ind w:left="200" w:right="0" w:hanging="0"/>
                              <w:jc w:val="left"/>
                              <w:rPr/>
                            </w:pPr>
                            <w:r>
                              <w:rPr>
                                <w:spacing w:val="-2"/>
                              </w:rPr>
                              <w:t>Chairman Emeritus at the Company since January 2019</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Chairman of the Board of the Company from 1997 through January 2019</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Former executive officer working in conjunction with our Chief Executive Officer and overseeing the Company’s long-term strategic direction; formerly served as our Chief Executive Officer</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Founded our predecessor, S.L. Green Properties, Inc., in 1980; prior to our initial public offering in 1997, Mr. Green was involved in the acquisition of over 50 Manhattan office buildings containing in excess of 10.0 million square feet</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Chairman of the Board of Gramercy Capital Corp. from August 2004 to June 2009</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At-large member of the Executive Committee of the Board of Governors of the Real Estate Board of New York</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Member of the Board of Directors of Streetsquash, Inc., a Section 501(c)(3) tax-exempt organization</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Previously a member of the Board of Directors of Stemedica Cell Technologies, Inc., August 2007 to April 2009; Chairman of the Real Estate Board of New York’s Tax Committee</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B.A. degree from Hartwick College and J.D. degree from Boston College Law School</w:t>
                            </w:r>
                            <w:r>
                              <w:rPr>
                                <w:spacing w:val="4"/>
                              </w:rPr>
                              <w:t xml:space="preserve"> </w:t>
                            </w:r>
                          </w:p>
                          <w:p>
                            <w:pPr>
                              <w:pStyle w:val="TextBody"/>
                              <w:bidi w:val="0"/>
                              <w:spacing w:before="0" w:after="0"/>
                              <w:ind w:left="0" w:right="0" w:hanging="0"/>
                              <w:jc w:val="left"/>
                              <w:rPr/>
                            </w:pPr>
                            <w:r>
                              <w:rPr/>
                              <w:t>​</w:t>
                            </w:r>
                          </w:p>
                          <w:p>
                            <w:pPr>
                              <w:pStyle w:val="TextBody"/>
                              <w:bidi w:val="0"/>
                              <w:spacing w:before="0" w:after="283"/>
                              <w:ind w:left="0" w:right="0" w:hanging="0"/>
                              <w:jc w:val="left"/>
                              <w:rPr>
                                <w:bdr w:val="single" w:sz="8" w:space="1" w:color="83AD40"/>
                              </w:rPr>
                            </w:pPr>
                            <w:r>
                              <w:rPr>
                                <w:bdr w:val="single" w:sz="8" w:space="1" w:color="83AD40"/>
                              </w:rPr>
                              <w:t>​</w:t>
                            </w:r>
                          </w:p>
                          <w:p>
                            <w:pPr>
                              <w:pStyle w:val="TextBody"/>
                              <w:bidi w:val="0"/>
                              <w:spacing w:lineRule="atLeast" w:line="260" w:before="369" w:after="283"/>
                              <w:jc w:val="left"/>
                              <w:rPr>
                                <w:b/>
                                <w:color w:val="1F2668"/>
                                <w:sz w:val="22"/>
                              </w:rPr>
                            </w:pPr>
                            <w:r>
                              <w:rPr>
                                <w:b/>
                                <w:color w:val="1F2668"/>
                                <w:spacing w:val="-2"/>
                                <w:sz w:val="22"/>
                              </w:rPr>
                              <w:t>Skills, Experiences and Attributes</w:t>
                            </w:r>
                            <w:r>
                              <w:rPr>
                                <w:b/>
                                <w:color w:val="000000"/>
                                <w:spacing w:val="4"/>
                                <w:sz w:val="22"/>
                              </w:rPr>
                              <w:t xml:space="preserve"> </w:t>
                            </w:r>
                          </w:p>
                          <w:tbl>
                            <w:tblPr>
                              <w:tblW w:w="9110" w:type="dxa"/>
                              <w:jc w:val="left"/>
                              <w:tblInd w:w="0" w:type="dxa"/>
                              <w:tblLayout w:type="fixed"/>
                              <w:tblCellMar>
                                <w:top w:w="0" w:type="dxa"/>
                                <w:left w:w="0" w:type="dxa"/>
                                <w:bottom w:w="0" w:type="dxa"/>
                                <w:right w:w="0" w:type="dxa"/>
                              </w:tblCellMar>
                            </w:tblPr>
                            <w:tblGrid>
                              <w:gridCol w:w="124"/>
                              <w:gridCol w:w="731"/>
                              <w:gridCol w:w="109"/>
                              <w:gridCol w:w="109"/>
                              <w:gridCol w:w="4081"/>
                              <w:gridCol w:w="109"/>
                              <w:gridCol w:w="109"/>
                              <w:gridCol w:w="731"/>
                              <w:gridCol w:w="109"/>
                              <w:gridCol w:w="109"/>
                              <w:gridCol w:w="2635"/>
                              <w:gridCol w:w="154"/>
                            </w:tblGrid>
                            <w:tr>
                              <w:trPr/>
                              <w:tc>
                                <w:tcPr>
                                  <w:tcW w:w="124" w:type="dxa"/>
                                  <w:tcBorders/>
                                  <w:vAlign w:val="center"/>
                                </w:tcPr>
                                <w:p>
                                  <w:pPr>
                                    <w:pStyle w:val="TableContents"/>
                                    <w:bidi w:val="0"/>
                                    <w:spacing w:before="0" w:after="283"/>
                                    <w:jc w:val="left"/>
                                    <w:rPr/>
                                  </w:pPr>
                                  <w:r>
                                    <w:rPr/>
                                    <w:t>​</w:t>
                                  </w:r>
                                </w:p>
                              </w:tc>
                              <w:tc>
                                <w:tcPr>
                                  <w:tcW w:w="731" w:type="dxa"/>
                                  <w:tcBorders/>
                                  <w:vAlign w:val="center"/>
                                </w:tcPr>
                                <w:p>
                                  <w:pPr>
                                    <w:pStyle w:val="TableContents"/>
                                    <w:bidi w:val="0"/>
                                    <w:spacing w:before="0" w:after="0"/>
                                    <w:jc w:val="left"/>
                                    <w:rPr/>
                                  </w:pPr>
                                  <w:r>
                                    <w:rPr/>
                                    <w:drawing>
                                      <wp:inline distT="0" distB="0" distL="0" distR="0">
                                        <wp:extent cx="371475" cy="390525"/>
                                        <wp:effectExtent l="0" t="0" r="0" b="0"/>
                                        <wp:docPr id="297"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 name="Image154" descr=""/>
                                                <pic:cNvPicPr>
                                                  <a:picLocks noChangeAspect="1" noChangeArrowheads="1"/>
                                                </pic:cNvPicPr>
                                              </pic:nvPicPr>
                                              <pic:blipFill>
                                                <a:blip r:embed="rId199"/>
                                                <a:stretch>
                                                  <a:fillRect/>
                                                </a:stretch>
                                              </pic:blipFill>
                                              <pic:spPr bwMode="auto">
                                                <a:xfrm>
                                                  <a:off x="0" y="0"/>
                                                  <a:ext cx="371475" cy="3905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81"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Executive Leadership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1"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71475" cy="371475"/>
                                        <wp:effectExtent l="0" t="0" r="0" b="0"/>
                                        <wp:docPr id="298"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Image155" descr=""/>
                                                <pic:cNvPicPr>
                                                  <a:picLocks noChangeAspect="1" noChangeArrowheads="1"/>
                                                </pic:cNvPicPr>
                                              </pic:nvPicPr>
                                              <pic:blipFill>
                                                <a:blip r:embed="rId200"/>
                                                <a:stretch>
                                                  <a:fillRect/>
                                                </a:stretch>
                                              </pic:blipFill>
                                              <pic:spPr bwMode="auto">
                                                <a:xfrm>
                                                  <a:off x="0" y="0"/>
                                                  <a:ext cx="371475" cy="3714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635"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Finance/Capital Markets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1"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52425" cy="409575"/>
                                        <wp:effectExtent l="0" t="0" r="0" b="0"/>
                                        <wp:docPr id="299"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 name="Image156" descr=""/>
                                                <pic:cNvPicPr>
                                                  <a:picLocks noChangeAspect="1" noChangeArrowheads="1"/>
                                                </pic:cNvPicPr>
                                              </pic:nvPicPr>
                                              <pic:blipFill>
                                                <a:blip r:embed="rId201"/>
                                                <a:stretch>
                                                  <a:fillRect/>
                                                </a:stretch>
                                              </pic:blipFill>
                                              <pic:spPr bwMode="auto">
                                                <a:xfrm>
                                                  <a:off x="0" y="0"/>
                                                  <a:ext cx="352425" cy="4095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81"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Risk Management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1"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33375" cy="304800"/>
                                        <wp:effectExtent l="0" t="0" r="0" b="0"/>
                                        <wp:docPr id="300"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 name="Image157" descr=""/>
                                                <pic:cNvPicPr>
                                                  <a:picLocks noChangeAspect="1" noChangeArrowheads="1"/>
                                                </pic:cNvPicPr>
                                              </pic:nvPicPr>
                                              <pic:blipFill>
                                                <a:blip r:embed="rId202"/>
                                                <a:stretch>
                                                  <a:fillRect/>
                                                </a:stretch>
                                              </pic:blipFill>
                                              <pic:spPr bwMode="auto">
                                                <a:xfrm>
                                                  <a:off x="0" y="0"/>
                                                  <a:ext cx="333375" cy="3048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635"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REIT/Real Estate Industry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1"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52425" cy="371475"/>
                                        <wp:effectExtent l="0" t="0" r="0" b="0"/>
                                        <wp:docPr id="301"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 name="Image158" descr=""/>
                                                <pic:cNvPicPr>
                                                  <a:picLocks noChangeAspect="1" noChangeArrowheads="1"/>
                                                </pic:cNvPicPr>
                                              </pic:nvPicPr>
                                              <pic:blipFill>
                                                <a:blip r:embed="rId203"/>
                                                <a:stretch>
                                                  <a:fillRect/>
                                                </a:stretch>
                                              </pic:blipFill>
                                              <pic:spPr bwMode="auto">
                                                <a:xfrm>
                                                  <a:off x="0" y="0"/>
                                                  <a:ext cx="352425" cy="3714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81"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Experience Over Several Business Cycles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1"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52425" cy="352425"/>
                                        <wp:effectExtent l="0" t="0" r="0" b="0"/>
                                        <wp:docPr id="302"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 name="Image159" descr=""/>
                                                <pic:cNvPicPr>
                                                  <a:picLocks noChangeAspect="1" noChangeArrowheads="1"/>
                                                </pic:cNvPicPr>
                                              </pic:nvPicPr>
                                              <pic:blipFill>
                                                <a:blip r:embed="rId204"/>
                                                <a:stretch>
                                                  <a:fillRect/>
                                                </a:stretch>
                                              </pic:blipFill>
                                              <pic:spPr bwMode="auto">
                                                <a:xfrm>
                                                  <a:off x="0" y="0"/>
                                                  <a:ext cx="352425" cy="3524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635"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Talent Management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1"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42900" cy="381000"/>
                                        <wp:effectExtent l="0" t="0" r="0" b="0"/>
                                        <wp:docPr id="303"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 name="Image160" descr=""/>
                                                <pic:cNvPicPr>
                                                  <a:picLocks noChangeAspect="1" noChangeArrowheads="1"/>
                                                </pic:cNvPicPr>
                                              </pic:nvPicPr>
                                              <pic:blipFill>
                                                <a:blip r:embed="rId205"/>
                                                <a:stretch>
                                                  <a:fillRect/>
                                                </a:stretch>
                                              </pic:blipFill>
                                              <pic:spPr bwMode="auto">
                                                <a:xfrm>
                                                  <a:off x="0" y="0"/>
                                                  <a:ext cx="342900" cy="3810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81"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Government/Regulatory Experience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1"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635"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61pt;height:785.2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30" w:before="500" w:after="283"/>
                        <w:jc w:val="left"/>
                        <w:rPr/>
                      </w:pPr>
                      <w:r>
                        <w:rPr>
                          <w:spacing w:val="-2"/>
                        </w:rPr>
                        <w:t>In addition to his industry-wide reputation, Mr. Green’s extensive skills and experience in real estate, including founding our predecessor company, provide the Board with invaluable knowledge of and expertise in our business and industry. This experience, particularly his experience having led our predecessor and the Company, contributes depth and context to the Board’s discussions of the Company’s business.</w:t>
                      </w:r>
                      <w:r>
                        <w:rPr>
                          <w:spacing w:val="4"/>
                        </w:rPr>
                        <w:t xml:space="preserve"> </w:t>
                      </w:r>
                    </w:p>
                    <w:p>
                      <w:pPr>
                        <w:pStyle w:val="TextBody"/>
                        <w:bidi w:val="0"/>
                        <w:spacing w:before="0" w:after="283"/>
                        <w:ind w:left="0" w:right="0" w:hanging="0"/>
                        <w:jc w:val="left"/>
                        <w:rPr>
                          <w:bdr w:val="single" w:sz="8" w:space="1" w:color="83AD40"/>
                        </w:rPr>
                      </w:pPr>
                      <w:r>
                        <w:rPr>
                          <w:bdr w:val="single" w:sz="8" w:space="1" w:color="83AD40"/>
                        </w:rPr>
                        <w:t>​</w:t>
                      </w:r>
                    </w:p>
                    <w:p>
                      <w:pPr>
                        <w:pStyle w:val="TextBody"/>
                        <w:bidi w:val="0"/>
                        <w:spacing w:lineRule="atLeast" w:line="260" w:before="371" w:after="283"/>
                        <w:jc w:val="left"/>
                        <w:rPr>
                          <w:b/>
                          <w:color w:val="1F2668"/>
                          <w:sz w:val="22"/>
                        </w:rPr>
                      </w:pPr>
                      <w:r>
                        <w:rPr>
                          <w:b/>
                          <w:color w:val="1F2668"/>
                          <w:spacing w:val="-2"/>
                          <w:sz w:val="22"/>
                        </w:rPr>
                        <w:t>Professional Experience</w:t>
                      </w:r>
                      <w:r>
                        <w:rPr>
                          <w:b/>
                          <w:color w:val="000000"/>
                          <w:spacing w:val="4"/>
                          <w:sz w:val="22"/>
                        </w:rPr>
                        <w:t xml:space="preserve"> </w:t>
                      </w:r>
                    </w:p>
                    <w:p>
                      <w:pPr>
                        <w:pStyle w:val="TextBody"/>
                        <w:bidi w:val="0"/>
                        <w:spacing w:lineRule="atLeast" w:line="220" w:before="102" w:after="0"/>
                        <w:ind w:left="200" w:right="0" w:hanging="0"/>
                        <w:jc w:val="left"/>
                        <w:rPr/>
                      </w:pPr>
                      <w:r>
                        <w:rPr>
                          <w:spacing w:val="-2"/>
                        </w:rPr>
                        <w:t>Chairman Emeritus at the Company since January 2019</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Chairman of the Board of the Company from 1997 through January 2019</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Former executive officer working in conjunction with our Chief Executive Officer and overseeing the Company’s long-term strategic direction; formerly served as our Chief Executive Officer</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Founded our predecessor, S.L. Green Properties, Inc., in 1980; prior to our initial public offering in 1997, Mr. Green was involved in the acquisition of over 50 Manhattan office buildings containing in excess of 10.0 million square feet</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Chairman of the Board of Gramercy Capital Corp. from August 2004 to June 2009</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At-large member of the Executive Committee of the Board of Governors of the Real Estate Board of New York</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Member of the Board of Directors of Streetsquash, Inc., a Section 501(c)(3) tax-exempt organization</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Previously a member of the Board of Directors of Stemedica Cell Technologies, Inc., August 2007 to April 2009; Chairman of the Real Estate Board of New York’s Tax Committee</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B.A. degree from Hartwick College and J.D. degree from Boston College Law School</w:t>
                      </w:r>
                      <w:r>
                        <w:rPr>
                          <w:spacing w:val="4"/>
                        </w:rPr>
                        <w:t xml:space="preserve"> </w:t>
                      </w:r>
                    </w:p>
                    <w:p>
                      <w:pPr>
                        <w:pStyle w:val="TextBody"/>
                        <w:bidi w:val="0"/>
                        <w:spacing w:before="0" w:after="0"/>
                        <w:ind w:left="0" w:right="0" w:hanging="0"/>
                        <w:jc w:val="left"/>
                        <w:rPr/>
                      </w:pPr>
                      <w:r>
                        <w:rPr/>
                        <w:t>​</w:t>
                      </w:r>
                    </w:p>
                    <w:p>
                      <w:pPr>
                        <w:pStyle w:val="TextBody"/>
                        <w:bidi w:val="0"/>
                        <w:spacing w:before="0" w:after="283"/>
                        <w:ind w:left="0" w:right="0" w:hanging="0"/>
                        <w:jc w:val="left"/>
                        <w:rPr>
                          <w:bdr w:val="single" w:sz="8" w:space="1" w:color="83AD40"/>
                        </w:rPr>
                      </w:pPr>
                      <w:r>
                        <w:rPr>
                          <w:bdr w:val="single" w:sz="8" w:space="1" w:color="83AD40"/>
                        </w:rPr>
                        <w:t>​</w:t>
                      </w:r>
                    </w:p>
                    <w:p>
                      <w:pPr>
                        <w:pStyle w:val="TextBody"/>
                        <w:bidi w:val="0"/>
                        <w:spacing w:lineRule="atLeast" w:line="260" w:before="369" w:after="283"/>
                        <w:jc w:val="left"/>
                        <w:rPr>
                          <w:b/>
                          <w:color w:val="1F2668"/>
                          <w:sz w:val="22"/>
                        </w:rPr>
                      </w:pPr>
                      <w:r>
                        <w:rPr>
                          <w:b/>
                          <w:color w:val="1F2668"/>
                          <w:spacing w:val="-2"/>
                          <w:sz w:val="22"/>
                        </w:rPr>
                        <w:t>Skills, Experiences and Attributes</w:t>
                      </w:r>
                      <w:r>
                        <w:rPr>
                          <w:b/>
                          <w:color w:val="000000"/>
                          <w:spacing w:val="4"/>
                          <w:sz w:val="22"/>
                        </w:rPr>
                        <w:t xml:space="preserve"> </w:t>
                      </w:r>
                    </w:p>
                    <w:tbl>
                      <w:tblPr>
                        <w:tblW w:w="9110" w:type="dxa"/>
                        <w:jc w:val="left"/>
                        <w:tblInd w:w="0" w:type="dxa"/>
                        <w:tblLayout w:type="fixed"/>
                        <w:tblCellMar>
                          <w:top w:w="0" w:type="dxa"/>
                          <w:left w:w="0" w:type="dxa"/>
                          <w:bottom w:w="0" w:type="dxa"/>
                          <w:right w:w="0" w:type="dxa"/>
                        </w:tblCellMar>
                      </w:tblPr>
                      <w:tblGrid>
                        <w:gridCol w:w="124"/>
                        <w:gridCol w:w="731"/>
                        <w:gridCol w:w="109"/>
                        <w:gridCol w:w="109"/>
                        <w:gridCol w:w="4081"/>
                        <w:gridCol w:w="109"/>
                        <w:gridCol w:w="109"/>
                        <w:gridCol w:w="731"/>
                        <w:gridCol w:w="109"/>
                        <w:gridCol w:w="109"/>
                        <w:gridCol w:w="2635"/>
                        <w:gridCol w:w="154"/>
                      </w:tblGrid>
                      <w:tr>
                        <w:trPr/>
                        <w:tc>
                          <w:tcPr>
                            <w:tcW w:w="124" w:type="dxa"/>
                            <w:tcBorders/>
                            <w:vAlign w:val="center"/>
                          </w:tcPr>
                          <w:p>
                            <w:pPr>
                              <w:pStyle w:val="TableContents"/>
                              <w:bidi w:val="0"/>
                              <w:spacing w:before="0" w:after="283"/>
                              <w:jc w:val="left"/>
                              <w:rPr/>
                            </w:pPr>
                            <w:r>
                              <w:rPr/>
                              <w:t>​</w:t>
                            </w:r>
                          </w:p>
                        </w:tc>
                        <w:tc>
                          <w:tcPr>
                            <w:tcW w:w="731" w:type="dxa"/>
                            <w:tcBorders/>
                            <w:vAlign w:val="center"/>
                          </w:tcPr>
                          <w:p>
                            <w:pPr>
                              <w:pStyle w:val="TableContents"/>
                              <w:bidi w:val="0"/>
                              <w:spacing w:before="0" w:after="0"/>
                              <w:jc w:val="left"/>
                              <w:rPr/>
                            </w:pPr>
                            <w:r>
                              <w:rPr/>
                              <w:drawing>
                                <wp:inline distT="0" distB="0" distL="0" distR="0">
                                  <wp:extent cx="371475" cy="390525"/>
                                  <wp:effectExtent l="0" t="0" r="0" b="0"/>
                                  <wp:docPr id="304"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 name="Image154" descr=""/>
                                          <pic:cNvPicPr>
                                            <a:picLocks noChangeAspect="1" noChangeArrowheads="1"/>
                                          </pic:cNvPicPr>
                                        </pic:nvPicPr>
                                        <pic:blipFill>
                                          <a:blip r:embed="rId206"/>
                                          <a:stretch>
                                            <a:fillRect/>
                                          </a:stretch>
                                        </pic:blipFill>
                                        <pic:spPr bwMode="auto">
                                          <a:xfrm>
                                            <a:off x="0" y="0"/>
                                            <a:ext cx="371475" cy="3905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81"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Executive Leadership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1"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71475" cy="371475"/>
                                  <wp:effectExtent l="0" t="0" r="0" b="0"/>
                                  <wp:docPr id="305"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 name="Image155" descr=""/>
                                          <pic:cNvPicPr>
                                            <a:picLocks noChangeAspect="1" noChangeArrowheads="1"/>
                                          </pic:cNvPicPr>
                                        </pic:nvPicPr>
                                        <pic:blipFill>
                                          <a:blip r:embed="rId207"/>
                                          <a:stretch>
                                            <a:fillRect/>
                                          </a:stretch>
                                        </pic:blipFill>
                                        <pic:spPr bwMode="auto">
                                          <a:xfrm>
                                            <a:off x="0" y="0"/>
                                            <a:ext cx="371475" cy="3714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635"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Finance/Capital Markets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1"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52425" cy="409575"/>
                                  <wp:effectExtent l="0" t="0" r="0" b="0"/>
                                  <wp:docPr id="306"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 name="Image156" descr=""/>
                                          <pic:cNvPicPr>
                                            <a:picLocks noChangeAspect="1" noChangeArrowheads="1"/>
                                          </pic:cNvPicPr>
                                        </pic:nvPicPr>
                                        <pic:blipFill>
                                          <a:blip r:embed="rId208"/>
                                          <a:stretch>
                                            <a:fillRect/>
                                          </a:stretch>
                                        </pic:blipFill>
                                        <pic:spPr bwMode="auto">
                                          <a:xfrm>
                                            <a:off x="0" y="0"/>
                                            <a:ext cx="352425" cy="4095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81"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Risk Management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1"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33375" cy="304800"/>
                                  <wp:effectExtent l="0" t="0" r="0" b="0"/>
                                  <wp:docPr id="307"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 name="Image157" descr=""/>
                                          <pic:cNvPicPr>
                                            <a:picLocks noChangeAspect="1" noChangeArrowheads="1"/>
                                          </pic:cNvPicPr>
                                        </pic:nvPicPr>
                                        <pic:blipFill>
                                          <a:blip r:embed="rId209"/>
                                          <a:stretch>
                                            <a:fillRect/>
                                          </a:stretch>
                                        </pic:blipFill>
                                        <pic:spPr bwMode="auto">
                                          <a:xfrm>
                                            <a:off x="0" y="0"/>
                                            <a:ext cx="333375" cy="3048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635"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REIT/Real Estate Industry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1"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52425" cy="371475"/>
                                  <wp:effectExtent l="0" t="0" r="0" b="0"/>
                                  <wp:docPr id="308"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 name="Image158" descr=""/>
                                          <pic:cNvPicPr>
                                            <a:picLocks noChangeAspect="1" noChangeArrowheads="1"/>
                                          </pic:cNvPicPr>
                                        </pic:nvPicPr>
                                        <pic:blipFill>
                                          <a:blip r:embed="rId210"/>
                                          <a:stretch>
                                            <a:fillRect/>
                                          </a:stretch>
                                        </pic:blipFill>
                                        <pic:spPr bwMode="auto">
                                          <a:xfrm>
                                            <a:off x="0" y="0"/>
                                            <a:ext cx="352425" cy="3714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81"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Experience Over Several Business Cycles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1"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52425" cy="352425"/>
                                  <wp:effectExtent l="0" t="0" r="0" b="0"/>
                                  <wp:docPr id="309"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 name="Image159" descr=""/>
                                          <pic:cNvPicPr>
                                            <a:picLocks noChangeAspect="1" noChangeArrowheads="1"/>
                                          </pic:cNvPicPr>
                                        </pic:nvPicPr>
                                        <pic:blipFill>
                                          <a:blip r:embed="rId211"/>
                                          <a:stretch>
                                            <a:fillRect/>
                                          </a:stretch>
                                        </pic:blipFill>
                                        <pic:spPr bwMode="auto">
                                          <a:xfrm>
                                            <a:off x="0" y="0"/>
                                            <a:ext cx="352425" cy="3524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635"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Talent Management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1"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42900" cy="381000"/>
                                  <wp:effectExtent l="0" t="0" r="0" b="0"/>
                                  <wp:docPr id="310"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 name="Image160" descr=""/>
                                          <pic:cNvPicPr>
                                            <a:picLocks noChangeAspect="1" noChangeArrowheads="1"/>
                                          </pic:cNvPicPr>
                                        </pic:nvPicPr>
                                        <pic:blipFill>
                                          <a:blip r:embed="rId212"/>
                                          <a:stretch>
                                            <a:fillRect/>
                                          </a:stretch>
                                        </pic:blipFill>
                                        <pic:spPr bwMode="auto">
                                          <a:xfrm>
                                            <a:off x="0" y="0"/>
                                            <a:ext cx="342900" cy="3810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81"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Government/Regulatory Experience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1"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635"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101600" distB="0" distL="0" distR="0" simplePos="0" locked="0" layoutInCell="1" allowOverlap="1" relativeHeight="395">
                <wp:simplePos x="0" y="0"/>
                <wp:positionH relativeFrom="column">
                  <wp:align>left</wp:align>
                </wp:positionH>
                <wp:positionV relativeFrom="line">
                  <wp:align>top</wp:align>
                </wp:positionV>
                <wp:extent cx="114300" cy="350520"/>
                <wp:effectExtent l="0" t="0" r="0" b="0"/>
                <wp:wrapSquare wrapText="right"/>
                <wp:docPr id="311" name="Frame105"/>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
                        </w:rPr>
                        <w:br/>
                      </w:r>
                    </w:p>
                  </w:txbxContent>
                </v:textbox>
                <w10:wrap type="square" side="right"/>
              </v:rect>
            </w:pict>
          </mc:Fallback>
        </mc:AlternateContent>
      </w:r>
      <w:r>
        <mc:AlternateContent>
          <mc:Choice Requires="wps">
            <w:drawing>
              <wp:anchor behindDoc="0" distT="64770" distB="0" distL="0" distR="0" simplePos="0" locked="0" layoutInCell="1" allowOverlap="1" relativeHeight="396">
                <wp:simplePos x="0" y="0"/>
                <wp:positionH relativeFrom="column">
                  <wp:align>left</wp:align>
                </wp:positionH>
                <wp:positionV relativeFrom="line">
                  <wp:align>top</wp:align>
                </wp:positionV>
                <wp:extent cx="127000" cy="350520"/>
                <wp:effectExtent l="0" t="0" r="0" b="0"/>
                <wp:wrapSquare wrapText="right"/>
                <wp:docPr id="312" name="Frame1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5.1pt;mso-wrap-distance-bottom:0pt;margin-top:5.1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24130" distB="0" distL="0" distR="0" simplePos="0" locked="0" layoutInCell="1" allowOverlap="1" relativeHeight="397">
                <wp:simplePos x="0" y="0"/>
                <wp:positionH relativeFrom="column">
                  <wp:align>left</wp:align>
                </wp:positionH>
                <wp:positionV relativeFrom="line">
                  <wp:align>top</wp:align>
                </wp:positionV>
                <wp:extent cx="127000" cy="350520"/>
                <wp:effectExtent l="0" t="0" r="0" b="0"/>
                <wp:wrapSquare wrapText="right"/>
                <wp:docPr id="313" name="Frame1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24130" distB="0" distL="0" distR="0" simplePos="0" locked="0" layoutInCell="1" allowOverlap="1" relativeHeight="398">
                <wp:simplePos x="0" y="0"/>
                <wp:positionH relativeFrom="column">
                  <wp:align>left</wp:align>
                </wp:positionH>
                <wp:positionV relativeFrom="line">
                  <wp:align>top</wp:align>
                </wp:positionV>
                <wp:extent cx="127000" cy="350520"/>
                <wp:effectExtent l="0" t="0" r="0" b="0"/>
                <wp:wrapSquare wrapText="right"/>
                <wp:docPr id="314" name="Frame1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24130" distB="0" distL="0" distR="0" simplePos="0" locked="0" layoutInCell="1" allowOverlap="1" relativeHeight="399">
                <wp:simplePos x="0" y="0"/>
                <wp:positionH relativeFrom="column">
                  <wp:align>left</wp:align>
                </wp:positionH>
                <wp:positionV relativeFrom="line">
                  <wp:align>top</wp:align>
                </wp:positionV>
                <wp:extent cx="127000" cy="350520"/>
                <wp:effectExtent l="0" t="0" r="0" b="0"/>
                <wp:wrapSquare wrapText="right"/>
                <wp:docPr id="315" name="Frame1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24130" distB="0" distL="0" distR="0" simplePos="0" locked="0" layoutInCell="1" allowOverlap="1" relativeHeight="400">
                <wp:simplePos x="0" y="0"/>
                <wp:positionH relativeFrom="column">
                  <wp:align>left</wp:align>
                </wp:positionH>
                <wp:positionV relativeFrom="line">
                  <wp:align>top</wp:align>
                </wp:positionV>
                <wp:extent cx="127000" cy="350520"/>
                <wp:effectExtent l="0" t="0" r="0" b="0"/>
                <wp:wrapSquare wrapText="right"/>
                <wp:docPr id="316" name="Frame1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24130" distB="0" distL="0" distR="0" simplePos="0" locked="0" layoutInCell="1" allowOverlap="1" relativeHeight="401">
                <wp:simplePos x="0" y="0"/>
                <wp:positionH relativeFrom="column">
                  <wp:align>left</wp:align>
                </wp:positionH>
                <wp:positionV relativeFrom="line">
                  <wp:align>top</wp:align>
                </wp:positionV>
                <wp:extent cx="127000" cy="350520"/>
                <wp:effectExtent l="0" t="0" r="0" b="0"/>
                <wp:wrapSquare wrapText="right"/>
                <wp:docPr id="317" name="Frame1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24130" distB="0" distL="0" distR="0" simplePos="0" locked="0" layoutInCell="1" allowOverlap="1" relativeHeight="402">
                <wp:simplePos x="0" y="0"/>
                <wp:positionH relativeFrom="column">
                  <wp:align>left</wp:align>
                </wp:positionH>
                <wp:positionV relativeFrom="line">
                  <wp:align>top</wp:align>
                </wp:positionV>
                <wp:extent cx="127000" cy="350520"/>
                <wp:effectExtent l="0" t="0" r="0" b="0"/>
                <wp:wrapSquare wrapText="right"/>
                <wp:docPr id="318" name="Frame1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24130" distB="0" distL="0" distR="0" simplePos="0" locked="0" layoutInCell="1" allowOverlap="1" relativeHeight="403">
                <wp:simplePos x="0" y="0"/>
                <wp:positionH relativeFrom="column">
                  <wp:align>left</wp:align>
                </wp:positionH>
                <wp:positionV relativeFrom="line">
                  <wp:align>top</wp:align>
                </wp:positionV>
                <wp:extent cx="127000" cy="350520"/>
                <wp:effectExtent l="0" t="0" r="0" b="0"/>
                <wp:wrapSquare wrapText="right"/>
                <wp:docPr id="319" name="Frame1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24130" distB="0" distL="0" distR="0" simplePos="0" locked="0" layoutInCell="1" allowOverlap="1" relativeHeight="404">
                <wp:simplePos x="0" y="0"/>
                <wp:positionH relativeFrom="column">
                  <wp:align>left</wp:align>
                </wp:positionH>
                <wp:positionV relativeFrom="line">
                  <wp:align>top</wp:align>
                </wp:positionV>
                <wp:extent cx="127000" cy="350520"/>
                <wp:effectExtent l="0" t="0" r="0" b="0"/>
                <wp:wrapSquare wrapText="right"/>
                <wp:docPr id="320" name="Frame1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8095" w:type="dxa"/>
        <w:jc w:val="left"/>
        <w:tblInd w:w="900" w:type="dxa"/>
        <w:tblLayout w:type="fixed"/>
        <w:tblCellMar>
          <w:top w:w="0" w:type="dxa"/>
          <w:left w:w="0" w:type="dxa"/>
          <w:bottom w:w="0" w:type="dxa"/>
          <w:right w:w="0" w:type="dxa"/>
        </w:tblCellMar>
      </w:tblPr>
      <w:tblGrid>
        <w:gridCol w:w="124"/>
        <w:gridCol w:w="7253"/>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7253" w:type="dxa"/>
            <w:tcBorders/>
            <w:vAlign w:val="center"/>
          </w:tcPr>
          <w:p>
            <w:pPr>
              <w:pStyle w:val="TableContents"/>
              <w:bidi w:val="0"/>
              <w:spacing w:lineRule="atLeast" w:line="200" w:before="0" w:after="0"/>
              <w:jc w:val="left"/>
              <w:rPr/>
            </w:pPr>
            <w:r>
              <w:rPr>
                <w:spacing w:val="-2"/>
              </w:rPr>
              <w:t>OUR BOARD OF DIRECTORS AND CORPORATE GOVERNANCE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color w:val="1F2668"/>
                <w:sz w:val="24"/>
              </w:rPr>
            </w:pPr>
            <w:r>
              <w:rPr>
                <w:color w:val="1F2668"/>
                <w:sz w:val="24"/>
              </w:rPr>
              <w:t>17</w:t>
            </w:r>
          </w:p>
        </w:tc>
        <w:tc>
          <w:tcPr>
            <w:tcW w:w="154" w:type="dxa"/>
            <w:tcBorders/>
            <w:vAlign w:val="center"/>
          </w:tcPr>
          <w:p>
            <w:pPr>
              <w:pStyle w:val="TableContents"/>
              <w:bidi w:val="0"/>
              <w:spacing w:before="0" w:after="283"/>
              <w:jc w:val="left"/>
              <w:rPr/>
            </w:pPr>
            <w:r>
              <w:rPr/>
              <w:t>​</w:t>
            </w:r>
          </w:p>
        </w:tc>
      </w:tr>
    </w:tbl>
    <w:p>
      <w:pPr>
        <w:pStyle w:val="TextBody"/>
        <w:bidi w:val="0"/>
        <w:spacing w:before="0" w:after="590"/>
        <w:ind w:left="900" w:right="0" w:hanging="0"/>
        <w:jc w:val="left"/>
        <w:rPr>
          <w:caps w:val="false"/>
          <w:smallCaps w:val="false"/>
          <w:color w:val="000000"/>
        </w:rPr>
      </w:pPr>
      <w:r>
        <w:rPr>
          <w:caps w:val="false"/>
          <w:smallCaps w:val="false"/>
          <w:color w:val="000000"/>
        </w:rPr>
        <w:t>​</w:t>
      </w:r>
      <w:r>
        <mc:AlternateContent>
          <mc:Choice Requires="wps">
            <w:drawing>
              <wp:anchor behindDoc="0" distT="0" distB="0" distL="254000" distR="0" simplePos="0" locked="0" layoutInCell="1" allowOverlap="1" relativeHeight="69">
                <wp:simplePos x="0" y="0"/>
                <wp:positionH relativeFrom="column">
                  <wp:align>left</wp:align>
                </wp:positionH>
                <wp:positionV relativeFrom="line">
                  <wp:posOffset>635</wp:posOffset>
                </wp:positionV>
                <wp:extent cx="4584700" cy="9972040"/>
                <wp:effectExtent l="0" t="0" r="0" b="0"/>
                <wp:wrapSquare wrapText="right"/>
                <wp:docPr id="321" name="Frame119"/>
                <a:graphic xmlns:a="http://schemas.openxmlformats.org/drawingml/2006/main">
                  <a:graphicData uri="http://schemas.microsoft.com/office/word/2010/wordprocessingShape">
                    <wps:wsp>
                      <wps:cNvSpPr txBox="1"/>
                      <wps:spPr>
                        <a:xfrm>
                          <a:off x="0" y="0"/>
                          <a:ext cx="4584700" cy="9972040"/>
                        </a:xfrm>
                        <a:prstGeom prst="rect"/>
                        <a:solidFill>
                          <a:srgbClr val="FFFFFF"/>
                        </a:solidFill>
                      </wps:spPr>
                      <wps:txbx>
                        <w:txbxContent>
                          <w:p>
                            <w:pPr>
                              <w:pStyle w:val="TextBody"/>
                              <w:bidi w:val="0"/>
                              <w:spacing w:lineRule="atLeast" w:line="180" w:before="500" w:after="283"/>
                              <w:jc w:val="left"/>
                              <w:rPr/>
                            </w:pPr>
                            <w:r>
                              <w:rPr>
                                <w:spacing w:val="-2"/>
                              </w:rPr>
                              <w:t>Mr. Hatkoff has in-depth expertise and knowledge of real estate, capital markets, finance, private investing, entrepreneurship and executive management through his work with Chemical Bank, Victor Capital Group, and Capital Trust. As a result of the foregoing, Mr. Hatkoff provides the Board with unique insight into the financial markets generally, valuation analysis, strategic planning and unique financing structures and alternatives. He also possesses entrepreneurial, brand marketing, social media, technology and innovation, and senior leadership experience through his private investments and service on the Boards of numerous educational and charitable organizations. Mr. Hatkoff also has extensive Board and Board committee experience at other public companies, including his prior service at Taubman Centers, Inc. and his long-standing service to Capital Trust, Inc., which enables him to provide significant insight as to governance and compliance-related matters particular to real estate companies.</w:t>
                            </w:r>
                            <w:r>
                              <w:rPr>
                                <w:spacing w:val="3"/>
                              </w:rPr>
                              <w:t xml:space="preserve"> </w:t>
                            </w:r>
                          </w:p>
                          <w:p>
                            <w:pPr>
                              <w:pStyle w:val="TextBody"/>
                              <w:bidi w:val="0"/>
                              <w:spacing w:before="0" w:after="283"/>
                              <w:ind w:left="0" w:right="0" w:hanging="0"/>
                              <w:jc w:val="left"/>
                              <w:rPr>
                                <w:bdr w:val="single" w:sz="8" w:space="1" w:color="83AD40"/>
                              </w:rPr>
                            </w:pPr>
                            <w:r>
                              <w:rPr>
                                <w:bdr w:val="single" w:sz="8" w:space="1" w:color="83AD40"/>
                              </w:rPr>
                              <w:t>​</w:t>
                            </w:r>
                          </w:p>
                          <w:p>
                            <w:pPr>
                              <w:pStyle w:val="TextBody"/>
                              <w:bidi w:val="0"/>
                              <w:spacing w:lineRule="atLeast" w:line="260" w:before="86" w:after="283"/>
                              <w:jc w:val="left"/>
                              <w:rPr>
                                <w:b/>
                                <w:color w:val="1F2668"/>
                                <w:sz w:val="22"/>
                              </w:rPr>
                            </w:pPr>
                            <w:r>
                              <w:rPr>
                                <w:b/>
                                <w:color w:val="1F2668"/>
                                <w:spacing w:val="-2"/>
                                <w:sz w:val="22"/>
                              </w:rPr>
                              <w:t>Professional Experience</w:t>
                            </w:r>
                            <w:r>
                              <w:rPr>
                                <w:b/>
                                <w:color w:val="000000"/>
                                <w:spacing w:val="4"/>
                                <w:sz w:val="22"/>
                              </w:rPr>
                              <w:t xml:space="preserve"> </w:t>
                            </w:r>
                          </w:p>
                          <w:p>
                            <w:pPr>
                              <w:pStyle w:val="TextBody"/>
                              <w:bidi w:val="0"/>
                              <w:spacing w:lineRule="atLeast" w:line="190" w:before="76" w:after="0"/>
                              <w:ind w:left="200" w:right="0" w:hanging="0"/>
                              <w:jc w:val="left"/>
                              <w:rPr/>
                            </w:pPr>
                            <w:r>
                              <w:rPr>
                                <w:spacing w:val="-2"/>
                              </w:rPr>
                              <w:t>Co-founder of Disruptor Awards and Disruptor Foundation along with Harvard Business School Professor Clayton Christensen</w:t>
                            </w:r>
                            <w:r>
                              <w:rPr>
                                <w:spacing w:val="3"/>
                              </w:rPr>
                              <w:t xml:space="preserve"> </w:t>
                            </w:r>
                          </w:p>
                          <w:p>
                            <w:pPr>
                              <w:pStyle w:val="TextBody"/>
                              <w:bidi w:val="0"/>
                              <w:spacing w:before="0" w:after="0"/>
                              <w:ind w:left="0" w:right="0" w:hanging="0"/>
                              <w:jc w:val="left"/>
                              <w:rPr/>
                            </w:pPr>
                            <w:r>
                              <w:rPr/>
                              <w:t>​</w:t>
                            </w:r>
                          </w:p>
                          <w:p>
                            <w:pPr>
                              <w:pStyle w:val="TextBody"/>
                              <w:bidi w:val="0"/>
                              <w:spacing w:lineRule="atLeast" w:line="190" w:before="46" w:after="0"/>
                              <w:ind w:left="200" w:right="0" w:hanging="0"/>
                              <w:jc w:val="left"/>
                              <w:rPr/>
                            </w:pPr>
                            <w:r>
                              <w:rPr>
                                <w:spacing w:val="-2"/>
                              </w:rPr>
                              <w:t>Co-Founder, Vice Chairman and director of Capital Trust, Inc. (n/k/a Blackstone Mortgage Trust, Inc.), a real estate investment management company that was listed on the New York Stock Exchange, and one of the largest dedicated real estate mezzanine lenders, from 1997 to 2000, and served on its Board of Directors from 1997 to 2010</w:t>
                            </w:r>
                            <w:r>
                              <w:rPr>
                                <w:spacing w:val="3"/>
                              </w:rPr>
                              <w:t xml:space="preserve"> </w:t>
                            </w:r>
                          </w:p>
                          <w:p>
                            <w:pPr>
                              <w:pStyle w:val="TextBody"/>
                              <w:bidi w:val="0"/>
                              <w:spacing w:before="0" w:after="0"/>
                              <w:ind w:left="0" w:right="0" w:hanging="0"/>
                              <w:jc w:val="left"/>
                              <w:rPr/>
                            </w:pPr>
                            <w:r>
                              <w:rPr/>
                              <w:t>​</w:t>
                            </w:r>
                          </w:p>
                          <w:p>
                            <w:pPr>
                              <w:pStyle w:val="TextBody"/>
                              <w:bidi w:val="0"/>
                              <w:spacing w:lineRule="atLeast" w:line="190" w:before="46" w:after="0"/>
                              <w:ind w:left="200" w:right="0" w:hanging="0"/>
                              <w:jc w:val="left"/>
                              <w:rPr/>
                            </w:pPr>
                            <w:r>
                              <w:rPr>
                                <w:spacing w:val="-2"/>
                              </w:rPr>
                              <w:t>Trustee of the New York City School Construction Authority, the agency responsible for the construction of all public schools in New York City, from 2002 to 2005</w:t>
                            </w:r>
                            <w:r>
                              <w:rPr>
                                <w:spacing w:val="3"/>
                              </w:rPr>
                              <w:t xml:space="preserve"> </w:t>
                            </w:r>
                          </w:p>
                          <w:p>
                            <w:pPr>
                              <w:pStyle w:val="TextBody"/>
                              <w:bidi w:val="0"/>
                              <w:spacing w:before="0" w:after="0"/>
                              <w:ind w:left="0" w:right="0" w:hanging="0"/>
                              <w:jc w:val="left"/>
                              <w:rPr/>
                            </w:pPr>
                            <w:r>
                              <w:rPr/>
                              <w:t>​</w:t>
                            </w:r>
                          </w:p>
                          <w:p>
                            <w:pPr>
                              <w:pStyle w:val="TextBody"/>
                              <w:bidi w:val="0"/>
                              <w:spacing w:lineRule="atLeast" w:line="190" w:before="46" w:after="0"/>
                              <w:ind w:left="200" w:right="0" w:hanging="0"/>
                              <w:jc w:val="left"/>
                              <w:rPr/>
                            </w:pPr>
                            <w:r>
                              <w:rPr>
                                <w:spacing w:val="-2"/>
                              </w:rPr>
                              <w:t>Former co-head of the real estate investment banking unit at Chemical Bank, where he was a pioneer and founding father of commercial mortgage securitization</w:t>
                            </w:r>
                            <w:r>
                              <w:rPr>
                                <w:spacing w:val="3"/>
                              </w:rPr>
                              <w:t xml:space="preserve"> </w:t>
                            </w:r>
                          </w:p>
                          <w:p>
                            <w:pPr>
                              <w:pStyle w:val="TextBody"/>
                              <w:bidi w:val="0"/>
                              <w:spacing w:before="0" w:after="0"/>
                              <w:ind w:left="0" w:right="0" w:hanging="0"/>
                              <w:jc w:val="left"/>
                              <w:rPr/>
                            </w:pPr>
                            <w:r>
                              <w:rPr/>
                              <w:t>​</w:t>
                            </w:r>
                          </w:p>
                          <w:p>
                            <w:pPr>
                              <w:pStyle w:val="TextBody"/>
                              <w:bidi w:val="0"/>
                              <w:spacing w:lineRule="atLeast" w:line="190" w:before="46" w:after="0"/>
                              <w:ind w:left="200" w:right="0" w:hanging="0"/>
                              <w:jc w:val="left"/>
                              <w:rPr/>
                            </w:pPr>
                            <w:r>
                              <w:rPr>
                                <w:spacing w:val="-2"/>
                              </w:rPr>
                              <w:t>Co-founder of the Tribeca Film Festival</w:t>
                            </w:r>
                            <w:r>
                              <w:rPr>
                                <w:spacing w:val="3"/>
                              </w:rPr>
                              <w:t xml:space="preserve"> </w:t>
                            </w:r>
                          </w:p>
                          <w:p>
                            <w:pPr>
                              <w:pStyle w:val="TextBody"/>
                              <w:bidi w:val="0"/>
                              <w:spacing w:before="0" w:after="0"/>
                              <w:ind w:left="0" w:right="0" w:hanging="0"/>
                              <w:jc w:val="left"/>
                              <w:rPr/>
                            </w:pPr>
                            <w:r>
                              <w:rPr/>
                              <w:t>​</w:t>
                            </w:r>
                          </w:p>
                          <w:p>
                            <w:pPr>
                              <w:pStyle w:val="TextBody"/>
                              <w:bidi w:val="0"/>
                              <w:spacing w:lineRule="atLeast" w:line="190" w:before="46" w:after="0"/>
                              <w:ind w:left="200" w:right="0" w:hanging="0"/>
                              <w:jc w:val="left"/>
                              <w:rPr/>
                            </w:pPr>
                            <w:r>
                              <w:rPr>
                                <w:spacing w:val="-2"/>
                              </w:rPr>
                              <w:t>Chairman of Turtle Pond Publications LLC, which is active in children’s publishing and entertainment, and private investor in other entrepreneurial ventures</w:t>
                            </w:r>
                            <w:r>
                              <w:rPr>
                                <w:spacing w:val="3"/>
                              </w:rPr>
                              <w:t xml:space="preserve"> </w:t>
                            </w:r>
                          </w:p>
                          <w:p>
                            <w:pPr>
                              <w:pStyle w:val="TextBody"/>
                              <w:bidi w:val="0"/>
                              <w:spacing w:before="0" w:after="0"/>
                              <w:ind w:left="0" w:right="0" w:hanging="0"/>
                              <w:jc w:val="left"/>
                              <w:rPr/>
                            </w:pPr>
                            <w:r>
                              <w:rPr/>
                              <w:t>​</w:t>
                            </w:r>
                          </w:p>
                          <w:p>
                            <w:pPr>
                              <w:pStyle w:val="TextBody"/>
                              <w:bidi w:val="0"/>
                              <w:spacing w:lineRule="atLeast" w:line="190" w:before="46" w:after="0"/>
                              <w:ind w:left="200" w:right="0" w:hanging="0"/>
                              <w:jc w:val="left"/>
                              <w:rPr/>
                            </w:pPr>
                            <w:r>
                              <w:rPr>
                                <w:spacing w:val="-2"/>
                              </w:rPr>
                              <w:t>Adjunct Professor at Columbia Business School (1990-1994 for Real Estate Capital Markets; 2015-2021 for Innovation, Entrepreneurship and Creativity)</w:t>
                            </w:r>
                            <w:r>
                              <w:rPr>
                                <w:spacing w:val="3"/>
                              </w:rPr>
                              <w:t xml:space="preserve"> </w:t>
                            </w:r>
                          </w:p>
                          <w:p>
                            <w:pPr>
                              <w:pStyle w:val="TextBody"/>
                              <w:bidi w:val="0"/>
                              <w:spacing w:before="0" w:after="0"/>
                              <w:ind w:left="0" w:right="0" w:hanging="0"/>
                              <w:jc w:val="left"/>
                              <w:rPr/>
                            </w:pPr>
                            <w:r>
                              <w:rPr/>
                              <w:t>​</w:t>
                            </w:r>
                          </w:p>
                          <w:p>
                            <w:pPr>
                              <w:pStyle w:val="TextBody"/>
                              <w:bidi w:val="0"/>
                              <w:spacing w:lineRule="atLeast" w:line="190" w:before="46" w:after="0"/>
                              <w:ind w:left="200" w:right="0" w:hanging="0"/>
                              <w:jc w:val="left"/>
                              <w:rPr/>
                            </w:pPr>
                            <w:r>
                              <w:rPr>
                                <w:spacing w:val="-2"/>
                              </w:rPr>
                              <w:t>Colgate University Entrepreneur of the Year (2024)</w:t>
                            </w:r>
                            <w:r>
                              <w:rPr>
                                <w:spacing w:val="3"/>
                              </w:rPr>
                              <w:t xml:space="preserve"> </w:t>
                            </w:r>
                          </w:p>
                          <w:p>
                            <w:pPr>
                              <w:pStyle w:val="TextBody"/>
                              <w:bidi w:val="0"/>
                              <w:spacing w:before="0" w:after="0"/>
                              <w:ind w:left="0" w:right="0" w:hanging="0"/>
                              <w:jc w:val="left"/>
                              <w:rPr/>
                            </w:pPr>
                            <w:r>
                              <w:rPr/>
                              <w:t>​</w:t>
                            </w:r>
                          </w:p>
                          <w:p>
                            <w:pPr>
                              <w:pStyle w:val="TextBody"/>
                              <w:bidi w:val="0"/>
                              <w:spacing w:lineRule="atLeast" w:line="190" w:before="46" w:after="0"/>
                              <w:ind w:left="200" w:right="0" w:hanging="0"/>
                              <w:jc w:val="left"/>
                              <w:rPr/>
                            </w:pPr>
                            <w:r>
                              <w:rPr>
                                <w:spacing w:val="-2"/>
                              </w:rPr>
                              <w:t>Other current or previous non-profit directorships: Sesame Workshop; Rock &amp; Roll Hall of Fame; Mandela Institute for Humanity; Desmond Tutu Peace Foundation; Richard Leakey’s Wildlife Direct; Tribeca Film Institute; Borough of Manhattan Community College Foundation</w:t>
                            </w:r>
                            <w:r>
                              <w:rPr>
                                <w:spacing w:val="3"/>
                              </w:rPr>
                              <w:t xml:space="preserve"> </w:t>
                            </w:r>
                          </w:p>
                          <w:p>
                            <w:pPr>
                              <w:pStyle w:val="TextBody"/>
                              <w:bidi w:val="0"/>
                              <w:spacing w:before="0" w:after="0"/>
                              <w:ind w:left="0" w:right="0" w:hanging="0"/>
                              <w:jc w:val="left"/>
                              <w:rPr/>
                            </w:pPr>
                            <w:r>
                              <w:rPr/>
                              <w:t>​</w:t>
                            </w:r>
                          </w:p>
                          <w:p>
                            <w:pPr>
                              <w:pStyle w:val="TextBody"/>
                              <w:bidi w:val="0"/>
                              <w:spacing w:lineRule="atLeast" w:line="190" w:before="46" w:after="0"/>
                              <w:ind w:left="200" w:right="0" w:hanging="0"/>
                              <w:jc w:val="left"/>
                              <w:rPr/>
                            </w:pPr>
                            <w:r>
                              <w:rPr>
                                <w:spacing w:val="-2"/>
                              </w:rPr>
                              <w:t>BA from Colgate University and MBA from Columbia Business School</w:t>
                            </w:r>
                            <w:r>
                              <w:rPr>
                                <w:spacing w:val="3"/>
                              </w:rPr>
                              <w:t xml:space="preserve"> </w:t>
                            </w:r>
                          </w:p>
                          <w:p>
                            <w:pPr>
                              <w:pStyle w:val="TextBody"/>
                              <w:bidi w:val="0"/>
                              <w:spacing w:before="0" w:after="0"/>
                              <w:ind w:left="0" w:right="0" w:hanging="0"/>
                              <w:jc w:val="left"/>
                              <w:rPr/>
                            </w:pPr>
                            <w:r>
                              <w:rPr/>
                              <w:t>​</w:t>
                            </w:r>
                          </w:p>
                          <w:p>
                            <w:pPr>
                              <w:pStyle w:val="TextBody"/>
                              <w:bidi w:val="0"/>
                              <w:spacing w:lineRule="atLeast" w:line="260" w:before="120" w:after="283"/>
                              <w:jc w:val="left"/>
                              <w:rPr>
                                <w:b/>
                                <w:color w:val="1F2668"/>
                                <w:sz w:val="22"/>
                              </w:rPr>
                            </w:pPr>
                            <w:r>
                              <w:rPr>
                                <w:b/>
                                <w:color w:val="1F2668"/>
                                <w:spacing w:val="-2"/>
                                <w:sz w:val="22"/>
                              </w:rPr>
                              <w:t>Other Public Board Directorships</w:t>
                            </w:r>
                            <w:r>
                              <w:rPr>
                                <w:b/>
                                <w:color w:val="000000"/>
                                <w:spacing w:val="4"/>
                                <w:sz w:val="22"/>
                              </w:rPr>
                              <w:t xml:space="preserve"> </w:t>
                            </w:r>
                          </w:p>
                          <w:p>
                            <w:pPr>
                              <w:pStyle w:val="TextBody"/>
                              <w:bidi w:val="0"/>
                              <w:spacing w:lineRule="atLeast" w:line="190" w:before="96" w:after="0"/>
                              <w:ind w:left="200" w:right="0" w:hanging="0"/>
                              <w:jc w:val="left"/>
                              <w:rPr/>
                            </w:pPr>
                            <w:r>
                              <w:rPr>
                                <w:spacing w:val="-2"/>
                              </w:rPr>
                              <w:t>Captivision Inc. since November 2023</w:t>
                            </w:r>
                            <w:r>
                              <w:rPr>
                                <w:spacing w:val="3"/>
                              </w:rPr>
                              <w:t xml:space="preserve"> </w:t>
                            </w:r>
                          </w:p>
                          <w:p>
                            <w:pPr>
                              <w:pStyle w:val="TextBody"/>
                              <w:bidi w:val="0"/>
                              <w:spacing w:before="0" w:after="0"/>
                              <w:ind w:left="0" w:right="0" w:hanging="0"/>
                              <w:jc w:val="left"/>
                              <w:rPr/>
                            </w:pPr>
                            <w:r>
                              <w:rPr/>
                              <w:t>​</w:t>
                            </w:r>
                          </w:p>
                          <w:p>
                            <w:pPr>
                              <w:pStyle w:val="TextBody"/>
                              <w:bidi w:val="0"/>
                              <w:spacing w:lineRule="atLeast" w:line="190" w:before="46" w:after="0"/>
                              <w:ind w:left="200" w:right="0" w:hanging="0"/>
                              <w:jc w:val="left"/>
                              <w:rPr/>
                            </w:pPr>
                            <w:r>
                              <w:rPr>
                                <w:spacing w:val="-2"/>
                              </w:rPr>
                              <w:t>Jaguar Global Growth Corporation I since February 2022</w:t>
                            </w:r>
                            <w:r>
                              <w:rPr>
                                <w:spacing w:val="3"/>
                              </w:rPr>
                              <w:t xml:space="preserve"> </w:t>
                            </w:r>
                          </w:p>
                          <w:p>
                            <w:pPr>
                              <w:pStyle w:val="TextBody"/>
                              <w:bidi w:val="0"/>
                              <w:spacing w:before="0" w:after="0"/>
                              <w:ind w:left="0" w:right="0" w:hanging="0"/>
                              <w:jc w:val="left"/>
                              <w:rPr/>
                            </w:pPr>
                            <w:r>
                              <w:rPr/>
                              <w:t>​</w:t>
                            </w:r>
                          </w:p>
                          <w:p>
                            <w:pPr>
                              <w:pStyle w:val="TextBody"/>
                              <w:bidi w:val="0"/>
                              <w:spacing w:lineRule="atLeast" w:line="190" w:before="48" w:after="0"/>
                              <w:ind w:left="200" w:right="0" w:hanging="0"/>
                              <w:jc w:val="left"/>
                              <w:rPr/>
                            </w:pPr>
                            <w:r>
                              <w:rPr>
                                <w:spacing w:val="-2"/>
                              </w:rPr>
                              <w:t>Subversive Capital Acquisition Corp., a publicly listed SPAC on the Toronto (NEO) exchange from 2019 to 2023</w:t>
                            </w:r>
                            <w:r>
                              <w:rPr>
                                <w:spacing w:val="3"/>
                              </w:rPr>
                              <w:t xml:space="preserve"> </w:t>
                            </w:r>
                          </w:p>
                          <w:p>
                            <w:pPr>
                              <w:pStyle w:val="TextBody"/>
                              <w:bidi w:val="0"/>
                              <w:spacing w:before="0" w:after="0"/>
                              <w:ind w:left="0" w:right="0" w:hanging="0"/>
                              <w:jc w:val="left"/>
                              <w:rPr/>
                            </w:pPr>
                            <w:r>
                              <w:rPr/>
                              <w:t>​</w:t>
                            </w:r>
                          </w:p>
                          <w:p>
                            <w:pPr>
                              <w:pStyle w:val="TextBody"/>
                              <w:bidi w:val="0"/>
                              <w:spacing w:lineRule="atLeast" w:line="190" w:before="48" w:after="0"/>
                              <w:ind w:left="200" w:right="0" w:hanging="0"/>
                              <w:jc w:val="left"/>
                              <w:rPr/>
                            </w:pPr>
                            <w:r>
                              <w:rPr>
                                <w:spacing w:val="-2"/>
                              </w:rPr>
                              <w:t>Digital Bridge (f/k/a Colony Capital, Inc.) from 2019 to 2021</w:t>
                            </w:r>
                            <w:r>
                              <w:rPr>
                                <w:spacing w:val="3"/>
                              </w:rPr>
                              <w:t xml:space="preserve"> </w:t>
                            </w:r>
                          </w:p>
                          <w:p>
                            <w:pPr>
                              <w:pStyle w:val="TextBody"/>
                              <w:bidi w:val="0"/>
                              <w:spacing w:before="0" w:after="0"/>
                              <w:ind w:left="0" w:right="0" w:hanging="0"/>
                              <w:jc w:val="left"/>
                              <w:rPr/>
                            </w:pPr>
                            <w:r>
                              <w:rPr/>
                              <w:t>​</w:t>
                            </w:r>
                          </w:p>
                          <w:p>
                            <w:pPr>
                              <w:pStyle w:val="TextBody"/>
                              <w:bidi w:val="0"/>
                              <w:spacing w:lineRule="atLeast" w:line="190" w:before="48" w:after="0"/>
                              <w:ind w:left="200" w:right="0" w:hanging="0"/>
                              <w:jc w:val="left"/>
                              <w:rPr/>
                            </w:pPr>
                            <w:r>
                              <w:rPr>
                                <w:spacing w:val="-2"/>
                              </w:rPr>
                              <w:t>Taubman Centers, Inc. from 2004 to 2019</w:t>
                            </w:r>
                            <w:r>
                              <w:rPr>
                                <w:spacing w:val="3"/>
                              </w:rPr>
                              <w:t xml:space="preserve"> </w:t>
                            </w:r>
                          </w:p>
                          <w:p>
                            <w:pPr>
                              <w:pStyle w:val="TextBody"/>
                              <w:bidi w:val="0"/>
                              <w:spacing w:before="0" w:after="0"/>
                              <w:ind w:left="0" w:right="0" w:hanging="0"/>
                              <w:jc w:val="left"/>
                              <w:rPr/>
                            </w:pPr>
                            <w:r>
                              <w:rPr/>
                              <w:t>​</w:t>
                            </w:r>
                          </w:p>
                          <w:p>
                            <w:pPr>
                              <w:pStyle w:val="TextBody"/>
                              <w:bidi w:val="0"/>
                              <w:spacing w:lineRule="atLeast" w:line="190" w:before="48" w:after="0"/>
                              <w:ind w:left="200" w:right="0" w:hanging="0"/>
                              <w:jc w:val="left"/>
                              <w:rPr/>
                            </w:pPr>
                            <w:r>
                              <w:rPr>
                                <w:spacing w:val="-2"/>
                              </w:rPr>
                              <w:t>Capital Trust from 1997 to 2010</w:t>
                            </w:r>
                            <w:r>
                              <w:rPr>
                                <w:spacing w:val="3"/>
                              </w:rPr>
                              <w:t xml:space="preserve"> </w:t>
                            </w:r>
                          </w:p>
                          <w:p>
                            <w:pPr>
                              <w:pStyle w:val="TextBody"/>
                              <w:bidi w:val="0"/>
                              <w:spacing w:before="0" w:after="0"/>
                              <w:ind w:left="0" w:right="0" w:hanging="0"/>
                              <w:jc w:val="left"/>
                              <w:rPr/>
                            </w:pPr>
                            <w:r>
                              <w:rPr/>
                              <w:t>​</w:t>
                            </w:r>
                          </w:p>
                          <w:p>
                            <w:pPr>
                              <w:pStyle w:val="TextBody"/>
                              <w:bidi w:val="0"/>
                              <w:spacing w:before="0" w:after="283"/>
                              <w:ind w:left="0" w:right="0" w:hanging="0"/>
                              <w:jc w:val="left"/>
                              <w:rPr>
                                <w:bdr w:val="single" w:sz="8" w:space="1" w:color="83AD40"/>
                              </w:rPr>
                            </w:pPr>
                            <w:r>
                              <w:rPr>
                                <w:bdr w:val="single" w:sz="8" w:space="1" w:color="83AD40"/>
                              </w:rPr>
                              <w:t>​</w:t>
                            </w:r>
                          </w:p>
                          <w:p>
                            <w:pPr>
                              <w:pStyle w:val="TextBody"/>
                              <w:bidi w:val="0"/>
                              <w:spacing w:lineRule="atLeast" w:line="260" w:before="128" w:after="283"/>
                              <w:jc w:val="left"/>
                              <w:rPr>
                                <w:b/>
                                <w:color w:val="1F2668"/>
                                <w:sz w:val="22"/>
                              </w:rPr>
                            </w:pPr>
                            <w:r>
                              <w:rPr>
                                <w:b/>
                                <w:color w:val="1F2668"/>
                                <w:spacing w:val="-2"/>
                                <w:sz w:val="22"/>
                              </w:rPr>
                              <w:t>Skills, Experiences and Attributes</w:t>
                            </w:r>
                            <w:r>
                              <w:rPr>
                                <w:b/>
                                <w:color w:val="000000"/>
                                <w:spacing w:val="4"/>
                                <w:sz w:val="22"/>
                              </w:rPr>
                              <w:t xml:space="preserve"> </w:t>
                            </w:r>
                          </w:p>
                          <w:tbl>
                            <w:tblPr>
                              <w:tblW w:w="10205" w:type="dxa"/>
                              <w:jc w:val="left"/>
                              <w:tblInd w:w="0" w:type="dxa"/>
                              <w:tblLayout w:type="fixed"/>
                              <w:tblCellMar>
                                <w:top w:w="0" w:type="dxa"/>
                                <w:left w:w="0" w:type="dxa"/>
                                <w:bottom w:w="0" w:type="dxa"/>
                                <w:right w:w="0" w:type="dxa"/>
                              </w:tblCellMar>
                            </w:tblPr>
                            <w:tblGrid>
                              <w:gridCol w:w="124"/>
                              <w:gridCol w:w="728"/>
                              <w:gridCol w:w="109"/>
                              <w:gridCol w:w="109"/>
                              <w:gridCol w:w="2583"/>
                              <w:gridCol w:w="109"/>
                              <w:gridCol w:w="109"/>
                              <w:gridCol w:w="803"/>
                              <w:gridCol w:w="109"/>
                              <w:gridCol w:w="109"/>
                              <w:gridCol w:w="5157"/>
                              <w:gridCol w:w="156"/>
                            </w:tblGrid>
                            <w:tr>
                              <w:trPr/>
                              <w:tc>
                                <w:tcPr>
                                  <w:tcW w:w="124" w:type="dxa"/>
                                  <w:tcBorders/>
                                  <w:vAlign w:val="center"/>
                                </w:tcPr>
                                <w:p>
                                  <w:pPr>
                                    <w:pStyle w:val="TableContents"/>
                                    <w:bidi w:val="0"/>
                                    <w:spacing w:before="0" w:after="283"/>
                                    <w:jc w:val="left"/>
                                    <w:rPr/>
                                  </w:pPr>
                                  <w:r>
                                    <w:rPr/>
                                    <w:t>​</w:t>
                                  </w:r>
                                </w:p>
                              </w:tc>
                              <w:tc>
                                <w:tcPr>
                                  <w:tcW w:w="728"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71475" cy="390525"/>
                                        <wp:effectExtent l="0" t="0" r="0" b="0"/>
                                        <wp:docPr id="322"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 name="Image162" descr=""/>
                                                <pic:cNvPicPr>
                                                  <a:picLocks noChangeAspect="1" noChangeArrowheads="1"/>
                                                </pic:cNvPicPr>
                                              </pic:nvPicPr>
                                              <pic:blipFill>
                                                <a:blip r:embed="rId213"/>
                                                <a:stretch>
                                                  <a:fillRect/>
                                                </a:stretch>
                                              </pic:blipFill>
                                              <pic:spPr bwMode="auto">
                                                <a:xfrm>
                                                  <a:off x="0" y="0"/>
                                                  <a:ext cx="371475" cy="3905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83" w:type="dxa"/>
                                  <w:tcBorders/>
                                  <w:tcMar>
                                    <w:top w:w="28" w:type="dxa"/>
                                    <w:left w:w="28" w:type="dxa"/>
                                    <w:bottom w:w="28" w:type="dxa"/>
                                    <w:right w:w="28" w:type="dxa"/>
                                  </w:tcMar>
                                  <w:vAlign w:val="center"/>
                                </w:tcPr>
                                <w:p>
                                  <w:pPr>
                                    <w:pStyle w:val="TableContents"/>
                                    <w:bidi w:val="0"/>
                                    <w:spacing w:lineRule="atLeast" w:line="208" w:before="0" w:after="0"/>
                                    <w:jc w:val="left"/>
                                    <w:rPr>
                                      <w:spacing w:val="-2"/>
                                    </w:rPr>
                                  </w:pPr>
                                  <w:r>
                                    <w:rPr>
                                      <w:spacing w:val="-2"/>
                                    </w:rPr>
                                    <w:t xml:space="preserve">Executive Leadership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3"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71475" cy="371475"/>
                                        <wp:effectExtent l="0" t="0" r="0" b="0"/>
                                        <wp:docPr id="323"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 name="Image163" descr=""/>
                                                <pic:cNvPicPr>
                                                  <a:picLocks noChangeAspect="1" noChangeArrowheads="1"/>
                                                </pic:cNvPicPr>
                                              </pic:nvPicPr>
                                              <pic:blipFill>
                                                <a:blip r:embed="rId214"/>
                                                <a:stretch>
                                                  <a:fillRect/>
                                                </a:stretch>
                                              </pic:blipFill>
                                              <pic:spPr bwMode="auto">
                                                <a:xfrm>
                                                  <a:off x="0" y="0"/>
                                                  <a:ext cx="371475" cy="3714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157" w:type="dxa"/>
                                  <w:tcBorders/>
                                  <w:tcMar>
                                    <w:top w:w="28" w:type="dxa"/>
                                    <w:left w:w="28" w:type="dxa"/>
                                    <w:bottom w:w="28" w:type="dxa"/>
                                    <w:right w:w="28" w:type="dxa"/>
                                  </w:tcMar>
                                  <w:vAlign w:val="center"/>
                                </w:tcPr>
                                <w:p>
                                  <w:pPr>
                                    <w:pStyle w:val="TableContents"/>
                                    <w:bidi w:val="0"/>
                                    <w:spacing w:lineRule="atLeast" w:line="208" w:before="0" w:after="0"/>
                                    <w:jc w:val="left"/>
                                    <w:rPr>
                                      <w:spacing w:val="-2"/>
                                    </w:rPr>
                                  </w:pPr>
                                  <w:r>
                                    <w:rPr>
                                      <w:spacing w:val="-2"/>
                                    </w:rPr>
                                    <w:t xml:space="preserve">Finance/Capital Markets </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28"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52425" cy="409575"/>
                                        <wp:effectExtent l="0" t="0" r="0" b="0"/>
                                        <wp:docPr id="324"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 name="Image164" descr=""/>
                                                <pic:cNvPicPr>
                                                  <a:picLocks noChangeAspect="1" noChangeArrowheads="1"/>
                                                </pic:cNvPicPr>
                                              </pic:nvPicPr>
                                              <pic:blipFill>
                                                <a:blip r:embed="rId215"/>
                                                <a:stretch>
                                                  <a:fillRect/>
                                                </a:stretch>
                                              </pic:blipFill>
                                              <pic:spPr bwMode="auto">
                                                <a:xfrm>
                                                  <a:off x="0" y="0"/>
                                                  <a:ext cx="352425" cy="4095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83" w:type="dxa"/>
                                  <w:tcBorders/>
                                  <w:tcMar>
                                    <w:top w:w="28" w:type="dxa"/>
                                    <w:left w:w="28" w:type="dxa"/>
                                    <w:bottom w:w="28" w:type="dxa"/>
                                    <w:right w:w="28" w:type="dxa"/>
                                  </w:tcMar>
                                  <w:vAlign w:val="center"/>
                                </w:tcPr>
                                <w:p>
                                  <w:pPr>
                                    <w:pStyle w:val="TableContents"/>
                                    <w:bidi w:val="0"/>
                                    <w:spacing w:lineRule="atLeast" w:line="208" w:before="0" w:after="0"/>
                                    <w:jc w:val="left"/>
                                    <w:rPr>
                                      <w:spacing w:val="-2"/>
                                    </w:rPr>
                                  </w:pPr>
                                  <w:r>
                                    <w:rPr>
                                      <w:spacing w:val="-2"/>
                                    </w:rPr>
                                    <w:t xml:space="preserve">Risk Management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3"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419100" cy="419100"/>
                                        <wp:effectExtent l="0" t="0" r="0" b="0"/>
                                        <wp:docPr id="325"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 name="Image165" descr=""/>
                                                <pic:cNvPicPr>
                                                  <a:picLocks noChangeAspect="1" noChangeArrowheads="1"/>
                                                </pic:cNvPicPr>
                                              </pic:nvPicPr>
                                              <pic:blipFill>
                                                <a:blip r:embed="rId216"/>
                                                <a:stretch>
                                                  <a:fillRect/>
                                                </a:stretch>
                                              </pic:blipFill>
                                              <pic:spPr bwMode="auto">
                                                <a:xfrm>
                                                  <a:off x="0" y="0"/>
                                                  <a:ext cx="419100" cy="4191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157" w:type="dxa"/>
                                  <w:tcBorders/>
                                  <w:tcMar>
                                    <w:top w:w="28" w:type="dxa"/>
                                    <w:left w:w="28" w:type="dxa"/>
                                    <w:bottom w:w="28" w:type="dxa"/>
                                    <w:right w:w="28" w:type="dxa"/>
                                  </w:tcMar>
                                  <w:vAlign w:val="center"/>
                                </w:tcPr>
                                <w:p>
                                  <w:pPr>
                                    <w:pStyle w:val="TableContents"/>
                                    <w:bidi w:val="0"/>
                                    <w:spacing w:lineRule="atLeast" w:line="208" w:before="0" w:after="0"/>
                                    <w:jc w:val="left"/>
                                    <w:rPr/>
                                  </w:pPr>
                                  <w:r>
                                    <w:rPr>
                                      <w:spacing w:val="-2"/>
                                    </w:rPr>
                                    <w:t>Public Company Board Service/</w:t>
                                  </w:r>
                                  <w:r>
                                    <w:rPr/>
                                    <w:t>​</w:t>
                                  </w:r>
                                  <w:r>
                                    <w:rPr>
                                      <w:spacing w:val="-2"/>
                                    </w:rPr>
                                    <w:t xml:space="preserve">Corporate Governance </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28"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33375" cy="304800"/>
                                        <wp:effectExtent l="0" t="0" r="0" b="0"/>
                                        <wp:docPr id="326"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 name="Image166" descr=""/>
                                                <pic:cNvPicPr>
                                                  <a:picLocks noChangeAspect="1" noChangeArrowheads="1"/>
                                                </pic:cNvPicPr>
                                              </pic:nvPicPr>
                                              <pic:blipFill>
                                                <a:blip r:embed="rId217"/>
                                                <a:stretch>
                                                  <a:fillRect/>
                                                </a:stretch>
                                              </pic:blipFill>
                                              <pic:spPr bwMode="auto">
                                                <a:xfrm>
                                                  <a:off x="0" y="0"/>
                                                  <a:ext cx="333375" cy="3048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83" w:type="dxa"/>
                                  <w:tcBorders/>
                                  <w:tcMar>
                                    <w:top w:w="28" w:type="dxa"/>
                                    <w:left w:w="28" w:type="dxa"/>
                                    <w:bottom w:w="28" w:type="dxa"/>
                                    <w:right w:w="28" w:type="dxa"/>
                                  </w:tcMar>
                                  <w:vAlign w:val="center"/>
                                </w:tcPr>
                                <w:p>
                                  <w:pPr>
                                    <w:pStyle w:val="TableContents"/>
                                    <w:bidi w:val="0"/>
                                    <w:spacing w:lineRule="atLeast" w:line="208" w:before="0" w:after="0"/>
                                    <w:jc w:val="left"/>
                                    <w:rPr>
                                      <w:spacing w:val="-2"/>
                                    </w:rPr>
                                  </w:pPr>
                                  <w:r>
                                    <w:rPr>
                                      <w:spacing w:val="-2"/>
                                    </w:rPr>
                                    <w:t xml:space="preserve">REIT/Real Estate Industry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3"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52425" cy="371475"/>
                                        <wp:effectExtent l="0" t="0" r="0" b="0"/>
                                        <wp:docPr id="327"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 name="Image167" descr=""/>
                                                <pic:cNvPicPr>
                                                  <a:picLocks noChangeAspect="1" noChangeArrowheads="1"/>
                                                </pic:cNvPicPr>
                                              </pic:nvPicPr>
                                              <pic:blipFill>
                                                <a:blip r:embed="rId218"/>
                                                <a:stretch>
                                                  <a:fillRect/>
                                                </a:stretch>
                                              </pic:blipFill>
                                              <pic:spPr bwMode="auto">
                                                <a:xfrm>
                                                  <a:off x="0" y="0"/>
                                                  <a:ext cx="352425" cy="3714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157" w:type="dxa"/>
                                  <w:tcBorders/>
                                  <w:tcMar>
                                    <w:top w:w="28" w:type="dxa"/>
                                    <w:left w:w="28" w:type="dxa"/>
                                    <w:bottom w:w="28" w:type="dxa"/>
                                    <w:right w:w="28" w:type="dxa"/>
                                  </w:tcMar>
                                  <w:vAlign w:val="center"/>
                                </w:tcPr>
                                <w:p>
                                  <w:pPr>
                                    <w:pStyle w:val="TableContents"/>
                                    <w:bidi w:val="0"/>
                                    <w:spacing w:lineRule="atLeast" w:line="208" w:before="0" w:after="0"/>
                                    <w:jc w:val="left"/>
                                    <w:rPr>
                                      <w:spacing w:val="-2"/>
                                    </w:rPr>
                                  </w:pPr>
                                  <w:r>
                                    <w:rPr>
                                      <w:spacing w:val="-2"/>
                                    </w:rPr>
                                    <w:t xml:space="preserve">Experience Over Several Business Cycles </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28"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52425" cy="352425"/>
                                        <wp:effectExtent l="0" t="0" r="0" b="0"/>
                                        <wp:docPr id="328"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 name="Image168" descr=""/>
                                                <pic:cNvPicPr>
                                                  <a:picLocks noChangeAspect="1" noChangeArrowheads="1"/>
                                                </pic:cNvPicPr>
                                              </pic:nvPicPr>
                                              <pic:blipFill>
                                                <a:blip r:embed="rId219"/>
                                                <a:stretch>
                                                  <a:fillRect/>
                                                </a:stretch>
                                              </pic:blipFill>
                                              <pic:spPr bwMode="auto">
                                                <a:xfrm>
                                                  <a:off x="0" y="0"/>
                                                  <a:ext cx="352425" cy="3524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83" w:type="dxa"/>
                                  <w:tcBorders/>
                                  <w:tcMar>
                                    <w:top w:w="28" w:type="dxa"/>
                                    <w:left w:w="28" w:type="dxa"/>
                                    <w:bottom w:w="28" w:type="dxa"/>
                                    <w:right w:w="28" w:type="dxa"/>
                                  </w:tcMar>
                                  <w:vAlign w:val="center"/>
                                </w:tcPr>
                                <w:p>
                                  <w:pPr>
                                    <w:pStyle w:val="TableContents"/>
                                    <w:bidi w:val="0"/>
                                    <w:spacing w:lineRule="atLeast" w:line="208" w:before="0" w:after="0"/>
                                    <w:jc w:val="left"/>
                                    <w:rPr>
                                      <w:spacing w:val="-2"/>
                                    </w:rPr>
                                  </w:pPr>
                                  <w:r>
                                    <w:rPr>
                                      <w:spacing w:val="-2"/>
                                    </w:rPr>
                                    <w:t xml:space="preserve">Talent Management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3"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33375" cy="257175"/>
                                        <wp:effectExtent l="0" t="0" r="0" b="0"/>
                                        <wp:docPr id="329"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 name="Image169" descr=""/>
                                                <pic:cNvPicPr>
                                                  <a:picLocks noChangeAspect="1" noChangeArrowheads="1"/>
                                                </pic:cNvPicPr>
                                              </pic:nvPicPr>
                                              <pic:blipFill>
                                                <a:blip r:embed="rId220"/>
                                                <a:stretch>
                                                  <a:fillRect/>
                                                </a:stretch>
                                              </pic:blipFill>
                                              <pic:spPr bwMode="auto">
                                                <a:xfrm>
                                                  <a:off x="0" y="0"/>
                                                  <a:ext cx="333375" cy="2571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157" w:type="dxa"/>
                                  <w:tcBorders/>
                                  <w:tcMar>
                                    <w:top w:w="28" w:type="dxa"/>
                                    <w:left w:w="28" w:type="dxa"/>
                                    <w:bottom w:w="28" w:type="dxa"/>
                                    <w:right w:w="28" w:type="dxa"/>
                                  </w:tcMar>
                                  <w:vAlign w:val="center"/>
                                </w:tcPr>
                                <w:p>
                                  <w:pPr>
                                    <w:pStyle w:val="TableContents"/>
                                    <w:bidi w:val="0"/>
                                    <w:spacing w:lineRule="atLeast" w:line="208" w:before="0" w:after="0"/>
                                    <w:jc w:val="left"/>
                                    <w:rPr>
                                      <w:spacing w:val="-2"/>
                                    </w:rPr>
                                  </w:pPr>
                                  <w:r>
                                    <w:rPr>
                                      <w:spacing w:val="-2"/>
                                    </w:rPr>
                                    <w:t xml:space="preserve">Academia </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28"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52425" cy="371475"/>
                                        <wp:effectExtent l="0" t="0" r="0" b="0"/>
                                        <wp:docPr id="330"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 name="Image170" descr=""/>
                                                <pic:cNvPicPr>
                                                  <a:picLocks noChangeAspect="1" noChangeArrowheads="1"/>
                                                </pic:cNvPicPr>
                                              </pic:nvPicPr>
                                              <pic:blipFill>
                                                <a:blip r:embed="rId221"/>
                                                <a:stretch>
                                                  <a:fillRect/>
                                                </a:stretch>
                                              </pic:blipFill>
                                              <pic:spPr bwMode="auto">
                                                <a:xfrm>
                                                  <a:off x="0" y="0"/>
                                                  <a:ext cx="352425" cy="3714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83" w:type="dxa"/>
                                  <w:tcBorders/>
                                  <w:tcMar>
                                    <w:top w:w="28" w:type="dxa"/>
                                    <w:left w:w="28" w:type="dxa"/>
                                    <w:bottom w:w="28" w:type="dxa"/>
                                    <w:right w:w="28" w:type="dxa"/>
                                  </w:tcMar>
                                  <w:vAlign w:val="center"/>
                                </w:tcPr>
                                <w:p>
                                  <w:pPr>
                                    <w:pStyle w:val="TableContents"/>
                                    <w:bidi w:val="0"/>
                                    <w:spacing w:lineRule="atLeast" w:line="208" w:before="0" w:after="0"/>
                                    <w:jc w:val="left"/>
                                    <w:rPr>
                                      <w:spacing w:val="-2"/>
                                    </w:rPr>
                                  </w:pPr>
                                  <w:r>
                                    <w:rPr>
                                      <w:spacing w:val="-2"/>
                                    </w:rPr>
                                    <w:t xml:space="preserve">Accounting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3"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71475" cy="295275"/>
                                        <wp:effectExtent l="0" t="0" r="0" b="0"/>
                                        <wp:docPr id="331"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 name="Image171" descr=""/>
                                                <pic:cNvPicPr>
                                                  <a:picLocks noChangeAspect="1" noChangeArrowheads="1"/>
                                                </pic:cNvPicPr>
                                              </pic:nvPicPr>
                                              <pic:blipFill>
                                                <a:blip r:embed="rId222"/>
                                                <a:stretch>
                                                  <a:fillRect/>
                                                </a:stretch>
                                              </pic:blipFill>
                                              <pic:spPr bwMode="auto">
                                                <a:xfrm>
                                                  <a:off x="0" y="0"/>
                                                  <a:ext cx="371475" cy="2952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157" w:type="dxa"/>
                                  <w:tcBorders/>
                                  <w:tcMar>
                                    <w:top w:w="28" w:type="dxa"/>
                                    <w:left w:w="28" w:type="dxa"/>
                                    <w:bottom w:w="28" w:type="dxa"/>
                                    <w:right w:w="28" w:type="dxa"/>
                                  </w:tcMar>
                                  <w:vAlign w:val="center"/>
                                </w:tcPr>
                                <w:p>
                                  <w:pPr>
                                    <w:pStyle w:val="TableContents"/>
                                    <w:bidi w:val="0"/>
                                    <w:spacing w:lineRule="atLeast" w:line="208" w:before="0" w:after="0"/>
                                    <w:jc w:val="left"/>
                                    <w:rPr/>
                                  </w:pPr>
                                  <w:r>
                                    <w:rPr>
                                      <w:spacing w:val="-2"/>
                                    </w:rPr>
                                    <w:t>Technology/Cybersecurity</w:t>
                                  </w:r>
                                  <w:r>
                                    <w:rPr/>
                                    <w:t xml:space="preserve"> </w:t>
                                  </w:r>
                                </w:p>
                              </w:tc>
                              <w:tc>
                                <w:tcPr>
                                  <w:tcW w:w="156"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61pt;height:785.2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180" w:before="500" w:after="283"/>
                        <w:jc w:val="left"/>
                        <w:rPr/>
                      </w:pPr>
                      <w:r>
                        <w:rPr>
                          <w:spacing w:val="-2"/>
                        </w:rPr>
                        <w:t>Mr. Hatkoff has in-depth expertise and knowledge of real estate, capital markets, finance, private investing, entrepreneurship and executive management through his work with Chemical Bank, Victor Capital Group, and Capital Trust. As a result of the foregoing, Mr. Hatkoff provides the Board with unique insight into the financial markets generally, valuation analysis, strategic planning and unique financing structures and alternatives. He also possesses entrepreneurial, brand marketing, social media, technology and innovation, and senior leadership experience through his private investments and service on the Boards of numerous educational and charitable organizations. Mr. Hatkoff also has extensive Board and Board committee experience at other public companies, including his prior service at Taubman Centers, Inc. and his long-standing service to Capital Trust, Inc., which enables him to provide significant insight as to governance and compliance-related matters particular to real estate companies.</w:t>
                      </w:r>
                      <w:r>
                        <w:rPr>
                          <w:spacing w:val="3"/>
                        </w:rPr>
                        <w:t xml:space="preserve"> </w:t>
                      </w:r>
                    </w:p>
                    <w:p>
                      <w:pPr>
                        <w:pStyle w:val="TextBody"/>
                        <w:bidi w:val="0"/>
                        <w:spacing w:before="0" w:after="283"/>
                        <w:ind w:left="0" w:right="0" w:hanging="0"/>
                        <w:jc w:val="left"/>
                        <w:rPr>
                          <w:bdr w:val="single" w:sz="8" w:space="1" w:color="83AD40"/>
                        </w:rPr>
                      </w:pPr>
                      <w:r>
                        <w:rPr>
                          <w:bdr w:val="single" w:sz="8" w:space="1" w:color="83AD40"/>
                        </w:rPr>
                        <w:t>​</w:t>
                      </w:r>
                    </w:p>
                    <w:p>
                      <w:pPr>
                        <w:pStyle w:val="TextBody"/>
                        <w:bidi w:val="0"/>
                        <w:spacing w:lineRule="atLeast" w:line="260" w:before="86" w:after="283"/>
                        <w:jc w:val="left"/>
                        <w:rPr>
                          <w:b/>
                          <w:color w:val="1F2668"/>
                          <w:sz w:val="22"/>
                        </w:rPr>
                      </w:pPr>
                      <w:r>
                        <w:rPr>
                          <w:b/>
                          <w:color w:val="1F2668"/>
                          <w:spacing w:val="-2"/>
                          <w:sz w:val="22"/>
                        </w:rPr>
                        <w:t>Professional Experience</w:t>
                      </w:r>
                      <w:r>
                        <w:rPr>
                          <w:b/>
                          <w:color w:val="000000"/>
                          <w:spacing w:val="4"/>
                          <w:sz w:val="22"/>
                        </w:rPr>
                        <w:t xml:space="preserve"> </w:t>
                      </w:r>
                    </w:p>
                    <w:p>
                      <w:pPr>
                        <w:pStyle w:val="TextBody"/>
                        <w:bidi w:val="0"/>
                        <w:spacing w:lineRule="atLeast" w:line="190" w:before="76" w:after="0"/>
                        <w:ind w:left="200" w:right="0" w:hanging="0"/>
                        <w:jc w:val="left"/>
                        <w:rPr/>
                      </w:pPr>
                      <w:r>
                        <w:rPr>
                          <w:spacing w:val="-2"/>
                        </w:rPr>
                        <w:t>Co-founder of Disruptor Awards and Disruptor Foundation along with Harvard Business School Professor Clayton Christensen</w:t>
                      </w:r>
                      <w:r>
                        <w:rPr>
                          <w:spacing w:val="3"/>
                        </w:rPr>
                        <w:t xml:space="preserve"> </w:t>
                      </w:r>
                    </w:p>
                    <w:p>
                      <w:pPr>
                        <w:pStyle w:val="TextBody"/>
                        <w:bidi w:val="0"/>
                        <w:spacing w:before="0" w:after="0"/>
                        <w:ind w:left="0" w:right="0" w:hanging="0"/>
                        <w:jc w:val="left"/>
                        <w:rPr/>
                      </w:pPr>
                      <w:r>
                        <w:rPr/>
                        <w:t>​</w:t>
                      </w:r>
                    </w:p>
                    <w:p>
                      <w:pPr>
                        <w:pStyle w:val="TextBody"/>
                        <w:bidi w:val="0"/>
                        <w:spacing w:lineRule="atLeast" w:line="190" w:before="46" w:after="0"/>
                        <w:ind w:left="200" w:right="0" w:hanging="0"/>
                        <w:jc w:val="left"/>
                        <w:rPr/>
                      </w:pPr>
                      <w:r>
                        <w:rPr>
                          <w:spacing w:val="-2"/>
                        </w:rPr>
                        <w:t>Co-Founder, Vice Chairman and director of Capital Trust, Inc. (n/k/a Blackstone Mortgage Trust, Inc.), a real estate investment management company that was listed on the New York Stock Exchange, and one of the largest dedicated real estate mezzanine lenders, from 1997 to 2000, and served on its Board of Directors from 1997 to 2010</w:t>
                      </w:r>
                      <w:r>
                        <w:rPr>
                          <w:spacing w:val="3"/>
                        </w:rPr>
                        <w:t xml:space="preserve"> </w:t>
                      </w:r>
                    </w:p>
                    <w:p>
                      <w:pPr>
                        <w:pStyle w:val="TextBody"/>
                        <w:bidi w:val="0"/>
                        <w:spacing w:before="0" w:after="0"/>
                        <w:ind w:left="0" w:right="0" w:hanging="0"/>
                        <w:jc w:val="left"/>
                        <w:rPr/>
                      </w:pPr>
                      <w:r>
                        <w:rPr/>
                        <w:t>​</w:t>
                      </w:r>
                    </w:p>
                    <w:p>
                      <w:pPr>
                        <w:pStyle w:val="TextBody"/>
                        <w:bidi w:val="0"/>
                        <w:spacing w:lineRule="atLeast" w:line="190" w:before="46" w:after="0"/>
                        <w:ind w:left="200" w:right="0" w:hanging="0"/>
                        <w:jc w:val="left"/>
                        <w:rPr/>
                      </w:pPr>
                      <w:r>
                        <w:rPr>
                          <w:spacing w:val="-2"/>
                        </w:rPr>
                        <w:t>Trustee of the New York City School Construction Authority, the agency responsible for the construction of all public schools in New York City, from 2002 to 2005</w:t>
                      </w:r>
                      <w:r>
                        <w:rPr>
                          <w:spacing w:val="3"/>
                        </w:rPr>
                        <w:t xml:space="preserve"> </w:t>
                      </w:r>
                    </w:p>
                    <w:p>
                      <w:pPr>
                        <w:pStyle w:val="TextBody"/>
                        <w:bidi w:val="0"/>
                        <w:spacing w:before="0" w:after="0"/>
                        <w:ind w:left="0" w:right="0" w:hanging="0"/>
                        <w:jc w:val="left"/>
                        <w:rPr/>
                      </w:pPr>
                      <w:r>
                        <w:rPr/>
                        <w:t>​</w:t>
                      </w:r>
                    </w:p>
                    <w:p>
                      <w:pPr>
                        <w:pStyle w:val="TextBody"/>
                        <w:bidi w:val="0"/>
                        <w:spacing w:lineRule="atLeast" w:line="190" w:before="46" w:after="0"/>
                        <w:ind w:left="200" w:right="0" w:hanging="0"/>
                        <w:jc w:val="left"/>
                        <w:rPr/>
                      </w:pPr>
                      <w:r>
                        <w:rPr>
                          <w:spacing w:val="-2"/>
                        </w:rPr>
                        <w:t>Former co-head of the real estate investment banking unit at Chemical Bank, where he was a pioneer and founding father of commercial mortgage securitization</w:t>
                      </w:r>
                      <w:r>
                        <w:rPr>
                          <w:spacing w:val="3"/>
                        </w:rPr>
                        <w:t xml:space="preserve"> </w:t>
                      </w:r>
                    </w:p>
                    <w:p>
                      <w:pPr>
                        <w:pStyle w:val="TextBody"/>
                        <w:bidi w:val="0"/>
                        <w:spacing w:before="0" w:after="0"/>
                        <w:ind w:left="0" w:right="0" w:hanging="0"/>
                        <w:jc w:val="left"/>
                        <w:rPr/>
                      </w:pPr>
                      <w:r>
                        <w:rPr/>
                        <w:t>​</w:t>
                      </w:r>
                    </w:p>
                    <w:p>
                      <w:pPr>
                        <w:pStyle w:val="TextBody"/>
                        <w:bidi w:val="0"/>
                        <w:spacing w:lineRule="atLeast" w:line="190" w:before="46" w:after="0"/>
                        <w:ind w:left="200" w:right="0" w:hanging="0"/>
                        <w:jc w:val="left"/>
                        <w:rPr/>
                      </w:pPr>
                      <w:r>
                        <w:rPr>
                          <w:spacing w:val="-2"/>
                        </w:rPr>
                        <w:t>Co-founder of the Tribeca Film Festival</w:t>
                      </w:r>
                      <w:r>
                        <w:rPr>
                          <w:spacing w:val="3"/>
                        </w:rPr>
                        <w:t xml:space="preserve"> </w:t>
                      </w:r>
                    </w:p>
                    <w:p>
                      <w:pPr>
                        <w:pStyle w:val="TextBody"/>
                        <w:bidi w:val="0"/>
                        <w:spacing w:before="0" w:after="0"/>
                        <w:ind w:left="0" w:right="0" w:hanging="0"/>
                        <w:jc w:val="left"/>
                        <w:rPr/>
                      </w:pPr>
                      <w:r>
                        <w:rPr/>
                        <w:t>​</w:t>
                      </w:r>
                    </w:p>
                    <w:p>
                      <w:pPr>
                        <w:pStyle w:val="TextBody"/>
                        <w:bidi w:val="0"/>
                        <w:spacing w:lineRule="atLeast" w:line="190" w:before="46" w:after="0"/>
                        <w:ind w:left="200" w:right="0" w:hanging="0"/>
                        <w:jc w:val="left"/>
                        <w:rPr/>
                      </w:pPr>
                      <w:r>
                        <w:rPr>
                          <w:spacing w:val="-2"/>
                        </w:rPr>
                        <w:t>Chairman of Turtle Pond Publications LLC, which is active in children’s publishing and entertainment, and private investor in other entrepreneurial ventures</w:t>
                      </w:r>
                      <w:r>
                        <w:rPr>
                          <w:spacing w:val="3"/>
                        </w:rPr>
                        <w:t xml:space="preserve"> </w:t>
                      </w:r>
                    </w:p>
                    <w:p>
                      <w:pPr>
                        <w:pStyle w:val="TextBody"/>
                        <w:bidi w:val="0"/>
                        <w:spacing w:before="0" w:after="0"/>
                        <w:ind w:left="0" w:right="0" w:hanging="0"/>
                        <w:jc w:val="left"/>
                        <w:rPr/>
                      </w:pPr>
                      <w:r>
                        <w:rPr/>
                        <w:t>​</w:t>
                      </w:r>
                    </w:p>
                    <w:p>
                      <w:pPr>
                        <w:pStyle w:val="TextBody"/>
                        <w:bidi w:val="0"/>
                        <w:spacing w:lineRule="atLeast" w:line="190" w:before="46" w:after="0"/>
                        <w:ind w:left="200" w:right="0" w:hanging="0"/>
                        <w:jc w:val="left"/>
                        <w:rPr/>
                      </w:pPr>
                      <w:r>
                        <w:rPr>
                          <w:spacing w:val="-2"/>
                        </w:rPr>
                        <w:t>Adjunct Professor at Columbia Business School (1990-1994 for Real Estate Capital Markets; 2015-2021 for Innovation, Entrepreneurship and Creativity)</w:t>
                      </w:r>
                      <w:r>
                        <w:rPr>
                          <w:spacing w:val="3"/>
                        </w:rPr>
                        <w:t xml:space="preserve"> </w:t>
                      </w:r>
                    </w:p>
                    <w:p>
                      <w:pPr>
                        <w:pStyle w:val="TextBody"/>
                        <w:bidi w:val="0"/>
                        <w:spacing w:before="0" w:after="0"/>
                        <w:ind w:left="0" w:right="0" w:hanging="0"/>
                        <w:jc w:val="left"/>
                        <w:rPr/>
                      </w:pPr>
                      <w:r>
                        <w:rPr/>
                        <w:t>​</w:t>
                      </w:r>
                    </w:p>
                    <w:p>
                      <w:pPr>
                        <w:pStyle w:val="TextBody"/>
                        <w:bidi w:val="0"/>
                        <w:spacing w:lineRule="atLeast" w:line="190" w:before="46" w:after="0"/>
                        <w:ind w:left="200" w:right="0" w:hanging="0"/>
                        <w:jc w:val="left"/>
                        <w:rPr/>
                      </w:pPr>
                      <w:r>
                        <w:rPr>
                          <w:spacing w:val="-2"/>
                        </w:rPr>
                        <w:t>Colgate University Entrepreneur of the Year (2024)</w:t>
                      </w:r>
                      <w:r>
                        <w:rPr>
                          <w:spacing w:val="3"/>
                        </w:rPr>
                        <w:t xml:space="preserve"> </w:t>
                      </w:r>
                    </w:p>
                    <w:p>
                      <w:pPr>
                        <w:pStyle w:val="TextBody"/>
                        <w:bidi w:val="0"/>
                        <w:spacing w:before="0" w:after="0"/>
                        <w:ind w:left="0" w:right="0" w:hanging="0"/>
                        <w:jc w:val="left"/>
                        <w:rPr/>
                      </w:pPr>
                      <w:r>
                        <w:rPr/>
                        <w:t>​</w:t>
                      </w:r>
                    </w:p>
                    <w:p>
                      <w:pPr>
                        <w:pStyle w:val="TextBody"/>
                        <w:bidi w:val="0"/>
                        <w:spacing w:lineRule="atLeast" w:line="190" w:before="46" w:after="0"/>
                        <w:ind w:left="200" w:right="0" w:hanging="0"/>
                        <w:jc w:val="left"/>
                        <w:rPr/>
                      </w:pPr>
                      <w:r>
                        <w:rPr>
                          <w:spacing w:val="-2"/>
                        </w:rPr>
                        <w:t>Other current or previous non-profit directorships: Sesame Workshop; Rock &amp; Roll Hall of Fame; Mandela Institute for Humanity; Desmond Tutu Peace Foundation; Richard Leakey’s Wildlife Direct; Tribeca Film Institute; Borough of Manhattan Community College Foundation</w:t>
                      </w:r>
                      <w:r>
                        <w:rPr>
                          <w:spacing w:val="3"/>
                        </w:rPr>
                        <w:t xml:space="preserve"> </w:t>
                      </w:r>
                    </w:p>
                    <w:p>
                      <w:pPr>
                        <w:pStyle w:val="TextBody"/>
                        <w:bidi w:val="0"/>
                        <w:spacing w:before="0" w:after="0"/>
                        <w:ind w:left="0" w:right="0" w:hanging="0"/>
                        <w:jc w:val="left"/>
                        <w:rPr/>
                      </w:pPr>
                      <w:r>
                        <w:rPr/>
                        <w:t>​</w:t>
                      </w:r>
                    </w:p>
                    <w:p>
                      <w:pPr>
                        <w:pStyle w:val="TextBody"/>
                        <w:bidi w:val="0"/>
                        <w:spacing w:lineRule="atLeast" w:line="190" w:before="46" w:after="0"/>
                        <w:ind w:left="200" w:right="0" w:hanging="0"/>
                        <w:jc w:val="left"/>
                        <w:rPr/>
                      </w:pPr>
                      <w:r>
                        <w:rPr>
                          <w:spacing w:val="-2"/>
                        </w:rPr>
                        <w:t>BA from Colgate University and MBA from Columbia Business School</w:t>
                      </w:r>
                      <w:r>
                        <w:rPr>
                          <w:spacing w:val="3"/>
                        </w:rPr>
                        <w:t xml:space="preserve"> </w:t>
                      </w:r>
                    </w:p>
                    <w:p>
                      <w:pPr>
                        <w:pStyle w:val="TextBody"/>
                        <w:bidi w:val="0"/>
                        <w:spacing w:before="0" w:after="0"/>
                        <w:ind w:left="0" w:right="0" w:hanging="0"/>
                        <w:jc w:val="left"/>
                        <w:rPr/>
                      </w:pPr>
                      <w:r>
                        <w:rPr/>
                        <w:t>​</w:t>
                      </w:r>
                    </w:p>
                    <w:p>
                      <w:pPr>
                        <w:pStyle w:val="TextBody"/>
                        <w:bidi w:val="0"/>
                        <w:spacing w:lineRule="atLeast" w:line="260" w:before="120" w:after="283"/>
                        <w:jc w:val="left"/>
                        <w:rPr>
                          <w:b/>
                          <w:color w:val="1F2668"/>
                          <w:sz w:val="22"/>
                        </w:rPr>
                      </w:pPr>
                      <w:r>
                        <w:rPr>
                          <w:b/>
                          <w:color w:val="1F2668"/>
                          <w:spacing w:val="-2"/>
                          <w:sz w:val="22"/>
                        </w:rPr>
                        <w:t>Other Public Board Directorships</w:t>
                      </w:r>
                      <w:r>
                        <w:rPr>
                          <w:b/>
                          <w:color w:val="000000"/>
                          <w:spacing w:val="4"/>
                          <w:sz w:val="22"/>
                        </w:rPr>
                        <w:t xml:space="preserve"> </w:t>
                      </w:r>
                    </w:p>
                    <w:p>
                      <w:pPr>
                        <w:pStyle w:val="TextBody"/>
                        <w:bidi w:val="0"/>
                        <w:spacing w:lineRule="atLeast" w:line="190" w:before="96" w:after="0"/>
                        <w:ind w:left="200" w:right="0" w:hanging="0"/>
                        <w:jc w:val="left"/>
                        <w:rPr/>
                      </w:pPr>
                      <w:r>
                        <w:rPr>
                          <w:spacing w:val="-2"/>
                        </w:rPr>
                        <w:t>Captivision Inc. since November 2023</w:t>
                      </w:r>
                      <w:r>
                        <w:rPr>
                          <w:spacing w:val="3"/>
                        </w:rPr>
                        <w:t xml:space="preserve"> </w:t>
                      </w:r>
                    </w:p>
                    <w:p>
                      <w:pPr>
                        <w:pStyle w:val="TextBody"/>
                        <w:bidi w:val="0"/>
                        <w:spacing w:before="0" w:after="0"/>
                        <w:ind w:left="0" w:right="0" w:hanging="0"/>
                        <w:jc w:val="left"/>
                        <w:rPr/>
                      </w:pPr>
                      <w:r>
                        <w:rPr/>
                        <w:t>​</w:t>
                      </w:r>
                    </w:p>
                    <w:p>
                      <w:pPr>
                        <w:pStyle w:val="TextBody"/>
                        <w:bidi w:val="0"/>
                        <w:spacing w:lineRule="atLeast" w:line="190" w:before="46" w:after="0"/>
                        <w:ind w:left="200" w:right="0" w:hanging="0"/>
                        <w:jc w:val="left"/>
                        <w:rPr/>
                      </w:pPr>
                      <w:r>
                        <w:rPr>
                          <w:spacing w:val="-2"/>
                        </w:rPr>
                        <w:t>Jaguar Global Growth Corporation I since February 2022</w:t>
                      </w:r>
                      <w:r>
                        <w:rPr>
                          <w:spacing w:val="3"/>
                        </w:rPr>
                        <w:t xml:space="preserve"> </w:t>
                      </w:r>
                    </w:p>
                    <w:p>
                      <w:pPr>
                        <w:pStyle w:val="TextBody"/>
                        <w:bidi w:val="0"/>
                        <w:spacing w:before="0" w:after="0"/>
                        <w:ind w:left="0" w:right="0" w:hanging="0"/>
                        <w:jc w:val="left"/>
                        <w:rPr/>
                      </w:pPr>
                      <w:r>
                        <w:rPr/>
                        <w:t>​</w:t>
                      </w:r>
                    </w:p>
                    <w:p>
                      <w:pPr>
                        <w:pStyle w:val="TextBody"/>
                        <w:bidi w:val="0"/>
                        <w:spacing w:lineRule="atLeast" w:line="190" w:before="48" w:after="0"/>
                        <w:ind w:left="200" w:right="0" w:hanging="0"/>
                        <w:jc w:val="left"/>
                        <w:rPr/>
                      </w:pPr>
                      <w:r>
                        <w:rPr>
                          <w:spacing w:val="-2"/>
                        </w:rPr>
                        <w:t>Subversive Capital Acquisition Corp., a publicly listed SPAC on the Toronto (NEO) exchange from 2019 to 2023</w:t>
                      </w:r>
                      <w:r>
                        <w:rPr>
                          <w:spacing w:val="3"/>
                        </w:rPr>
                        <w:t xml:space="preserve"> </w:t>
                      </w:r>
                    </w:p>
                    <w:p>
                      <w:pPr>
                        <w:pStyle w:val="TextBody"/>
                        <w:bidi w:val="0"/>
                        <w:spacing w:before="0" w:after="0"/>
                        <w:ind w:left="0" w:right="0" w:hanging="0"/>
                        <w:jc w:val="left"/>
                        <w:rPr/>
                      </w:pPr>
                      <w:r>
                        <w:rPr/>
                        <w:t>​</w:t>
                      </w:r>
                    </w:p>
                    <w:p>
                      <w:pPr>
                        <w:pStyle w:val="TextBody"/>
                        <w:bidi w:val="0"/>
                        <w:spacing w:lineRule="atLeast" w:line="190" w:before="48" w:after="0"/>
                        <w:ind w:left="200" w:right="0" w:hanging="0"/>
                        <w:jc w:val="left"/>
                        <w:rPr/>
                      </w:pPr>
                      <w:r>
                        <w:rPr>
                          <w:spacing w:val="-2"/>
                        </w:rPr>
                        <w:t>Digital Bridge (f/k/a Colony Capital, Inc.) from 2019 to 2021</w:t>
                      </w:r>
                      <w:r>
                        <w:rPr>
                          <w:spacing w:val="3"/>
                        </w:rPr>
                        <w:t xml:space="preserve"> </w:t>
                      </w:r>
                    </w:p>
                    <w:p>
                      <w:pPr>
                        <w:pStyle w:val="TextBody"/>
                        <w:bidi w:val="0"/>
                        <w:spacing w:before="0" w:after="0"/>
                        <w:ind w:left="0" w:right="0" w:hanging="0"/>
                        <w:jc w:val="left"/>
                        <w:rPr/>
                      </w:pPr>
                      <w:r>
                        <w:rPr/>
                        <w:t>​</w:t>
                      </w:r>
                    </w:p>
                    <w:p>
                      <w:pPr>
                        <w:pStyle w:val="TextBody"/>
                        <w:bidi w:val="0"/>
                        <w:spacing w:lineRule="atLeast" w:line="190" w:before="48" w:after="0"/>
                        <w:ind w:left="200" w:right="0" w:hanging="0"/>
                        <w:jc w:val="left"/>
                        <w:rPr/>
                      </w:pPr>
                      <w:r>
                        <w:rPr>
                          <w:spacing w:val="-2"/>
                        </w:rPr>
                        <w:t>Taubman Centers, Inc. from 2004 to 2019</w:t>
                      </w:r>
                      <w:r>
                        <w:rPr>
                          <w:spacing w:val="3"/>
                        </w:rPr>
                        <w:t xml:space="preserve"> </w:t>
                      </w:r>
                    </w:p>
                    <w:p>
                      <w:pPr>
                        <w:pStyle w:val="TextBody"/>
                        <w:bidi w:val="0"/>
                        <w:spacing w:before="0" w:after="0"/>
                        <w:ind w:left="0" w:right="0" w:hanging="0"/>
                        <w:jc w:val="left"/>
                        <w:rPr/>
                      </w:pPr>
                      <w:r>
                        <w:rPr/>
                        <w:t>​</w:t>
                      </w:r>
                    </w:p>
                    <w:p>
                      <w:pPr>
                        <w:pStyle w:val="TextBody"/>
                        <w:bidi w:val="0"/>
                        <w:spacing w:lineRule="atLeast" w:line="190" w:before="48" w:after="0"/>
                        <w:ind w:left="200" w:right="0" w:hanging="0"/>
                        <w:jc w:val="left"/>
                        <w:rPr/>
                      </w:pPr>
                      <w:r>
                        <w:rPr>
                          <w:spacing w:val="-2"/>
                        </w:rPr>
                        <w:t>Capital Trust from 1997 to 2010</w:t>
                      </w:r>
                      <w:r>
                        <w:rPr>
                          <w:spacing w:val="3"/>
                        </w:rPr>
                        <w:t xml:space="preserve"> </w:t>
                      </w:r>
                    </w:p>
                    <w:p>
                      <w:pPr>
                        <w:pStyle w:val="TextBody"/>
                        <w:bidi w:val="0"/>
                        <w:spacing w:before="0" w:after="0"/>
                        <w:ind w:left="0" w:right="0" w:hanging="0"/>
                        <w:jc w:val="left"/>
                        <w:rPr/>
                      </w:pPr>
                      <w:r>
                        <w:rPr/>
                        <w:t>​</w:t>
                      </w:r>
                    </w:p>
                    <w:p>
                      <w:pPr>
                        <w:pStyle w:val="TextBody"/>
                        <w:bidi w:val="0"/>
                        <w:spacing w:before="0" w:after="283"/>
                        <w:ind w:left="0" w:right="0" w:hanging="0"/>
                        <w:jc w:val="left"/>
                        <w:rPr>
                          <w:bdr w:val="single" w:sz="8" w:space="1" w:color="83AD40"/>
                        </w:rPr>
                      </w:pPr>
                      <w:r>
                        <w:rPr>
                          <w:bdr w:val="single" w:sz="8" w:space="1" w:color="83AD40"/>
                        </w:rPr>
                        <w:t>​</w:t>
                      </w:r>
                    </w:p>
                    <w:p>
                      <w:pPr>
                        <w:pStyle w:val="TextBody"/>
                        <w:bidi w:val="0"/>
                        <w:spacing w:lineRule="atLeast" w:line="260" w:before="128" w:after="283"/>
                        <w:jc w:val="left"/>
                        <w:rPr>
                          <w:b/>
                          <w:color w:val="1F2668"/>
                          <w:sz w:val="22"/>
                        </w:rPr>
                      </w:pPr>
                      <w:r>
                        <w:rPr>
                          <w:b/>
                          <w:color w:val="1F2668"/>
                          <w:spacing w:val="-2"/>
                          <w:sz w:val="22"/>
                        </w:rPr>
                        <w:t>Skills, Experiences and Attributes</w:t>
                      </w:r>
                      <w:r>
                        <w:rPr>
                          <w:b/>
                          <w:color w:val="000000"/>
                          <w:spacing w:val="4"/>
                          <w:sz w:val="22"/>
                        </w:rPr>
                        <w:t xml:space="preserve"> </w:t>
                      </w:r>
                    </w:p>
                    <w:tbl>
                      <w:tblPr>
                        <w:tblW w:w="10205" w:type="dxa"/>
                        <w:jc w:val="left"/>
                        <w:tblInd w:w="0" w:type="dxa"/>
                        <w:tblLayout w:type="fixed"/>
                        <w:tblCellMar>
                          <w:top w:w="0" w:type="dxa"/>
                          <w:left w:w="0" w:type="dxa"/>
                          <w:bottom w:w="0" w:type="dxa"/>
                          <w:right w:w="0" w:type="dxa"/>
                        </w:tblCellMar>
                      </w:tblPr>
                      <w:tblGrid>
                        <w:gridCol w:w="124"/>
                        <w:gridCol w:w="728"/>
                        <w:gridCol w:w="109"/>
                        <w:gridCol w:w="109"/>
                        <w:gridCol w:w="2583"/>
                        <w:gridCol w:w="109"/>
                        <w:gridCol w:w="109"/>
                        <w:gridCol w:w="803"/>
                        <w:gridCol w:w="109"/>
                        <w:gridCol w:w="109"/>
                        <w:gridCol w:w="5157"/>
                        <w:gridCol w:w="156"/>
                      </w:tblGrid>
                      <w:tr>
                        <w:trPr/>
                        <w:tc>
                          <w:tcPr>
                            <w:tcW w:w="124" w:type="dxa"/>
                            <w:tcBorders/>
                            <w:vAlign w:val="center"/>
                          </w:tcPr>
                          <w:p>
                            <w:pPr>
                              <w:pStyle w:val="TableContents"/>
                              <w:bidi w:val="0"/>
                              <w:spacing w:before="0" w:after="283"/>
                              <w:jc w:val="left"/>
                              <w:rPr/>
                            </w:pPr>
                            <w:r>
                              <w:rPr/>
                              <w:t>​</w:t>
                            </w:r>
                          </w:p>
                        </w:tc>
                        <w:tc>
                          <w:tcPr>
                            <w:tcW w:w="728"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71475" cy="390525"/>
                                  <wp:effectExtent l="0" t="0" r="0" b="0"/>
                                  <wp:docPr id="332"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 name="Image162" descr=""/>
                                          <pic:cNvPicPr>
                                            <a:picLocks noChangeAspect="1" noChangeArrowheads="1"/>
                                          </pic:cNvPicPr>
                                        </pic:nvPicPr>
                                        <pic:blipFill>
                                          <a:blip r:embed="rId223"/>
                                          <a:stretch>
                                            <a:fillRect/>
                                          </a:stretch>
                                        </pic:blipFill>
                                        <pic:spPr bwMode="auto">
                                          <a:xfrm>
                                            <a:off x="0" y="0"/>
                                            <a:ext cx="371475" cy="3905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83" w:type="dxa"/>
                            <w:tcBorders/>
                            <w:tcMar>
                              <w:top w:w="28" w:type="dxa"/>
                              <w:left w:w="28" w:type="dxa"/>
                              <w:bottom w:w="28" w:type="dxa"/>
                              <w:right w:w="28" w:type="dxa"/>
                            </w:tcMar>
                            <w:vAlign w:val="center"/>
                          </w:tcPr>
                          <w:p>
                            <w:pPr>
                              <w:pStyle w:val="TableContents"/>
                              <w:bidi w:val="0"/>
                              <w:spacing w:lineRule="atLeast" w:line="208" w:before="0" w:after="0"/>
                              <w:jc w:val="left"/>
                              <w:rPr>
                                <w:spacing w:val="-2"/>
                              </w:rPr>
                            </w:pPr>
                            <w:r>
                              <w:rPr>
                                <w:spacing w:val="-2"/>
                              </w:rPr>
                              <w:t xml:space="preserve">Executive Leadership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3"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71475" cy="371475"/>
                                  <wp:effectExtent l="0" t="0" r="0" b="0"/>
                                  <wp:docPr id="333"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 name="Image163" descr=""/>
                                          <pic:cNvPicPr>
                                            <a:picLocks noChangeAspect="1" noChangeArrowheads="1"/>
                                          </pic:cNvPicPr>
                                        </pic:nvPicPr>
                                        <pic:blipFill>
                                          <a:blip r:embed="rId224"/>
                                          <a:stretch>
                                            <a:fillRect/>
                                          </a:stretch>
                                        </pic:blipFill>
                                        <pic:spPr bwMode="auto">
                                          <a:xfrm>
                                            <a:off x="0" y="0"/>
                                            <a:ext cx="371475" cy="3714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157" w:type="dxa"/>
                            <w:tcBorders/>
                            <w:tcMar>
                              <w:top w:w="28" w:type="dxa"/>
                              <w:left w:w="28" w:type="dxa"/>
                              <w:bottom w:w="28" w:type="dxa"/>
                              <w:right w:w="28" w:type="dxa"/>
                            </w:tcMar>
                            <w:vAlign w:val="center"/>
                          </w:tcPr>
                          <w:p>
                            <w:pPr>
                              <w:pStyle w:val="TableContents"/>
                              <w:bidi w:val="0"/>
                              <w:spacing w:lineRule="atLeast" w:line="208" w:before="0" w:after="0"/>
                              <w:jc w:val="left"/>
                              <w:rPr>
                                <w:spacing w:val="-2"/>
                              </w:rPr>
                            </w:pPr>
                            <w:r>
                              <w:rPr>
                                <w:spacing w:val="-2"/>
                              </w:rPr>
                              <w:t xml:space="preserve">Finance/Capital Markets </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28"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52425" cy="409575"/>
                                  <wp:effectExtent l="0" t="0" r="0" b="0"/>
                                  <wp:docPr id="334"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 name="Image164" descr=""/>
                                          <pic:cNvPicPr>
                                            <a:picLocks noChangeAspect="1" noChangeArrowheads="1"/>
                                          </pic:cNvPicPr>
                                        </pic:nvPicPr>
                                        <pic:blipFill>
                                          <a:blip r:embed="rId225"/>
                                          <a:stretch>
                                            <a:fillRect/>
                                          </a:stretch>
                                        </pic:blipFill>
                                        <pic:spPr bwMode="auto">
                                          <a:xfrm>
                                            <a:off x="0" y="0"/>
                                            <a:ext cx="352425" cy="4095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83" w:type="dxa"/>
                            <w:tcBorders/>
                            <w:tcMar>
                              <w:top w:w="28" w:type="dxa"/>
                              <w:left w:w="28" w:type="dxa"/>
                              <w:bottom w:w="28" w:type="dxa"/>
                              <w:right w:w="28" w:type="dxa"/>
                            </w:tcMar>
                            <w:vAlign w:val="center"/>
                          </w:tcPr>
                          <w:p>
                            <w:pPr>
                              <w:pStyle w:val="TableContents"/>
                              <w:bidi w:val="0"/>
                              <w:spacing w:lineRule="atLeast" w:line="208" w:before="0" w:after="0"/>
                              <w:jc w:val="left"/>
                              <w:rPr>
                                <w:spacing w:val="-2"/>
                              </w:rPr>
                            </w:pPr>
                            <w:r>
                              <w:rPr>
                                <w:spacing w:val="-2"/>
                              </w:rPr>
                              <w:t xml:space="preserve">Risk Management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3"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419100" cy="419100"/>
                                  <wp:effectExtent l="0" t="0" r="0" b="0"/>
                                  <wp:docPr id="335"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 name="Image165" descr=""/>
                                          <pic:cNvPicPr>
                                            <a:picLocks noChangeAspect="1" noChangeArrowheads="1"/>
                                          </pic:cNvPicPr>
                                        </pic:nvPicPr>
                                        <pic:blipFill>
                                          <a:blip r:embed="rId226"/>
                                          <a:stretch>
                                            <a:fillRect/>
                                          </a:stretch>
                                        </pic:blipFill>
                                        <pic:spPr bwMode="auto">
                                          <a:xfrm>
                                            <a:off x="0" y="0"/>
                                            <a:ext cx="419100" cy="4191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157" w:type="dxa"/>
                            <w:tcBorders/>
                            <w:tcMar>
                              <w:top w:w="28" w:type="dxa"/>
                              <w:left w:w="28" w:type="dxa"/>
                              <w:bottom w:w="28" w:type="dxa"/>
                              <w:right w:w="28" w:type="dxa"/>
                            </w:tcMar>
                            <w:vAlign w:val="center"/>
                          </w:tcPr>
                          <w:p>
                            <w:pPr>
                              <w:pStyle w:val="TableContents"/>
                              <w:bidi w:val="0"/>
                              <w:spacing w:lineRule="atLeast" w:line="208" w:before="0" w:after="0"/>
                              <w:jc w:val="left"/>
                              <w:rPr/>
                            </w:pPr>
                            <w:r>
                              <w:rPr>
                                <w:spacing w:val="-2"/>
                              </w:rPr>
                              <w:t>Public Company Board Service/</w:t>
                            </w:r>
                            <w:r>
                              <w:rPr/>
                              <w:t>​</w:t>
                            </w:r>
                            <w:r>
                              <w:rPr>
                                <w:spacing w:val="-2"/>
                              </w:rPr>
                              <w:t xml:space="preserve">Corporate Governance </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28"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33375" cy="304800"/>
                                  <wp:effectExtent l="0" t="0" r="0" b="0"/>
                                  <wp:docPr id="336"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 name="Image166" descr=""/>
                                          <pic:cNvPicPr>
                                            <a:picLocks noChangeAspect="1" noChangeArrowheads="1"/>
                                          </pic:cNvPicPr>
                                        </pic:nvPicPr>
                                        <pic:blipFill>
                                          <a:blip r:embed="rId227"/>
                                          <a:stretch>
                                            <a:fillRect/>
                                          </a:stretch>
                                        </pic:blipFill>
                                        <pic:spPr bwMode="auto">
                                          <a:xfrm>
                                            <a:off x="0" y="0"/>
                                            <a:ext cx="333375" cy="3048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83" w:type="dxa"/>
                            <w:tcBorders/>
                            <w:tcMar>
                              <w:top w:w="28" w:type="dxa"/>
                              <w:left w:w="28" w:type="dxa"/>
                              <w:bottom w:w="28" w:type="dxa"/>
                              <w:right w:w="28" w:type="dxa"/>
                            </w:tcMar>
                            <w:vAlign w:val="center"/>
                          </w:tcPr>
                          <w:p>
                            <w:pPr>
                              <w:pStyle w:val="TableContents"/>
                              <w:bidi w:val="0"/>
                              <w:spacing w:lineRule="atLeast" w:line="208" w:before="0" w:after="0"/>
                              <w:jc w:val="left"/>
                              <w:rPr>
                                <w:spacing w:val="-2"/>
                              </w:rPr>
                            </w:pPr>
                            <w:r>
                              <w:rPr>
                                <w:spacing w:val="-2"/>
                              </w:rPr>
                              <w:t xml:space="preserve">REIT/Real Estate Industry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3"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52425" cy="371475"/>
                                  <wp:effectExtent l="0" t="0" r="0" b="0"/>
                                  <wp:docPr id="337"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 name="Image167" descr=""/>
                                          <pic:cNvPicPr>
                                            <a:picLocks noChangeAspect="1" noChangeArrowheads="1"/>
                                          </pic:cNvPicPr>
                                        </pic:nvPicPr>
                                        <pic:blipFill>
                                          <a:blip r:embed="rId228"/>
                                          <a:stretch>
                                            <a:fillRect/>
                                          </a:stretch>
                                        </pic:blipFill>
                                        <pic:spPr bwMode="auto">
                                          <a:xfrm>
                                            <a:off x="0" y="0"/>
                                            <a:ext cx="352425" cy="3714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157" w:type="dxa"/>
                            <w:tcBorders/>
                            <w:tcMar>
                              <w:top w:w="28" w:type="dxa"/>
                              <w:left w:w="28" w:type="dxa"/>
                              <w:bottom w:w="28" w:type="dxa"/>
                              <w:right w:w="28" w:type="dxa"/>
                            </w:tcMar>
                            <w:vAlign w:val="center"/>
                          </w:tcPr>
                          <w:p>
                            <w:pPr>
                              <w:pStyle w:val="TableContents"/>
                              <w:bidi w:val="0"/>
                              <w:spacing w:lineRule="atLeast" w:line="208" w:before="0" w:after="0"/>
                              <w:jc w:val="left"/>
                              <w:rPr>
                                <w:spacing w:val="-2"/>
                              </w:rPr>
                            </w:pPr>
                            <w:r>
                              <w:rPr>
                                <w:spacing w:val="-2"/>
                              </w:rPr>
                              <w:t xml:space="preserve">Experience Over Several Business Cycles </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28"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52425" cy="352425"/>
                                  <wp:effectExtent l="0" t="0" r="0" b="0"/>
                                  <wp:docPr id="338"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 name="Image168" descr=""/>
                                          <pic:cNvPicPr>
                                            <a:picLocks noChangeAspect="1" noChangeArrowheads="1"/>
                                          </pic:cNvPicPr>
                                        </pic:nvPicPr>
                                        <pic:blipFill>
                                          <a:blip r:embed="rId229"/>
                                          <a:stretch>
                                            <a:fillRect/>
                                          </a:stretch>
                                        </pic:blipFill>
                                        <pic:spPr bwMode="auto">
                                          <a:xfrm>
                                            <a:off x="0" y="0"/>
                                            <a:ext cx="352425" cy="3524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83" w:type="dxa"/>
                            <w:tcBorders/>
                            <w:tcMar>
                              <w:top w:w="28" w:type="dxa"/>
                              <w:left w:w="28" w:type="dxa"/>
                              <w:bottom w:w="28" w:type="dxa"/>
                              <w:right w:w="28" w:type="dxa"/>
                            </w:tcMar>
                            <w:vAlign w:val="center"/>
                          </w:tcPr>
                          <w:p>
                            <w:pPr>
                              <w:pStyle w:val="TableContents"/>
                              <w:bidi w:val="0"/>
                              <w:spacing w:lineRule="atLeast" w:line="208" w:before="0" w:after="0"/>
                              <w:jc w:val="left"/>
                              <w:rPr>
                                <w:spacing w:val="-2"/>
                              </w:rPr>
                            </w:pPr>
                            <w:r>
                              <w:rPr>
                                <w:spacing w:val="-2"/>
                              </w:rPr>
                              <w:t xml:space="preserve">Talent Management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3"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33375" cy="257175"/>
                                  <wp:effectExtent l="0" t="0" r="0" b="0"/>
                                  <wp:docPr id="339"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 name="Image169" descr=""/>
                                          <pic:cNvPicPr>
                                            <a:picLocks noChangeAspect="1" noChangeArrowheads="1"/>
                                          </pic:cNvPicPr>
                                        </pic:nvPicPr>
                                        <pic:blipFill>
                                          <a:blip r:embed="rId230"/>
                                          <a:stretch>
                                            <a:fillRect/>
                                          </a:stretch>
                                        </pic:blipFill>
                                        <pic:spPr bwMode="auto">
                                          <a:xfrm>
                                            <a:off x="0" y="0"/>
                                            <a:ext cx="333375" cy="2571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157" w:type="dxa"/>
                            <w:tcBorders/>
                            <w:tcMar>
                              <w:top w:w="28" w:type="dxa"/>
                              <w:left w:w="28" w:type="dxa"/>
                              <w:bottom w:w="28" w:type="dxa"/>
                              <w:right w:w="28" w:type="dxa"/>
                            </w:tcMar>
                            <w:vAlign w:val="center"/>
                          </w:tcPr>
                          <w:p>
                            <w:pPr>
                              <w:pStyle w:val="TableContents"/>
                              <w:bidi w:val="0"/>
                              <w:spacing w:lineRule="atLeast" w:line="208" w:before="0" w:after="0"/>
                              <w:jc w:val="left"/>
                              <w:rPr>
                                <w:spacing w:val="-2"/>
                              </w:rPr>
                            </w:pPr>
                            <w:r>
                              <w:rPr>
                                <w:spacing w:val="-2"/>
                              </w:rPr>
                              <w:t xml:space="preserve">Academia </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28"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52425" cy="371475"/>
                                  <wp:effectExtent l="0" t="0" r="0" b="0"/>
                                  <wp:docPr id="340"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 name="Image170" descr=""/>
                                          <pic:cNvPicPr>
                                            <a:picLocks noChangeAspect="1" noChangeArrowheads="1"/>
                                          </pic:cNvPicPr>
                                        </pic:nvPicPr>
                                        <pic:blipFill>
                                          <a:blip r:embed="rId231"/>
                                          <a:stretch>
                                            <a:fillRect/>
                                          </a:stretch>
                                        </pic:blipFill>
                                        <pic:spPr bwMode="auto">
                                          <a:xfrm>
                                            <a:off x="0" y="0"/>
                                            <a:ext cx="352425" cy="3714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83" w:type="dxa"/>
                            <w:tcBorders/>
                            <w:tcMar>
                              <w:top w:w="28" w:type="dxa"/>
                              <w:left w:w="28" w:type="dxa"/>
                              <w:bottom w:w="28" w:type="dxa"/>
                              <w:right w:w="28" w:type="dxa"/>
                            </w:tcMar>
                            <w:vAlign w:val="center"/>
                          </w:tcPr>
                          <w:p>
                            <w:pPr>
                              <w:pStyle w:val="TableContents"/>
                              <w:bidi w:val="0"/>
                              <w:spacing w:lineRule="atLeast" w:line="208" w:before="0" w:after="0"/>
                              <w:jc w:val="left"/>
                              <w:rPr>
                                <w:spacing w:val="-2"/>
                              </w:rPr>
                            </w:pPr>
                            <w:r>
                              <w:rPr>
                                <w:spacing w:val="-2"/>
                              </w:rPr>
                              <w:t xml:space="preserve">Accounting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3"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71475" cy="295275"/>
                                  <wp:effectExtent l="0" t="0" r="0" b="0"/>
                                  <wp:docPr id="341"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 name="Image171" descr=""/>
                                          <pic:cNvPicPr>
                                            <a:picLocks noChangeAspect="1" noChangeArrowheads="1"/>
                                          </pic:cNvPicPr>
                                        </pic:nvPicPr>
                                        <pic:blipFill>
                                          <a:blip r:embed="rId232"/>
                                          <a:stretch>
                                            <a:fillRect/>
                                          </a:stretch>
                                        </pic:blipFill>
                                        <pic:spPr bwMode="auto">
                                          <a:xfrm>
                                            <a:off x="0" y="0"/>
                                            <a:ext cx="371475" cy="2952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157" w:type="dxa"/>
                            <w:tcBorders/>
                            <w:tcMar>
                              <w:top w:w="28" w:type="dxa"/>
                              <w:left w:w="28" w:type="dxa"/>
                              <w:bottom w:w="28" w:type="dxa"/>
                              <w:right w:w="28" w:type="dxa"/>
                            </w:tcMar>
                            <w:vAlign w:val="center"/>
                          </w:tcPr>
                          <w:p>
                            <w:pPr>
                              <w:pStyle w:val="TableContents"/>
                              <w:bidi w:val="0"/>
                              <w:spacing w:lineRule="atLeast" w:line="208" w:before="0" w:after="0"/>
                              <w:jc w:val="left"/>
                              <w:rPr/>
                            </w:pPr>
                            <w:r>
                              <w:rPr>
                                <w:spacing w:val="-2"/>
                              </w:rPr>
                              <w:t>Technology/Cybersecurity</w:t>
                            </w:r>
                            <w:r>
                              <w:rPr/>
                              <w:t xml:space="preserve"> </w:t>
                            </w:r>
                          </w:p>
                        </w:tc>
                        <w:tc>
                          <w:tcPr>
                            <w:tcW w:w="156"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571500" distR="0" simplePos="0" locked="0" layoutInCell="1" allowOverlap="1" relativeHeight="97">
                <wp:simplePos x="0" y="0"/>
                <wp:positionH relativeFrom="column">
                  <wp:align>left</wp:align>
                </wp:positionH>
                <wp:positionV relativeFrom="line">
                  <wp:posOffset>635</wp:posOffset>
                </wp:positionV>
                <wp:extent cx="1562100" cy="6129655"/>
                <wp:effectExtent l="0" t="0" r="0" b="0"/>
                <wp:wrapSquare wrapText="right"/>
                <wp:docPr id="342" name="Frame116"/>
                <a:graphic xmlns:a="http://schemas.openxmlformats.org/drawingml/2006/main">
                  <a:graphicData uri="http://schemas.microsoft.com/office/word/2010/wordprocessingShape">
                    <wps:wsp>
                      <wps:cNvSpPr txBox="1"/>
                      <wps:spPr>
                        <a:xfrm>
                          <a:off x="0" y="0"/>
                          <a:ext cx="1562100" cy="6129655"/>
                        </a:xfrm>
                        <a:prstGeom prst="rect"/>
                        <a:solidFill>
                          <a:srgbClr val="FFFFFF"/>
                        </a:solidFill>
                      </wps:spPr>
                      <wps:txbx>
                        <w:txbxContent>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6410" w:type="dxa"/>
                              <w:jc w:val="left"/>
                              <w:tblInd w:w="0" w:type="dxa"/>
                              <w:tblLayout w:type="fixed"/>
                              <w:tblCellMar>
                                <w:top w:w="0" w:type="dxa"/>
                                <w:left w:w="0" w:type="dxa"/>
                                <w:bottom w:w="0" w:type="dxa"/>
                                <w:right w:w="0" w:type="dxa"/>
                              </w:tblCellMar>
                            </w:tblPr>
                            <w:tblGrid>
                              <w:gridCol w:w="124"/>
                              <w:gridCol w:w="109"/>
                              <w:gridCol w:w="5914"/>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914" w:type="dxa"/>
                                  <w:tcBorders/>
                                  <w:shd w:fill="1F2668" w:val="clear"/>
                                  <w:vAlign w:val="center"/>
                                </w:tcPr>
                                <w:p>
                                  <w:pPr>
                                    <w:pStyle w:val="TableContents"/>
                                    <w:bidi w:val="0"/>
                                    <w:spacing w:lineRule="atLeast" w:line="280" w:before="0" w:after="0"/>
                                    <w:ind w:left="0" w:right="160" w:hanging="0"/>
                                    <w:jc w:val="left"/>
                                    <w:rPr>
                                      <w:sz w:val="24"/>
                                    </w:rPr>
                                  </w:pPr>
                                  <w:r>
                                    <w:rPr>
                                      <w:spacing w:val="-2"/>
                                      <w:sz w:val="24"/>
                                    </w:rPr>
                                    <w:t xml:space="preserve">CRAIG M. </w:t>
                                    <w:br/>
                                    <w:t>HATKOFF</w:t>
                                  </w:r>
                                  <w:r>
                                    <w:rPr>
                                      <w:sz w:val="24"/>
                                    </w:rPr>
                                    <w:t xml:space="preserve"> </w:t>
                                  </w:r>
                                </w:p>
                                <w:p>
                                  <w:pPr>
                                    <w:pStyle w:val="TableContents"/>
                                    <w:bidi w:val="0"/>
                                    <w:spacing w:before="200" w:after="283"/>
                                    <w:ind w:left="0" w:right="160" w:hanging="0"/>
                                    <w:jc w:val="left"/>
                                    <w:rPr/>
                                  </w:pPr>
                                  <w:r>
                                    <w:rPr/>
                                    <w:drawing>
                                      <wp:inline distT="0" distB="0" distL="0" distR="0">
                                        <wp:extent cx="1219200" cy="1524000"/>
                                        <wp:effectExtent l="0" t="0" r="0" b="0"/>
                                        <wp:docPr id="343"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 name="Image161" descr=""/>
                                                <pic:cNvPicPr>
                                                  <a:picLocks noChangeAspect="1" noChangeArrowheads="1"/>
                                                </pic:cNvPicPr>
                                              </pic:nvPicPr>
                                              <pic:blipFill>
                                                <a:blip r:embed="rId233"/>
                                                <a:stretch>
                                                  <a:fillRect/>
                                                </a:stretch>
                                              </pic:blipFill>
                                              <pic:spPr bwMode="auto">
                                                <a:xfrm>
                                                  <a:off x="0" y="0"/>
                                                  <a:ext cx="1219200" cy="1524000"/>
                                                </a:xfrm>
                                                <a:prstGeom prst="rect">
                                                  <a:avLst/>
                                                </a:prstGeom>
                                              </pic:spPr>
                                            </pic:pic>
                                          </a:graphicData>
                                        </a:graphic>
                                      </wp:inline>
                                    </w:drawing>
                                  </w:r>
                                  <w:r>
                                    <w:rPr/>
                                    <w:t xml:space="preserve"> </w:t>
                                  </w:r>
                                </w:p>
                                <w:p>
                                  <w:pPr>
                                    <w:pStyle w:val="TableContents"/>
                                    <w:bidi w:val="0"/>
                                    <w:spacing w:lineRule="atLeast" w:line="180" w:before="220" w:after="283"/>
                                    <w:ind w:left="0" w:right="160" w:hanging="0"/>
                                    <w:jc w:val="left"/>
                                    <w:rPr/>
                                  </w:pPr>
                                  <w:r>
                                    <w:rPr>
                                      <w:spacing w:val="-2"/>
                                    </w:rPr>
                                    <w:t>Independent Director</w:t>
                                  </w:r>
                                  <w:r>
                                    <w:rPr/>
                                    <w:t xml:space="preserve"> </w:t>
                                  </w:r>
                                </w:p>
                                <w:p>
                                  <w:pPr>
                                    <w:pStyle w:val="TableContents"/>
                                    <w:bidi w:val="0"/>
                                    <w:spacing w:lineRule="atLeast" w:line="180" w:before="160" w:after="283"/>
                                    <w:ind w:left="0" w:right="160" w:hanging="0"/>
                                    <w:jc w:val="left"/>
                                    <w:rPr>
                                      <w:b w:val="false"/>
                                    </w:rPr>
                                  </w:pPr>
                                  <w:r>
                                    <w:rPr>
                                      <w:b w:val="false"/>
                                      <w:spacing w:val="-2"/>
                                    </w:rPr>
                                    <w:t xml:space="preserve">Director Since: </w:t>
                                  </w:r>
                                  <w:r>
                                    <w:rPr>
                                      <w:b/>
                                      <w:spacing w:val="-2"/>
                                    </w:rPr>
                                    <w:t>2011</w:t>
                                  </w:r>
                                  <w:r>
                                    <w:rPr>
                                      <w:b w:val="false"/>
                                    </w:rPr>
                                    <w:t xml:space="preserve"> </w:t>
                                  </w:r>
                                </w:p>
                                <w:p>
                                  <w:pPr>
                                    <w:pStyle w:val="TableContents"/>
                                    <w:bidi w:val="0"/>
                                    <w:spacing w:lineRule="atLeast" w:line="180" w:before="160" w:after="283"/>
                                    <w:ind w:left="0" w:right="160" w:hanging="0"/>
                                    <w:jc w:val="left"/>
                                    <w:rPr>
                                      <w:b w:val="false"/>
                                    </w:rPr>
                                  </w:pPr>
                                  <w:r>
                                    <w:rPr>
                                      <w:b w:val="false"/>
                                      <w:spacing w:val="-2"/>
                                    </w:rPr>
                                    <w:t xml:space="preserve">Age: </w:t>
                                  </w:r>
                                  <w:r>
                                    <w:rPr>
                                      <w:b/>
                                      <w:spacing w:val="-2"/>
                                    </w:rPr>
                                    <w:t>72</w:t>
                                  </w:r>
                                  <w:r>
                                    <w:rPr>
                                      <w:b w:val="false"/>
                                    </w:rPr>
                                    <w:t xml:space="preserve"> </w:t>
                                  </w:r>
                                </w:p>
                                <w:p>
                                  <w:pPr>
                                    <w:pStyle w:val="TableContents"/>
                                    <w:bidi w:val="0"/>
                                    <w:spacing w:lineRule="atLeast" w:line="220" w:before="160" w:after="283"/>
                                    <w:ind w:left="0" w:right="160" w:hanging="0"/>
                                    <w:jc w:val="left"/>
                                    <w:rPr>
                                      <w:b w:val="false"/>
                                    </w:rPr>
                                  </w:pPr>
                                  <w:r>
                                    <w:rPr>
                                      <w:b w:val="false"/>
                                      <w:spacing w:val="-2"/>
                                    </w:rPr>
                                    <w:t xml:space="preserve">SL Green </w:t>
                                    <w:br/>
                                    <w:t>Board Service:</w:t>
                                  </w:r>
                                  <w:r>
                                    <w:rPr>
                                      <w:b w:val="false"/>
                                    </w:rPr>
                                    <w:t xml:space="preserve"> </w:t>
                                  </w:r>
                                </w:p>
                                <w:p>
                                  <w:pPr>
                                    <w:pStyle w:val="TableContents"/>
                                    <w:bidi w:val="0"/>
                                    <w:spacing w:lineRule="atLeast" w:line="180" w:before="160" w:after="0"/>
                                    <w:ind w:left="180" w:right="160" w:hanging="0"/>
                                    <w:jc w:val="left"/>
                                    <w:rPr>
                                      <w:b w:val="false"/>
                                    </w:rPr>
                                  </w:pPr>
                                  <w:r>
                                    <w:rPr>
                                      <w:b/>
                                      <w:spacing w:val="-2"/>
                                    </w:rPr>
                                    <w:t>Audit Committee</w:t>
                                  </w:r>
                                  <w:r>
                                    <w:rPr>
                                      <w:b w:val="false"/>
                                    </w:rPr>
                                    <w:t xml:space="preserve"> </w:t>
                                  </w:r>
                                </w:p>
                                <w:p>
                                  <w:pPr>
                                    <w:pStyle w:val="TableContents"/>
                                    <w:bidi w:val="0"/>
                                    <w:spacing w:before="0" w:after="0"/>
                                    <w:ind w:left="0" w:right="0" w:hanging="0"/>
                                    <w:jc w:val="left"/>
                                    <w:rPr/>
                                  </w:pPr>
                                  <w:r>
                                    <w:rPr/>
                                    <w:t>​</w:t>
                                  </w:r>
                                </w:p>
                                <w:p>
                                  <w:pPr>
                                    <w:pStyle w:val="TableContents"/>
                                    <w:bidi w:val="0"/>
                                    <w:spacing w:lineRule="atLeast" w:line="220" w:before="100" w:after="0"/>
                                    <w:ind w:left="180" w:right="160" w:hanging="0"/>
                                    <w:jc w:val="left"/>
                                    <w:rPr/>
                                  </w:pPr>
                                  <w:r>
                                    <w:rPr>
                                      <w:spacing w:val="-2"/>
                                    </w:rPr>
                                    <w:t>Nominating and Corporate Governance Committee, Chair</w:t>
                                  </w:r>
                                  <w:r>
                                    <w:rPr/>
                                    <w:t xml:space="preserve"> </w: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54" w:type="dxa"/>
                                  <w:tcBorders/>
                                  <w:shd w:fill="1F2668" w:val="clear"/>
                                  <w:vAlign w:val="center"/>
                                </w:tcPr>
                                <w:p>
                                  <w:pPr>
                                    <w:pStyle w:val="TableContents"/>
                                    <w:bidi w:val="0"/>
                                    <w:spacing w:before="0" w:after="283"/>
                                    <w:jc w:val="left"/>
                                    <w:rPr/>
                                  </w:pPr>
                                  <w:r>
                                    <w:rPr/>
                                    <w:t>​</w:t>
                                  </w:r>
                                </w:p>
                              </w:tc>
                            </w:tr>
                          </w:tbl>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23pt;height:482.65pt;mso-wrap-distance-left:45pt;mso-wrap-distance-right:0pt;mso-wrap-distance-top:0pt;mso-wrap-distance-bottom:0pt;margin-top:0pt;mso-position-vertical:top;mso-position-vertical-relative:text;margin-left:45pt;mso-position-horizontal:left;mso-position-horizontal-relative:text">
                <v:textbox>
                  <w:txbxContent>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6410" w:type="dxa"/>
                        <w:jc w:val="left"/>
                        <w:tblInd w:w="0" w:type="dxa"/>
                        <w:tblLayout w:type="fixed"/>
                        <w:tblCellMar>
                          <w:top w:w="0" w:type="dxa"/>
                          <w:left w:w="0" w:type="dxa"/>
                          <w:bottom w:w="0" w:type="dxa"/>
                          <w:right w:w="0" w:type="dxa"/>
                        </w:tblCellMar>
                      </w:tblPr>
                      <w:tblGrid>
                        <w:gridCol w:w="124"/>
                        <w:gridCol w:w="109"/>
                        <w:gridCol w:w="5914"/>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914" w:type="dxa"/>
                            <w:tcBorders/>
                            <w:shd w:fill="1F2668" w:val="clear"/>
                            <w:vAlign w:val="center"/>
                          </w:tcPr>
                          <w:p>
                            <w:pPr>
                              <w:pStyle w:val="TableContents"/>
                              <w:bidi w:val="0"/>
                              <w:spacing w:lineRule="atLeast" w:line="280" w:before="0" w:after="0"/>
                              <w:ind w:left="0" w:right="160" w:hanging="0"/>
                              <w:jc w:val="left"/>
                              <w:rPr>
                                <w:sz w:val="24"/>
                              </w:rPr>
                            </w:pPr>
                            <w:r>
                              <w:rPr>
                                <w:spacing w:val="-2"/>
                                <w:sz w:val="24"/>
                              </w:rPr>
                              <w:t xml:space="preserve">CRAIG M. </w:t>
                              <w:br/>
                              <w:t>HATKOFF</w:t>
                            </w:r>
                            <w:r>
                              <w:rPr>
                                <w:sz w:val="24"/>
                              </w:rPr>
                              <w:t xml:space="preserve"> </w:t>
                            </w:r>
                          </w:p>
                          <w:p>
                            <w:pPr>
                              <w:pStyle w:val="TableContents"/>
                              <w:bidi w:val="0"/>
                              <w:spacing w:before="200" w:after="283"/>
                              <w:ind w:left="0" w:right="160" w:hanging="0"/>
                              <w:jc w:val="left"/>
                              <w:rPr/>
                            </w:pPr>
                            <w:r>
                              <w:rPr/>
                              <w:drawing>
                                <wp:inline distT="0" distB="0" distL="0" distR="0">
                                  <wp:extent cx="1219200" cy="1524000"/>
                                  <wp:effectExtent l="0" t="0" r="0" b="0"/>
                                  <wp:docPr id="344"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 name="Image161" descr=""/>
                                          <pic:cNvPicPr>
                                            <a:picLocks noChangeAspect="1" noChangeArrowheads="1"/>
                                          </pic:cNvPicPr>
                                        </pic:nvPicPr>
                                        <pic:blipFill>
                                          <a:blip r:embed="rId234"/>
                                          <a:stretch>
                                            <a:fillRect/>
                                          </a:stretch>
                                        </pic:blipFill>
                                        <pic:spPr bwMode="auto">
                                          <a:xfrm>
                                            <a:off x="0" y="0"/>
                                            <a:ext cx="1219200" cy="1524000"/>
                                          </a:xfrm>
                                          <a:prstGeom prst="rect">
                                            <a:avLst/>
                                          </a:prstGeom>
                                        </pic:spPr>
                                      </pic:pic>
                                    </a:graphicData>
                                  </a:graphic>
                                </wp:inline>
                              </w:drawing>
                            </w:r>
                            <w:r>
                              <w:rPr/>
                              <w:t xml:space="preserve"> </w:t>
                            </w:r>
                          </w:p>
                          <w:p>
                            <w:pPr>
                              <w:pStyle w:val="TableContents"/>
                              <w:bidi w:val="0"/>
                              <w:spacing w:lineRule="atLeast" w:line="180" w:before="220" w:after="283"/>
                              <w:ind w:left="0" w:right="160" w:hanging="0"/>
                              <w:jc w:val="left"/>
                              <w:rPr/>
                            </w:pPr>
                            <w:r>
                              <w:rPr>
                                <w:spacing w:val="-2"/>
                              </w:rPr>
                              <w:t>Independent Director</w:t>
                            </w:r>
                            <w:r>
                              <w:rPr/>
                              <w:t xml:space="preserve"> </w:t>
                            </w:r>
                          </w:p>
                          <w:p>
                            <w:pPr>
                              <w:pStyle w:val="TableContents"/>
                              <w:bidi w:val="0"/>
                              <w:spacing w:lineRule="atLeast" w:line="180" w:before="160" w:after="283"/>
                              <w:ind w:left="0" w:right="160" w:hanging="0"/>
                              <w:jc w:val="left"/>
                              <w:rPr>
                                <w:b w:val="false"/>
                              </w:rPr>
                            </w:pPr>
                            <w:r>
                              <w:rPr>
                                <w:b w:val="false"/>
                                <w:spacing w:val="-2"/>
                              </w:rPr>
                              <w:t xml:space="preserve">Director Since: </w:t>
                            </w:r>
                            <w:r>
                              <w:rPr>
                                <w:b/>
                                <w:spacing w:val="-2"/>
                              </w:rPr>
                              <w:t>2011</w:t>
                            </w:r>
                            <w:r>
                              <w:rPr>
                                <w:b w:val="false"/>
                              </w:rPr>
                              <w:t xml:space="preserve"> </w:t>
                            </w:r>
                          </w:p>
                          <w:p>
                            <w:pPr>
                              <w:pStyle w:val="TableContents"/>
                              <w:bidi w:val="0"/>
                              <w:spacing w:lineRule="atLeast" w:line="180" w:before="160" w:after="283"/>
                              <w:ind w:left="0" w:right="160" w:hanging="0"/>
                              <w:jc w:val="left"/>
                              <w:rPr>
                                <w:b w:val="false"/>
                              </w:rPr>
                            </w:pPr>
                            <w:r>
                              <w:rPr>
                                <w:b w:val="false"/>
                                <w:spacing w:val="-2"/>
                              </w:rPr>
                              <w:t xml:space="preserve">Age: </w:t>
                            </w:r>
                            <w:r>
                              <w:rPr>
                                <w:b/>
                                <w:spacing w:val="-2"/>
                              </w:rPr>
                              <w:t>72</w:t>
                            </w:r>
                            <w:r>
                              <w:rPr>
                                <w:b w:val="false"/>
                              </w:rPr>
                              <w:t xml:space="preserve"> </w:t>
                            </w:r>
                          </w:p>
                          <w:p>
                            <w:pPr>
                              <w:pStyle w:val="TableContents"/>
                              <w:bidi w:val="0"/>
                              <w:spacing w:lineRule="atLeast" w:line="220" w:before="160" w:after="283"/>
                              <w:ind w:left="0" w:right="160" w:hanging="0"/>
                              <w:jc w:val="left"/>
                              <w:rPr>
                                <w:b w:val="false"/>
                              </w:rPr>
                            </w:pPr>
                            <w:r>
                              <w:rPr>
                                <w:b w:val="false"/>
                                <w:spacing w:val="-2"/>
                              </w:rPr>
                              <w:t xml:space="preserve">SL Green </w:t>
                              <w:br/>
                              <w:t>Board Service:</w:t>
                            </w:r>
                            <w:r>
                              <w:rPr>
                                <w:b w:val="false"/>
                              </w:rPr>
                              <w:t xml:space="preserve"> </w:t>
                            </w:r>
                          </w:p>
                          <w:p>
                            <w:pPr>
                              <w:pStyle w:val="TableContents"/>
                              <w:bidi w:val="0"/>
                              <w:spacing w:lineRule="atLeast" w:line="180" w:before="160" w:after="0"/>
                              <w:ind w:left="180" w:right="160" w:hanging="0"/>
                              <w:jc w:val="left"/>
                              <w:rPr>
                                <w:b w:val="false"/>
                              </w:rPr>
                            </w:pPr>
                            <w:r>
                              <w:rPr>
                                <w:b/>
                                <w:spacing w:val="-2"/>
                              </w:rPr>
                              <w:t>Audit Committee</w:t>
                            </w:r>
                            <w:r>
                              <w:rPr>
                                <w:b w:val="false"/>
                              </w:rPr>
                              <w:t xml:space="preserve"> </w:t>
                            </w:r>
                          </w:p>
                          <w:p>
                            <w:pPr>
                              <w:pStyle w:val="TableContents"/>
                              <w:bidi w:val="0"/>
                              <w:spacing w:before="0" w:after="0"/>
                              <w:ind w:left="0" w:right="0" w:hanging="0"/>
                              <w:jc w:val="left"/>
                              <w:rPr/>
                            </w:pPr>
                            <w:r>
                              <w:rPr/>
                              <w:t>​</w:t>
                            </w:r>
                          </w:p>
                          <w:p>
                            <w:pPr>
                              <w:pStyle w:val="TableContents"/>
                              <w:bidi w:val="0"/>
                              <w:spacing w:lineRule="atLeast" w:line="220" w:before="100" w:after="0"/>
                              <w:ind w:left="180" w:right="160" w:hanging="0"/>
                              <w:jc w:val="left"/>
                              <w:rPr/>
                            </w:pPr>
                            <w:r>
                              <w:rPr>
                                <w:spacing w:val="-2"/>
                              </w:rPr>
                              <w:t>Nominating and Corporate Governance Committee, Chair</w:t>
                            </w:r>
                            <w:r>
                              <w:rPr/>
                              <w:t xml:space="preserve"> </w: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54" w:type="dxa"/>
                            <w:tcBorders/>
                            <w:shd w:fill="1F2668" w:val="clear"/>
                            <w:vAlign w:val="center"/>
                          </w:tcPr>
                          <w:p>
                            <w:pPr>
                              <w:pStyle w:val="TableContents"/>
                              <w:bidi w:val="0"/>
                              <w:spacing w:before="0" w:after="283"/>
                              <w:jc w:val="left"/>
                              <w:rPr/>
                            </w:pPr>
                            <w:r>
                              <w:rPr/>
                              <w:t>​</w:t>
                            </w:r>
                          </w:p>
                        </w:tc>
                      </w:tr>
                    </w:tbl>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48260" distB="0" distL="0" distR="0" simplePos="0" locked="0" layoutInCell="1" allowOverlap="1" relativeHeight="407">
                <wp:simplePos x="0" y="0"/>
                <wp:positionH relativeFrom="column">
                  <wp:align>left</wp:align>
                </wp:positionH>
                <wp:positionV relativeFrom="line">
                  <wp:align>top</wp:align>
                </wp:positionV>
                <wp:extent cx="127000" cy="350520"/>
                <wp:effectExtent l="0" t="0" r="0" b="0"/>
                <wp:wrapSquare wrapText="right"/>
                <wp:docPr id="345" name="Frame1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19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19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29210" distB="0" distL="0" distR="0" simplePos="0" locked="0" layoutInCell="1" allowOverlap="1" relativeHeight="408">
                <wp:simplePos x="0" y="0"/>
                <wp:positionH relativeFrom="column">
                  <wp:align>left</wp:align>
                </wp:positionH>
                <wp:positionV relativeFrom="line">
                  <wp:align>top</wp:align>
                </wp:positionV>
                <wp:extent cx="127000" cy="350520"/>
                <wp:effectExtent l="0" t="0" r="0" b="0"/>
                <wp:wrapSquare wrapText="right"/>
                <wp:docPr id="346" name="Frame1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19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3pt;mso-wrap-distance-bottom:0pt;margin-top:2.3pt;mso-position-vertical:top;mso-position-vertical-relative:text;margin-left:0pt;mso-position-horizontal:left;mso-position-horizontal-relative:text">
                <v:textbox>
                  <w:txbxContent>
                    <w:p>
                      <w:pPr>
                        <w:pStyle w:val="TextBody"/>
                        <w:bidi w:val="0"/>
                        <w:spacing w:lineRule="atLeast" w:line="19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29210" distB="0" distL="0" distR="0" simplePos="0" locked="0" layoutInCell="1" allowOverlap="1" relativeHeight="409">
                <wp:simplePos x="0" y="0"/>
                <wp:positionH relativeFrom="column">
                  <wp:align>left</wp:align>
                </wp:positionH>
                <wp:positionV relativeFrom="line">
                  <wp:align>top</wp:align>
                </wp:positionV>
                <wp:extent cx="127000" cy="350520"/>
                <wp:effectExtent l="0" t="0" r="0" b="0"/>
                <wp:wrapSquare wrapText="right"/>
                <wp:docPr id="347" name="Frame1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19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3pt;mso-wrap-distance-bottom:0pt;margin-top:2.3pt;mso-position-vertical:top;mso-position-vertical-relative:text;margin-left:0pt;mso-position-horizontal:left;mso-position-horizontal-relative:text">
                <v:textbox>
                  <w:txbxContent>
                    <w:p>
                      <w:pPr>
                        <w:pStyle w:val="TextBody"/>
                        <w:bidi w:val="0"/>
                        <w:spacing w:lineRule="atLeast" w:line="19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29210" distB="0" distL="0" distR="0" simplePos="0" locked="0" layoutInCell="1" allowOverlap="1" relativeHeight="410">
                <wp:simplePos x="0" y="0"/>
                <wp:positionH relativeFrom="column">
                  <wp:align>left</wp:align>
                </wp:positionH>
                <wp:positionV relativeFrom="line">
                  <wp:align>top</wp:align>
                </wp:positionV>
                <wp:extent cx="127000" cy="350520"/>
                <wp:effectExtent l="0" t="0" r="0" b="0"/>
                <wp:wrapSquare wrapText="right"/>
                <wp:docPr id="348" name="Frame1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19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3pt;mso-wrap-distance-bottom:0pt;margin-top:2.3pt;mso-position-vertical:top;mso-position-vertical-relative:text;margin-left:0pt;mso-position-horizontal:left;mso-position-horizontal-relative:text">
                <v:textbox>
                  <w:txbxContent>
                    <w:p>
                      <w:pPr>
                        <w:pStyle w:val="TextBody"/>
                        <w:bidi w:val="0"/>
                        <w:spacing w:lineRule="atLeast" w:line="19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29210" distB="0" distL="0" distR="0" simplePos="0" locked="0" layoutInCell="1" allowOverlap="1" relativeHeight="411">
                <wp:simplePos x="0" y="0"/>
                <wp:positionH relativeFrom="column">
                  <wp:align>left</wp:align>
                </wp:positionH>
                <wp:positionV relativeFrom="line">
                  <wp:align>top</wp:align>
                </wp:positionV>
                <wp:extent cx="127000" cy="350520"/>
                <wp:effectExtent l="0" t="0" r="0" b="0"/>
                <wp:wrapSquare wrapText="right"/>
                <wp:docPr id="349" name="Frame1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19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3pt;mso-wrap-distance-bottom:0pt;margin-top:2.3pt;mso-position-vertical:top;mso-position-vertical-relative:text;margin-left:0pt;mso-position-horizontal:left;mso-position-horizontal-relative:text">
                <v:textbox>
                  <w:txbxContent>
                    <w:p>
                      <w:pPr>
                        <w:pStyle w:val="TextBody"/>
                        <w:bidi w:val="0"/>
                        <w:spacing w:lineRule="atLeast" w:line="19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29210" distB="0" distL="0" distR="0" simplePos="0" locked="0" layoutInCell="1" allowOverlap="1" relativeHeight="412">
                <wp:simplePos x="0" y="0"/>
                <wp:positionH relativeFrom="column">
                  <wp:align>left</wp:align>
                </wp:positionH>
                <wp:positionV relativeFrom="line">
                  <wp:align>top</wp:align>
                </wp:positionV>
                <wp:extent cx="127000" cy="350520"/>
                <wp:effectExtent l="0" t="0" r="0" b="0"/>
                <wp:wrapSquare wrapText="right"/>
                <wp:docPr id="350" name="Frame1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19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3pt;mso-wrap-distance-bottom:0pt;margin-top:2.3pt;mso-position-vertical:top;mso-position-vertical-relative:text;margin-left:0pt;mso-position-horizontal:left;mso-position-horizontal-relative:text">
                <v:textbox>
                  <w:txbxContent>
                    <w:p>
                      <w:pPr>
                        <w:pStyle w:val="TextBody"/>
                        <w:bidi w:val="0"/>
                        <w:spacing w:lineRule="atLeast" w:line="19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29210" distB="0" distL="0" distR="0" simplePos="0" locked="0" layoutInCell="1" allowOverlap="1" relativeHeight="413">
                <wp:simplePos x="0" y="0"/>
                <wp:positionH relativeFrom="column">
                  <wp:align>left</wp:align>
                </wp:positionH>
                <wp:positionV relativeFrom="line">
                  <wp:align>top</wp:align>
                </wp:positionV>
                <wp:extent cx="127000" cy="350520"/>
                <wp:effectExtent l="0" t="0" r="0" b="0"/>
                <wp:wrapSquare wrapText="right"/>
                <wp:docPr id="351" name="Frame1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19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3pt;mso-wrap-distance-bottom:0pt;margin-top:2.3pt;mso-position-vertical:top;mso-position-vertical-relative:text;margin-left:0pt;mso-position-horizontal:left;mso-position-horizontal-relative:text">
                <v:textbox>
                  <w:txbxContent>
                    <w:p>
                      <w:pPr>
                        <w:pStyle w:val="TextBody"/>
                        <w:bidi w:val="0"/>
                        <w:spacing w:lineRule="atLeast" w:line="19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29210" distB="0" distL="0" distR="0" simplePos="0" locked="0" layoutInCell="1" allowOverlap="1" relativeHeight="414">
                <wp:simplePos x="0" y="0"/>
                <wp:positionH relativeFrom="column">
                  <wp:align>left</wp:align>
                </wp:positionH>
                <wp:positionV relativeFrom="line">
                  <wp:align>top</wp:align>
                </wp:positionV>
                <wp:extent cx="127000" cy="350520"/>
                <wp:effectExtent l="0" t="0" r="0" b="0"/>
                <wp:wrapSquare wrapText="right"/>
                <wp:docPr id="352" name="Frame1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19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3pt;mso-wrap-distance-bottom:0pt;margin-top:2.3pt;mso-position-vertical:top;mso-position-vertical-relative:text;margin-left:0pt;mso-position-horizontal:left;mso-position-horizontal-relative:text">
                <v:textbox>
                  <w:txbxContent>
                    <w:p>
                      <w:pPr>
                        <w:pStyle w:val="TextBody"/>
                        <w:bidi w:val="0"/>
                        <w:spacing w:lineRule="atLeast" w:line="19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29210" distB="0" distL="0" distR="0" simplePos="0" locked="0" layoutInCell="1" allowOverlap="1" relativeHeight="415">
                <wp:simplePos x="0" y="0"/>
                <wp:positionH relativeFrom="column">
                  <wp:align>left</wp:align>
                </wp:positionH>
                <wp:positionV relativeFrom="line">
                  <wp:align>top</wp:align>
                </wp:positionV>
                <wp:extent cx="127000" cy="350520"/>
                <wp:effectExtent l="0" t="0" r="0" b="0"/>
                <wp:wrapSquare wrapText="right"/>
                <wp:docPr id="353" name="Frame1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19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3pt;mso-wrap-distance-bottom:0pt;margin-top:2.3pt;mso-position-vertical:top;mso-position-vertical-relative:text;margin-left:0pt;mso-position-horizontal:left;mso-position-horizontal-relative:text">
                <v:textbox>
                  <w:txbxContent>
                    <w:p>
                      <w:pPr>
                        <w:pStyle w:val="TextBody"/>
                        <w:bidi w:val="0"/>
                        <w:spacing w:lineRule="atLeast" w:line="19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29210" distB="0" distL="0" distR="0" simplePos="0" locked="0" layoutInCell="1" allowOverlap="1" relativeHeight="416">
                <wp:simplePos x="0" y="0"/>
                <wp:positionH relativeFrom="column">
                  <wp:align>left</wp:align>
                </wp:positionH>
                <wp:positionV relativeFrom="line">
                  <wp:align>top</wp:align>
                </wp:positionV>
                <wp:extent cx="127000" cy="350520"/>
                <wp:effectExtent l="0" t="0" r="0" b="0"/>
                <wp:wrapSquare wrapText="right"/>
                <wp:docPr id="354" name="Frame1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19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3pt;mso-wrap-distance-bottom:0pt;margin-top:2.3pt;mso-position-vertical:top;mso-position-vertical-relative:text;margin-left:0pt;mso-position-horizontal:left;mso-position-horizontal-relative:text">
                <v:textbox>
                  <w:txbxContent>
                    <w:p>
                      <w:pPr>
                        <w:pStyle w:val="TextBody"/>
                        <w:bidi w:val="0"/>
                        <w:spacing w:lineRule="atLeast" w:line="19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60960" distB="0" distL="0" distR="0" simplePos="0" locked="0" layoutInCell="1" allowOverlap="1" relativeHeight="417">
                <wp:simplePos x="0" y="0"/>
                <wp:positionH relativeFrom="column">
                  <wp:align>left</wp:align>
                </wp:positionH>
                <wp:positionV relativeFrom="line">
                  <wp:align>top</wp:align>
                </wp:positionV>
                <wp:extent cx="127000" cy="350520"/>
                <wp:effectExtent l="0" t="0" r="0" b="0"/>
                <wp:wrapSquare wrapText="right"/>
                <wp:docPr id="355" name="Frame1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19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4.8pt;mso-wrap-distance-bottom:0pt;margin-top:4.8pt;mso-position-vertical:top;mso-position-vertical-relative:text;margin-left:0pt;mso-position-horizontal:left;mso-position-horizontal-relative:text">
                <v:textbox>
                  <w:txbxContent>
                    <w:p>
                      <w:pPr>
                        <w:pStyle w:val="TextBody"/>
                        <w:bidi w:val="0"/>
                        <w:spacing w:lineRule="atLeast" w:line="19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29210" distB="0" distL="0" distR="0" simplePos="0" locked="0" layoutInCell="1" allowOverlap="1" relativeHeight="418">
                <wp:simplePos x="0" y="0"/>
                <wp:positionH relativeFrom="column">
                  <wp:align>left</wp:align>
                </wp:positionH>
                <wp:positionV relativeFrom="line">
                  <wp:align>top</wp:align>
                </wp:positionV>
                <wp:extent cx="127000" cy="350520"/>
                <wp:effectExtent l="0" t="0" r="0" b="0"/>
                <wp:wrapSquare wrapText="right"/>
                <wp:docPr id="356" name="Frame1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19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3pt;mso-wrap-distance-bottom:0pt;margin-top:2.3pt;mso-position-vertical:top;mso-position-vertical-relative:text;margin-left:0pt;mso-position-horizontal:left;mso-position-horizontal-relative:text">
                <v:textbox>
                  <w:txbxContent>
                    <w:p>
                      <w:pPr>
                        <w:pStyle w:val="TextBody"/>
                        <w:bidi w:val="0"/>
                        <w:spacing w:lineRule="atLeast" w:line="19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30480" distB="0" distL="0" distR="0" simplePos="0" locked="0" layoutInCell="1" allowOverlap="1" relativeHeight="419">
                <wp:simplePos x="0" y="0"/>
                <wp:positionH relativeFrom="column">
                  <wp:align>left</wp:align>
                </wp:positionH>
                <wp:positionV relativeFrom="line">
                  <wp:align>top</wp:align>
                </wp:positionV>
                <wp:extent cx="127000" cy="350520"/>
                <wp:effectExtent l="0" t="0" r="0" b="0"/>
                <wp:wrapSquare wrapText="right"/>
                <wp:docPr id="357" name="Frame1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19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4pt;mso-wrap-distance-bottom:0pt;margin-top:2.4pt;mso-position-vertical:top;mso-position-vertical-relative:text;margin-left:0pt;mso-position-horizontal:left;mso-position-horizontal-relative:text">
                <v:textbox>
                  <w:txbxContent>
                    <w:p>
                      <w:pPr>
                        <w:pStyle w:val="TextBody"/>
                        <w:bidi w:val="0"/>
                        <w:spacing w:lineRule="atLeast" w:line="19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30480" distB="0" distL="0" distR="0" simplePos="0" locked="0" layoutInCell="1" allowOverlap="1" relativeHeight="420">
                <wp:simplePos x="0" y="0"/>
                <wp:positionH relativeFrom="column">
                  <wp:align>left</wp:align>
                </wp:positionH>
                <wp:positionV relativeFrom="line">
                  <wp:align>top</wp:align>
                </wp:positionV>
                <wp:extent cx="127000" cy="350520"/>
                <wp:effectExtent l="0" t="0" r="0" b="0"/>
                <wp:wrapSquare wrapText="right"/>
                <wp:docPr id="358" name="Frame1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19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4pt;mso-wrap-distance-bottom:0pt;margin-top:2.4pt;mso-position-vertical:top;mso-position-vertical-relative:text;margin-left:0pt;mso-position-horizontal:left;mso-position-horizontal-relative:text">
                <v:textbox>
                  <w:txbxContent>
                    <w:p>
                      <w:pPr>
                        <w:pStyle w:val="TextBody"/>
                        <w:bidi w:val="0"/>
                        <w:spacing w:lineRule="atLeast" w:line="19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30480" distB="0" distL="0" distR="0" simplePos="0" locked="0" layoutInCell="1" allowOverlap="1" relativeHeight="421">
                <wp:simplePos x="0" y="0"/>
                <wp:positionH relativeFrom="column">
                  <wp:align>left</wp:align>
                </wp:positionH>
                <wp:positionV relativeFrom="line">
                  <wp:align>top</wp:align>
                </wp:positionV>
                <wp:extent cx="127000" cy="350520"/>
                <wp:effectExtent l="0" t="0" r="0" b="0"/>
                <wp:wrapSquare wrapText="right"/>
                <wp:docPr id="359" name="Frame1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19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4pt;mso-wrap-distance-bottom:0pt;margin-top:2.4pt;mso-position-vertical:top;mso-position-vertical-relative:text;margin-left:0pt;mso-position-horizontal:left;mso-position-horizontal-relative:text">
                <v:textbox>
                  <w:txbxContent>
                    <w:p>
                      <w:pPr>
                        <w:pStyle w:val="TextBody"/>
                        <w:bidi w:val="0"/>
                        <w:spacing w:lineRule="atLeast" w:line="19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30480" distB="0" distL="0" distR="0" simplePos="0" locked="0" layoutInCell="1" allowOverlap="1" relativeHeight="422">
                <wp:simplePos x="0" y="0"/>
                <wp:positionH relativeFrom="column">
                  <wp:align>left</wp:align>
                </wp:positionH>
                <wp:positionV relativeFrom="line">
                  <wp:align>top</wp:align>
                </wp:positionV>
                <wp:extent cx="127000" cy="350520"/>
                <wp:effectExtent l="0" t="0" r="0" b="0"/>
                <wp:wrapSquare wrapText="right"/>
                <wp:docPr id="360" name="Frame1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19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4pt;mso-wrap-distance-bottom:0pt;margin-top:2.4pt;mso-position-vertical:top;mso-position-vertical-relative:text;margin-left:0pt;mso-position-horizontal:left;mso-position-horizontal-relative:text">
                <v:textbox>
                  <w:txbxContent>
                    <w:p>
                      <w:pPr>
                        <w:pStyle w:val="TextBody"/>
                        <w:bidi w:val="0"/>
                        <w:spacing w:lineRule="atLeast" w:line="19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101600" distB="0" distL="0" distR="0" simplePos="0" locked="0" layoutInCell="1" allowOverlap="1" relativeHeight="405">
                <wp:simplePos x="0" y="0"/>
                <wp:positionH relativeFrom="column">
                  <wp:align>left</wp:align>
                </wp:positionH>
                <wp:positionV relativeFrom="line">
                  <wp:align>top</wp:align>
                </wp:positionV>
                <wp:extent cx="114300" cy="350520"/>
                <wp:effectExtent l="0" t="0" r="0" b="0"/>
                <wp:wrapSquare wrapText="right"/>
                <wp:docPr id="361" name="Frame117"/>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 w:val="false"/>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 w:val="false"/>
                        </w:rPr>
                        <w:br/>
                      </w:r>
                    </w:p>
                  </w:txbxContent>
                </v:textbox>
                <w10:wrap type="square" side="right"/>
              </v:rect>
            </w:pict>
          </mc:Fallback>
        </mc:AlternateContent>
      </w:r>
      <w:r>
        <mc:AlternateContent>
          <mc:Choice Requires="wps">
            <w:drawing>
              <wp:anchor behindDoc="0" distT="63500" distB="0" distL="0" distR="0" simplePos="0" locked="0" layoutInCell="1" allowOverlap="1" relativeHeight="406">
                <wp:simplePos x="0" y="0"/>
                <wp:positionH relativeFrom="column">
                  <wp:align>left</wp:align>
                </wp:positionH>
                <wp:positionV relativeFrom="line">
                  <wp:align>top</wp:align>
                </wp:positionV>
                <wp:extent cx="114300" cy="350520"/>
                <wp:effectExtent l="0" t="0" r="0" b="0"/>
                <wp:wrapSquare wrapText="right"/>
                <wp:docPr id="362" name="Frame118"/>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225" w:type="dxa"/>
        <w:jc w:val="left"/>
        <w:tblInd w:w="900" w:type="dxa"/>
        <w:tblLayout w:type="fixed"/>
        <w:tblCellMar>
          <w:top w:w="0" w:type="dxa"/>
          <w:left w:w="0" w:type="dxa"/>
          <w:bottom w:w="0" w:type="dxa"/>
          <w:right w:w="0" w:type="dxa"/>
        </w:tblCellMar>
      </w:tblPr>
      <w:tblGrid>
        <w:gridCol w:w="124"/>
        <w:gridCol w:w="346"/>
        <w:gridCol w:w="109"/>
        <w:gridCol w:w="109"/>
        <w:gridCol w:w="4383"/>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18</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383" w:type="dxa"/>
            <w:tcBorders/>
            <w:vAlign w:val="center"/>
          </w:tcPr>
          <w:p>
            <w:pPr>
              <w:pStyle w:val="TableContents"/>
              <w:bidi w:val="0"/>
              <w:spacing w:lineRule="atLeast" w:line="200" w:before="0" w:after="0"/>
              <w:jc w:val="left"/>
              <w:rPr/>
            </w:pPr>
            <w:r>
              <w:rPr>
                <w:spacing w:val="-2"/>
              </w:rPr>
              <w:t>    </w:t>
            </w:r>
            <w:r>
              <w:rPr>
                <w:spacing w:val="-2"/>
                <w:sz w:val="16"/>
              </w:rPr>
              <w:t>SL GREEN REALTY CORP. 2026 PROXY STATEMENT</w:t>
            </w:r>
            <w:r>
              <w:rPr>
                <w:sz w:val="16"/>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3272"/>
        <w:ind w:left="900" w:right="0" w:hanging="0"/>
        <w:jc w:val="left"/>
        <w:rPr>
          <w:caps w:val="false"/>
          <w:smallCaps w:val="false"/>
          <w:color w:val="000000"/>
        </w:rPr>
      </w:pPr>
      <w:r>
        <w:rPr>
          <w:caps w:val="false"/>
          <w:smallCaps w:val="false"/>
          <w:color w:val="000000"/>
        </w:rPr>
        <w:t>​</w:t>
      </w:r>
      <w:r>
        <mc:AlternateContent>
          <mc:Choice Requires="wps">
            <w:drawing>
              <wp:anchor behindDoc="0" distT="0" distB="0" distL="254000" distR="0" simplePos="0" locked="0" layoutInCell="1" allowOverlap="1" relativeHeight="139">
                <wp:simplePos x="0" y="0"/>
                <wp:positionH relativeFrom="column">
                  <wp:align>left</wp:align>
                </wp:positionH>
                <wp:positionV relativeFrom="line">
                  <wp:posOffset>635</wp:posOffset>
                </wp:positionV>
                <wp:extent cx="4584700" cy="9972040"/>
                <wp:effectExtent l="0" t="0" r="0" b="0"/>
                <wp:wrapSquare wrapText="right"/>
                <wp:docPr id="363" name="Frame138"/>
                <a:graphic xmlns:a="http://schemas.openxmlformats.org/drawingml/2006/main">
                  <a:graphicData uri="http://schemas.microsoft.com/office/word/2010/wordprocessingShape">
                    <wps:wsp>
                      <wps:cNvSpPr txBox="1"/>
                      <wps:spPr>
                        <a:xfrm>
                          <a:off x="0" y="0"/>
                          <a:ext cx="4584700" cy="9972040"/>
                        </a:xfrm>
                        <a:prstGeom prst="rect"/>
                        <a:solidFill>
                          <a:srgbClr val="FFFFFF"/>
                        </a:solidFill>
                      </wps:spPr>
                      <wps:txbx>
                        <w:txbxContent>
                          <w:p>
                            <w:pPr>
                              <w:pStyle w:val="TextBody"/>
                              <w:bidi w:val="0"/>
                              <w:spacing w:lineRule="atLeast" w:line="230" w:before="500" w:after="283"/>
                              <w:jc w:val="left"/>
                              <w:rPr/>
                            </w:pPr>
                            <w:r>
                              <w:rPr>
                                <w:spacing w:val="-2"/>
                              </w:rPr>
                              <w:t>Mr. Holliday’s extensive experience and skills in real estate and finance, as well as his role as Chief Executive Officer of the Company, provide the Board with valuable knowledge of and expertise in our business and industry. Furthermore, Mr. Holliday’s role as Chairman and Chief Executive Officer facilitates communication between the Board and the Company’s senior management.</w:t>
                            </w:r>
                            <w:r>
                              <w:rPr>
                                <w:spacing w:val="4"/>
                              </w:rPr>
                              <w:t xml:space="preserve"> </w:t>
                            </w:r>
                          </w:p>
                          <w:p>
                            <w:pPr>
                              <w:pStyle w:val="TextBody"/>
                              <w:bidi w:val="0"/>
                              <w:spacing w:before="0" w:after="283"/>
                              <w:ind w:left="0" w:right="0" w:hanging="0"/>
                              <w:jc w:val="left"/>
                              <w:rPr>
                                <w:bdr w:val="single" w:sz="8" w:space="1" w:color="83AD40"/>
                              </w:rPr>
                            </w:pPr>
                            <w:r>
                              <w:rPr>
                                <w:bdr w:val="single" w:sz="8" w:space="1" w:color="83AD40"/>
                              </w:rPr>
                              <w:t>​</w:t>
                            </w:r>
                          </w:p>
                          <w:p>
                            <w:pPr>
                              <w:pStyle w:val="TextBody"/>
                              <w:bidi w:val="0"/>
                              <w:spacing w:lineRule="atLeast" w:line="260" w:before="387" w:after="283"/>
                              <w:jc w:val="left"/>
                              <w:rPr>
                                <w:b/>
                                <w:color w:val="1F2668"/>
                                <w:sz w:val="22"/>
                              </w:rPr>
                            </w:pPr>
                            <w:r>
                              <w:rPr>
                                <w:b/>
                                <w:color w:val="1F2668"/>
                                <w:spacing w:val="-2"/>
                                <w:sz w:val="22"/>
                              </w:rPr>
                              <w:t>Professional Experience</w:t>
                            </w:r>
                            <w:r>
                              <w:rPr>
                                <w:b/>
                                <w:color w:val="000000"/>
                                <w:spacing w:val="4"/>
                                <w:sz w:val="22"/>
                              </w:rPr>
                              <w:t xml:space="preserve"> </w:t>
                            </w:r>
                          </w:p>
                          <w:p>
                            <w:pPr>
                              <w:pStyle w:val="TextBody"/>
                              <w:bidi w:val="0"/>
                              <w:spacing w:lineRule="atLeast" w:line="220" w:before="102" w:after="0"/>
                              <w:ind w:left="200" w:right="0" w:hanging="0"/>
                              <w:jc w:val="left"/>
                              <w:rPr/>
                            </w:pPr>
                            <w:r>
                              <w:rPr>
                                <w:spacing w:val="-2"/>
                              </w:rPr>
                              <w:t>Chief Executive Officer of the Company since January 2004; Chairman of the Board since January 2019; Interim President of the Company from January 2024 to February 2026</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Joined the Company as Chief Investment Officer in July 1998; stepped down as President in April 2007 following promotion of Andrew Mathias to that position</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President and Chief Executive Officer of Gramercy Capital Corp., from August 2004 to October 2008</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Managing Director and Head of Direct Originations for New York-based Capital Trust Inc., a mezzanine finance company, where he was in charge of originating direct principal investments for the firm, consisting of mezzanine debt, preferred equity and first mortgages</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Served in various management positions, including Senior Vice President at Capital Trust, Inc.’s predecessor, Victor Capital Group, L.P. from 1991 to 1997</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Chairman of the Board of Directors of NYRA and executive officer and member of the Board of the Real Estate Board of New York, and a former member of the Board of Directors of Columbia University</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B.S. degree in Business and Finance from Lehigh University in 1988 and M.S. degree in Real Estate Development from Columbia University in 1990</w:t>
                            </w:r>
                            <w:r>
                              <w:rPr>
                                <w:spacing w:val="4"/>
                              </w:rPr>
                              <w:t xml:space="preserve"> </w:t>
                            </w:r>
                          </w:p>
                          <w:p>
                            <w:pPr>
                              <w:pStyle w:val="TextBody"/>
                              <w:bidi w:val="0"/>
                              <w:spacing w:before="0" w:after="0"/>
                              <w:ind w:left="0" w:right="0" w:hanging="0"/>
                              <w:jc w:val="left"/>
                              <w:rPr/>
                            </w:pPr>
                            <w:r>
                              <w:rPr/>
                              <w:t>​</w:t>
                            </w:r>
                          </w:p>
                          <w:p>
                            <w:pPr>
                              <w:pStyle w:val="TextBody"/>
                              <w:bidi w:val="0"/>
                              <w:spacing w:before="0" w:after="283"/>
                              <w:ind w:left="0" w:right="0" w:hanging="0"/>
                              <w:jc w:val="left"/>
                              <w:rPr>
                                <w:bdr w:val="single" w:sz="8" w:space="1" w:color="83AD40"/>
                              </w:rPr>
                            </w:pPr>
                            <w:r>
                              <w:rPr>
                                <w:bdr w:val="single" w:sz="8" w:space="1" w:color="83AD40"/>
                              </w:rPr>
                              <w:t>​</w:t>
                            </w:r>
                          </w:p>
                          <w:p>
                            <w:pPr>
                              <w:pStyle w:val="TextBody"/>
                              <w:bidi w:val="0"/>
                              <w:spacing w:lineRule="atLeast" w:line="260" w:before="387" w:after="283"/>
                              <w:jc w:val="left"/>
                              <w:rPr>
                                <w:b/>
                                <w:color w:val="1F2668"/>
                                <w:sz w:val="22"/>
                              </w:rPr>
                            </w:pPr>
                            <w:r>
                              <w:rPr>
                                <w:b/>
                                <w:color w:val="1F2668"/>
                                <w:spacing w:val="-2"/>
                                <w:sz w:val="22"/>
                              </w:rPr>
                              <w:t>Skills, Experiences and Attributes</w:t>
                            </w:r>
                            <w:r>
                              <w:rPr>
                                <w:b/>
                                <w:color w:val="000000"/>
                                <w:spacing w:val="4"/>
                                <w:sz w:val="22"/>
                              </w:rPr>
                              <w:t xml:space="preserve"> </w:t>
                            </w:r>
                          </w:p>
                          <w:tbl>
                            <w:tblPr>
                              <w:tblW w:w="9110" w:type="dxa"/>
                              <w:jc w:val="left"/>
                              <w:tblInd w:w="0" w:type="dxa"/>
                              <w:tblLayout w:type="fixed"/>
                              <w:tblCellMar>
                                <w:top w:w="0" w:type="dxa"/>
                                <w:left w:w="0" w:type="dxa"/>
                                <w:bottom w:w="0" w:type="dxa"/>
                                <w:right w:w="0" w:type="dxa"/>
                              </w:tblCellMar>
                            </w:tblPr>
                            <w:tblGrid>
                              <w:gridCol w:w="124"/>
                              <w:gridCol w:w="731"/>
                              <w:gridCol w:w="109"/>
                              <w:gridCol w:w="109"/>
                              <w:gridCol w:w="4081"/>
                              <w:gridCol w:w="109"/>
                              <w:gridCol w:w="109"/>
                              <w:gridCol w:w="731"/>
                              <w:gridCol w:w="109"/>
                              <w:gridCol w:w="109"/>
                              <w:gridCol w:w="2635"/>
                              <w:gridCol w:w="154"/>
                            </w:tblGrid>
                            <w:tr>
                              <w:trPr/>
                              <w:tc>
                                <w:tcPr>
                                  <w:tcW w:w="124" w:type="dxa"/>
                                  <w:tcBorders/>
                                  <w:vAlign w:val="center"/>
                                </w:tcPr>
                                <w:p>
                                  <w:pPr>
                                    <w:pStyle w:val="TableContents"/>
                                    <w:bidi w:val="0"/>
                                    <w:spacing w:before="0" w:after="283"/>
                                    <w:jc w:val="left"/>
                                    <w:rPr/>
                                  </w:pPr>
                                  <w:r>
                                    <w:rPr/>
                                    <w:t>​</w:t>
                                  </w:r>
                                </w:p>
                              </w:tc>
                              <w:tc>
                                <w:tcPr>
                                  <w:tcW w:w="731" w:type="dxa"/>
                                  <w:tcBorders/>
                                  <w:vAlign w:val="center"/>
                                </w:tcPr>
                                <w:p>
                                  <w:pPr>
                                    <w:pStyle w:val="TableContents"/>
                                    <w:bidi w:val="0"/>
                                    <w:spacing w:before="0" w:after="0"/>
                                    <w:jc w:val="left"/>
                                    <w:rPr/>
                                  </w:pPr>
                                  <w:r>
                                    <w:rPr/>
                                    <w:drawing>
                                      <wp:inline distT="0" distB="0" distL="0" distR="0">
                                        <wp:extent cx="371475" cy="390525"/>
                                        <wp:effectExtent l="0" t="0" r="0" b="0"/>
                                        <wp:docPr id="364" name="Image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 name="Image173" descr=""/>
                                                <pic:cNvPicPr>
                                                  <a:picLocks noChangeAspect="1" noChangeArrowheads="1"/>
                                                </pic:cNvPicPr>
                                              </pic:nvPicPr>
                                              <pic:blipFill>
                                                <a:blip r:embed="rId235"/>
                                                <a:stretch>
                                                  <a:fillRect/>
                                                </a:stretch>
                                              </pic:blipFill>
                                              <pic:spPr bwMode="auto">
                                                <a:xfrm>
                                                  <a:off x="0" y="0"/>
                                                  <a:ext cx="371475" cy="3905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81"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Executive Leadership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1"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71475" cy="371475"/>
                                        <wp:effectExtent l="0" t="0" r="0" b="0"/>
                                        <wp:docPr id="365" name="Image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 name="Image174" descr=""/>
                                                <pic:cNvPicPr>
                                                  <a:picLocks noChangeAspect="1" noChangeArrowheads="1"/>
                                                </pic:cNvPicPr>
                                              </pic:nvPicPr>
                                              <pic:blipFill>
                                                <a:blip r:embed="rId236"/>
                                                <a:stretch>
                                                  <a:fillRect/>
                                                </a:stretch>
                                              </pic:blipFill>
                                              <pic:spPr bwMode="auto">
                                                <a:xfrm>
                                                  <a:off x="0" y="0"/>
                                                  <a:ext cx="371475" cy="3714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635"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Finance/Capital Markets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1"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52425" cy="409575"/>
                                        <wp:effectExtent l="0" t="0" r="0" b="0"/>
                                        <wp:docPr id="366" name="Image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 name="Image175" descr=""/>
                                                <pic:cNvPicPr>
                                                  <a:picLocks noChangeAspect="1" noChangeArrowheads="1"/>
                                                </pic:cNvPicPr>
                                              </pic:nvPicPr>
                                              <pic:blipFill>
                                                <a:blip r:embed="rId237"/>
                                                <a:stretch>
                                                  <a:fillRect/>
                                                </a:stretch>
                                              </pic:blipFill>
                                              <pic:spPr bwMode="auto">
                                                <a:xfrm>
                                                  <a:off x="0" y="0"/>
                                                  <a:ext cx="352425" cy="4095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81"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Risk Management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1"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33375" cy="304800"/>
                                        <wp:effectExtent l="0" t="0" r="0" b="0"/>
                                        <wp:docPr id="367" name="Image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 name="Image176" descr=""/>
                                                <pic:cNvPicPr>
                                                  <a:picLocks noChangeAspect="1" noChangeArrowheads="1"/>
                                                </pic:cNvPicPr>
                                              </pic:nvPicPr>
                                              <pic:blipFill>
                                                <a:blip r:embed="rId238"/>
                                                <a:stretch>
                                                  <a:fillRect/>
                                                </a:stretch>
                                              </pic:blipFill>
                                              <pic:spPr bwMode="auto">
                                                <a:xfrm>
                                                  <a:off x="0" y="0"/>
                                                  <a:ext cx="333375" cy="3048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635"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REIT/Real Estate Industry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1"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52425" cy="371475"/>
                                        <wp:effectExtent l="0" t="0" r="0" b="0"/>
                                        <wp:docPr id="368" name="Image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 name="Image177" descr=""/>
                                                <pic:cNvPicPr>
                                                  <a:picLocks noChangeAspect="1" noChangeArrowheads="1"/>
                                                </pic:cNvPicPr>
                                              </pic:nvPicPr>
                                              <pic:blipFill>
                                                <a:blip r:embed="rId239"/>
                                                <a:stretch>
                                                  <a:fillRect/>
                                                </a:stretch>
                                              </pic:blipFill>
                                              <pic:spPr bwMode="auto">
                                                <a:xfrm>
                                                  <a:off x="0" y="0"/>
                                                  <a:ext cx="352425" cy="3714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81"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Experience Over Several Business Cycles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1"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52425" cy="352425"/>
                                        <wp:effectExtent l="0" t="0" r="0" b="0"/>
                                        <wp:docPr id="369" name="Image1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 name="Image178" descr=""/>
                                                <pic:cNvPicPr>
                                                  <a:picLocks noChangeAspect="1" noChangeArrowheads="1"/>
                                                </pic:cNvPicPr>
                                              </pic:nvPicPr>
                                              <pic:blipFill>
                                                <a:blip r:embed="rId240"/>
                                                <a:stretch>
                                                  <a:fillRect/>
                                                </a:stretch>
                                              </pic:blipFill>
                                              <pic:spPr bwMode="auto">
                                                <a:xfrm>
                                                  <a:off x="0" y="0"/>
                                                  <a:ext cx="352425" cy="3524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635"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Talent Management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1"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42900" cy="381000"/>
                                        <wp:effectExtent l="0" t="0" r="0" b="0"/>
                                        <wp:docPr id="370" name="Image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 name="Image179" descr=""/>
                                                <pic:cNvPicPr>
                                                  <a:picLocks noChangeAspect="1" noChangeArrowheads="1"/>
                                                </pic:cNvPicPr>
                                              </pic:nvPicPr>
                                              <pic:blipFill>
                                                <a:blip r:embed="rId241"/>
                                                <a:stretch>
                                                  <a:fillRect/>
                                                </a:stretch>
                                              </pic:blipFill>
                                              <pic:spPr bwMode="auto">
                                                <a:xfrm>
                                                  <a:off x="0" y="0"/>
                                                  <a:ext cx="342900" cy="3810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81"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Government/Regulatory Experience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1"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635"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61pt;height:785.2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30" w:before="500" w:after="283"/>
                        <w:jc w:val="left"/>
                        <w:rPr/>
                      </w:pPr>
                      <w:r>
                        <w:rPr>
                          <w:spacing w:val="-2"/>
                        </w:rPr>
                        <w:t>Mr. Holliday’s extensive experience and skills in real estate and finance, as well as his role as Chief Executive Officer of the Company, provide the Board with valuable knowledge of and expertise in our business and industry. Furthermore, Mr. Holliday’s role as Chairman and Chief Executive Officer facilitates communication between the Board and the Company’s senior management.</w:t>
                      </w:r>
                      <w:r>
                        <w:rPr>
                          <w:spacing w:val="4"/>
                        </w:rPr>
                        <w:t xml:space="preserve"> </w:t>
                      </w:r>
                    </w:p>
                    <w:p>
                      <w:pPr>
                        <w:pStyle w:val="TextBody"/>
                        <w:bidi w:val="0"/>
                        <w:spacing w:before="0" w:after="283"/>
                        <w:ind w:left="0" w:right="0" w:hanging="0"/>
                        <w:jc w:val="left"/>
                        <w:rPr>
                          <w:bdr w:val="single" w:sz="8" w:space="1" w:color="83AD40"/>
                        </w:rPr>
                      </w:pPr>
                      <w:r>
                        <w:rPr>
                          <w:bdr w:val="single" w:sz="8" w:space="1" w:color="83AD40"/>
                        </w:rPr>
                        <w:t>​</w:t>
                      </w:r>
                    </w:p>
                    <w:p>
                      <w:pPr>
                        <w:pStyle w:val="TextBody"/>
                        <w:bidi w:val="0"/>
                        <w:spacing w:lineRule="atLeast" w:line="260" w:before="387" w:after="283"/>
                        <w:jc w:val="left"/>
                        <w:rPr>
                          <w:b/>
                          <w:color w:val="1F2668"/>
                          <w:sz w:val="22"/>
                        </w:rPr>
                      </w:pPr>
                      <w:r>
                        <w:rPr>
                          <w:b/>
                          <w:color w:val="1F2668"/>
                          <w:spacing w:val="-2"/>
                          <w:sz w:val="22"/>
                        </w:rPr>
                        <w:t>Professional Experience</w:t>
                      </w:r>
                      <w:r>
                        <w:rPr>
                          <w:b/>
                          <w:color w:val="000000"/>
                          <w:spacing w:val="4"/>
                          <w:sz w:val="22"/>
                        </w:rPr>
                        <w:t xml:space="preserve"> </w:t>
                      </w:r>
                    </w:p>
                    <w:p>
                      <w:pPr>
                        <w:pStyle w:val="TextBody"/>
                        <w:bidi w:val="0"/>
                        <w:spacing w:lineRule="atLeast" w:line="220" w:before="102" w:after="0"/>
                        <w:ind w:left="200" w:right="0" w:hanging="0"/>
                        <w:jc w:val="left"/>
                        <w:rPr/>
                      </w:pPr>
                      <w:r>
                        <w:rPr>
                          <w:spacing w:val="-2"/>
                        </w:rPr>
                        <w:t>Chief Executive Officer of the Company since January 2004; Chairman of the Board since January 2019; Interim President of the Company from January 2024 to February 2026</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Joined the Company as Chief Investment Officer in July 1998; stepped down as President in April 2007 following promotion of Andrew Mathias to that position</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President and Chief Executive Officer of Gramercy Capital Corp., from August 2004 to October 2008</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Managing Director and Head of Direct Originations for New York-based Capital Trust Inc., a mezzanine finance company, where he was in charge of originating direct principal investments for the firm, consisting of mezzanine debt, preferred equity and first mortgages</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Served in various management positions, including Senior Vice President at Capital Trust, Inc.’s predecessor, Victor Capital Group, L.P. from 1991 to 1997</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Chairman of the Board of Directors of NYRA and executive officer and member of the Board of the Real Estate Board of New York, and a former member of the Board of Directors of Columbia University</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B.S. degree in Business and Finance from Lehigh University in 1988 and M.S. degree in Real Estate Development from Columbia University in 1990</w:t>
                      </w:r>
                      <w:r>
                        <w:rPr>
                          <w:spacing w:val="4"/>
                        </w:rPr>
                        <w:t xml:space="preserve"> </w:t>
                      </w:r>
                    </w:p>
                    <w:p>
                      <w:pPr>
                        <w:pStyle w:val="TextBody"/>
                        <w:bidi w:val="0"/>
                        <w:spacing w:before="0" w:after="0"/>
                        <w:ind w:left="0" w:right="0" w:hanging="0"/>
                        <w:jc w:val="left"/>
                        <w:rPr/>
                      </w:pPr>
                      <w:r>
                        <w:rPr/>
                        <w:t>​</w:t>
                      </w:r>
                    </w:p>
                    <w:p>
                      <w:pPr>
                        <w:pStyle w:val="TextBody"/>
                        <w:bidi w:val="0"/>
                        <w:spacing w:before="0" w:after="283"/>
                        <w:ind w:left="0" w:right="0" w:hanging="0"/>
                        <w:jc w:val="left"/>
                        <w:rPr>
                          <w:bdr w:val="single" w:sz="8" w:space="1" w:color="83AD40"/>
                        </w:rPr>
                      </w:pPr>
                      <w:r>
                        <w:rPr>
                          <w:bdr w:val="single" w:sz="8" w:space="1" w:color="83AD40"/>
                        </w:rPr>
                        <w:t>​</w:t>
                      </w:r>
                    </w:p>
                    <w:p>
                      <w:pPr>
                        <w:pStyle w:val="TextBody"/>
                        <w:bidi w:val="0"/>
                        <w:spacing w:lineRule="atLeast" w:line="260" w:before="387" w:after="283"/>
                        <w:jc w:val="left"/>
                        <w:rPr>
                          <w:b/>
                          <w:color w:val="1F2668"/>
                          <w:sz w:val="22"/>
                        </w:rPr>
                      </w:pPr>
                      <w:r>
                        <w:rPr>
                          <w:b/>
                          <w:color w:val="1F2668"/>
                          <w:spacing w:val="-2"/>
                          <w:sz w:val="22"/>
                        </w:rPr>
                        <w:t>Skills, Experiences and Attributes</w:t>
                      </w:r>
                      <w:r>
                        <w:rPr>
                          <w:b/>
                          <w:color w:val="000000"/>
                          <w:spacing w:val="4"/>
                          <w:sz w:val="22"/>
                        </w:rPr>
                        <w:t xml:space="preserve"> </w:t>
                      </w:r>
                    </w:p>
                    <w:tbl>
                      <w:tblPr>
                        <w:tblW w:w="9110" w:type="dxa"/>
                        <w:jc w:val="left"/>
                        <w:tblInd w:w="0" w:type="dxa"/>
                        <w:tblLayout w:type="fixed"/>
                        <w:tblCellMar>
                          <w:top w:w="0" w:type="dxa"/>
                          <w:left w:w="0" w:type="dxa"/>
                          <w:bottom w:w="0" w:type="dxa"/>
                          <w:right w:w="0" w:type="dxa"/>
                        </w:tblCellMar>
                      </w:tblPr>
                      <w:tblGrid>
                        <w:gridCol w:w="124"/>
                        <w:gridCol w:w="731"/>
                        <w:gridCol w:w="109"/>
                        <w:gridCol w:w="109"/>
                        <w:gridCol w:w="4081"/>
                        <w:gridCol w:w="109"/>
                        <w:gridCol w:w="109"/>
                        <w:gridCol w:w="731"/>
                        <w:gridCol w:w="109"/>
                        <w:gridCol w:w="109"/>
                        <w:gridCol w:w="2635"/>
                        <w:gridCol w:w="154"/>
                      </w:tblGrid>
                      <w:tr>
                        <w:trPr/>
                        <w:tc>
                          <w:tcPr>
                            <w:tcW w:w="124" w:type="dxa"/>
                            <w:tcBorders/>
                            <w:vAlign w:val="center"/>
                          </w:tcPr>
                          <w:p>
                            <w:pPr>
                              <w:pStyle w:val="TableContents"/>
                              <w:bidi w:val="0"/>
                              <w:spacing w:before="0" w:after="283"/>
                              <w:jc w:val="left"/>
                              <w:rPr/>
                            </w:pPr>
                            <w:r>
                              <w:rPr/>
                              <w:t>​</w:t>
                            </w:r>
                          </w:p>
                        </w:tc>
                        <w:tc>
                          <w:tcPr>
                            <w:tcW w:w="731" w:type="dxa"/>
                            <w:tcBorders/>
                            <w:vAlign w:val="center"/>
                          </w:tcPr>
                          <w:p>
                            <w:pPr>
                              <w:pStyle w:val="TableContents"/>
                              <w:bidi w:val="0"/>
                              <w:spacing w:before="0" w:after="0"/>
                              <w:jc w:val="left"/>
                              <w:rPr/>
                            </w:pPr>
                            <w:r>
                              <w:rPr/>
                              <w:drawing>
                                <wp:inline distT="0" distB="0" distL="0" distR="0">
                                  <wp:extent cx="371475" cy="390525"/>
                                  <wp:effectExtent l="0" t="0" r="0" b="0"/>
                                  <wp:docPr id="371" name="Image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 name="Image173" descr=""/>
                                          <pic:cNvPicPr>
                                            <a:picLocks noChangeAspect="1" noChangeArrowheads="1"/>
                                          </pic:cNvPicPr>
                                        </pic:nvPicPr>
                                        <pic:blipFill>
                                          <a:blip r:embed="rId242"/>
                                          <a:stretch>
                                            <a:fillRect/>
                                          </a:stretch>
                                        </pic:blipFill>
                                        <pic:spPr bwMode="auto">
                                          <a:xfrm>
                                            <a:off x="0" y="0"/>
                                            <a:ext cx="371475" cy="3905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81"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Executive Leadership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1"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71475" cy="371475"/>
                                  <wp:effectExtent l="0" t="0" r="0" b="0"/>
                                  <wp:docPr id="372" name="Image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 name="Image174" descr=""/>
                                          <pic:cNvPicPr>
                                            <a:picLocks noChangeAspect="1" noChangeArrowheads="1"/>
                                          </pic:cNvPicPr>
                                        </pic:nvPicPr>
                                        <pic:blipFill>
                                          <a:blip r:embed="rId243"/>
                                          <a:stretch>
                                            <a:fillRect/>
                                          </a:stretch>
                                        </pic:blipFill>
                                        <pic:spPr bwMode="auto">
                                          <a:xfrm>
                                            <a:off x="0" y="0"/>
                                            <a:ext cx="371475" cy="3714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635"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Finance/Capital Markets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1"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52425" cy="409575"/>
                                  <wp:effectExtent l="0" t="0" r="0" b="0"/>
                                  <wp:docPr id="373" name="Image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 name="Image175" descr=""/>
                                          <pic:cNvPicPr>
                                            <a:picLocks noChangeAspect="1" noChangeArrowheads="1"/>
                                          </pic:cNvPicPr>
                                        </pic:nvPicPr>
                                        <pic:blipFill>
                                          <a:blip r:embed="rId244"/>
                                          <a:stretch>
                                            <a:fillRect/>
                                          </a:stretch>
                                        </pic:blipFill>
                                        <pic:spPr bwMode="auto">
                                          <a:xfrm>
                                            <a:off x="0" y="0"/>
                                            <a:ext cx="352425" cy="4095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81"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Risk Management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1"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33375" cy="304800"/>
                                  <wp:effectExtent l="0" t="0" r="0" b="0"/>
                                  <wp:docPr id="374" name="Image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 name="Image176" descr=""/>
                                          <pic:cNvPicPr>
                                            <a:picLocks noChangeAspect="1" noChangeArrowheads="1"/>
                                          </pic:cNvPicPr>
                                        </pic:nvPicPr>
                                        <pic:blipFill>
                                          <a:blip r:embed="rId245"/>
                                          <a:stretch>
                                            <a:fillRect/>
                                          </a:stretch>
                                        </pic:blipFill>
                                        <pic:spPr bwMode="auto">
                                          <a:xfrm>
                                            <a:off x="0" y="0"/>
                                            <a:ext cx="333375" cy="3048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635"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REIT/Real Estate Industry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1"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52425" cy="371475"/>
                                  <wp:effectExtent l="0" t="0" r="0" b="0"/>
                                  <wp:docPr id="375" name="Image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 name="Image177" descr=""/>
                                          <pic:cNvPicPr>
                                            <a:picLocks noChangeAspect="1" noChangeArrowheads="1"/>
                                          </pic:cNvPicPr>
                                        </pic:nvPicPr>
                                        <pic:blipFill>
                                          <a:blip r:embed="rId246"/>
                                          <a:stretch>
                                            <a:fillRect/>
                                          </a:stretch>
                                        </pic:blipFill>
                                        <pic:spPr bwMode="auto">
                                          <a:xfrm>
                                            <a:off x="0" y="0"/>
                                            <a:ext cx="352425" cy="3714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81"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Experience Over Several Business Cycles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1"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52425" cy="352425"/>
                                  <wp:effectExtent l="0" t="0" r="0" b="0"/>
                                  <wp:docPr id="376" name="Image1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 name="Image178" descr=""/>
                                          <pic:cNvPicPr>
                                            <a:picLocks noChangeAspect="1" noChangeArrowheads="1"/>
                                          </pic:cNvPicPr>
                                        </pic:nvPicPr>
                                        <pic:blipFill>
                                          <a:blip r:embed="rId247"/>
                                          <a:stretch>
                                            <a:fillRect/>
                                          </a:stretch>
                                        </pic:blipFill>
                                        <pic:spPr bwMode="auto">
                                          <a:xfrm>
                                            <a:off x="0" y="0"/>
                                            <a:ext cx="352425" cy="3524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635"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Talent Management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1"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42900" cy="381000"/>
                                  <wp:effectExtent l="0" t="0" r="0" b="0"/>
                                  <wp:docPr id="377" name="Image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 name="Image179" descr=""/>
                                          <pic:cNvPicPr>
                                            <a:picLocks noChangeAspect="1" noChangeArrowheads="1"/>
                                          </pic:cNvPicPr>
                                        </pic:nvPicPr>
                                        <pic:blipFill>
                                          <a:blip r:embed="rId248"/>
                                          <a:stretch>
                                            <a:fillRect/>
                                          </a:stretch>
                                        </pic:blipFill>
                                        <pic:spPr bwMode="auto">
                                          <a:xfrm>
                                            <a:off x="0" y="0"/>
                                            <a:ext cx="342900" cy="3810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81"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Government/Regulatory Experience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1"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635"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571500" distR="0" simplePos="0" locked="0" layoutInCell="1" allowOverlap="1" relativeHeight="147">
                <wp:simplePos x="0" y="0"/>
                <wp:positionH relativeFrom="column">
                  <wp:align>left</wp:align>
                </wp:positionH>
                <wp:positionV relativeFrom="line">
                  <wp:posOffset>635</wp:posOffset>
                </wp:positionV>
                <wp:extent cx="1562100" cy="5673725"/>
                <wp:effectExtent l="0" t="0" r="0" b="0"/>
                <wp:wrapSquare wrapText="right"/>
                <wp:docPr id="378" name="Frame136"/>
                <a:graphic xmlns:a="http://schemas.openxmlformats.org/drawingml/2006/main">
                  <a:graphicData uri="http://schemas.microsoft.com/office/word/2010/wordprocessingShape">
                    <wps:wsp>
                      <wps:cNvSpPr txBox="1"/>
                      <wps:spPr>
                        <a:xfrm>
                          <a:off x="0" y="0"/>
                          <a:ext cx="1562100" cy="5673725"/>
                        </a:xfrm>
                        <a:prstGeom prst="rect"/>
                        <a:solidFill>
                          <a:srgbClr val="FFFFFF"/>
                        </a:solidFill>
                      </wps:spPr>
                      <wps:txbx>
                        <w:txbxContent>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5659" w:type="dxa"/>
                              <w:jc w:val="left"/>
                              <w:tblInd w:w="0" w:type="dxa"/>
                              <w:tblLayout w:type="fixed"/>
                              <w:tblCellMar>
                                <w:top w:w="0" w:type="dxa"/>
                                <w:left w:w="0" w:type="dxa"/>
                                <w:bottom w:w="0" w:type="dxa"/>
                                <w:right w:w="0" w:type="dxa"/>
                              </w:tblCellMar>
                            </w:tblPr>
                            <w:tblGrid>
                              <w:gridCol w:w="124"/>
                              <w:gridCol w:w="109"/>
                              <w:gridCol w:w="5163"/>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163" w:type="dxa"/>
                                  <w:tcBorders/>
                                  <w:shd w:fill="1F2668" w:val="clear"/>
                                  <w:vAlign w:val="center"/>
                                </w:tcPr>
                                <w:p>
                                  <w:pPr>
                                    <w:pStyle w:val="TableContents"/>
                                    <w:bidi w:val="0"/>
                                    <w:spacing w:lineRule="atLeast" w:line="280" w:before="0" w:after="0"/>
                                    <w:ind w:left="0" w:right="160" w:hanging="0"/>
                                    <w:jc w:val="left"/>
                                    <w:rPr>
                                      <w:sz w:val="24"/>
                                    </w:rPr>
                                  </w:pPr>
                                  <w:r>
                                    <w:rPr>
                                      <w:spacing w:val="-2"/>
                                      <w:sz w:val="24"/>
                                    </w:rPr>
                                    <w:t xml:space="preserve">MARC </w:t>
                                    <w:br/>
                                    <w:t>HOLLIDAY</w:t>
                                  </w:r>
                                  <w:r>
                                    <w:rPr>
                                      <w:sz w:val="24"/>
                                    </w:rPr>
                                    <w:t xml:space="preserve"> </w:t>
                                  </w:r>
                                </w:p>
                                <w:p>
                                  <w:pPr>
                                    <w:pStyle w:val="TableContents"/>
                                    <w:bidi w:val="0"/>
                                    <w:spacing w:before="200" w:after="283"/>
                                    <w:ind w:left="0" w:right="160" w:hanging="0"/>
                                    <w:jc w:val="left"/>
                                    <w:rPr/>
                                  </w:pPr>
                                  <w:r>
                                    <w:rPr/>
                                    <w:drawing>
                                      <wp:inline distT="0" distB="0" distL="0" distR="0">
                                        <wp:extent cx="1209675" cy="1457325"/>
                                        <wp:effectExtent l="0" t="0" r="0" b="0"/>
                                        <wp:docPr id="379"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 name="Image172" descr=""/>
                                                <pic:cNvPicPr>
                                                  <a:picLocks noChangeAspect="1" noChangeArrowheads="1"/>
                                                </pic:cNvPicPr>
                                              </pic:nvPicPr>
                                              <pic:blipFill>
                                                <a:blip r:embed="rId249"/>
                                                <a:stretch>
                                                  <a:fillRect/>
                                                </a:stretch>
                                              </pic:blipFill>
                                              <pic:spPr bwMode="auto">
                                                <a:xfrm>
                                                  <a:off x="0" y="0"/>
                                                  <a:ext cx="1209675" cy="1457325"/>
                                                </a:xfrm>
                                                <a:prstGeom prst="rect">
                                                  <a:avLst/>
                                                </a:prstGeom>
                                              </pic:spPr>
                                            </pic:pic>
                                          </a:graphicData>
                                        </a:graphic>
                                      </wp:inline>
                                    </w:drawing>
                                  </w:r>
                                  <w:r>
                                    <w:rPr/>
                                    <w:t xml:space="preserve"> </w:t>
                                  </w:r>
                                </w:p>
                                <w:p>
                                  <w:pPr>
                                    <w:pStyle w:val="TableContents"/>
                                    <w:bidi w:val="0"/>
                                    <w:spacing w:lineRule="atLeast" w:line="220" w:before="199" w:after="283"/>
                                    <w:ind w:left="0" w:right="160" w:hanging="0"/>
                                    <w:jc w:val="left"/>
                                    <w:rPr/>
                                  </w:pPr>
                                  <w:r>
                                    <w:rPr>
                                      <w:spacing w:val="-2"/>
                                    </w:rPr>
                                    <w:t>Chairman of the Board and Chief Executive Officer</w:t>
                                  </w:r>
                                  <w:r>
                                    <w:rPr/>
                                    <w:t xml:space="preserve"> </w:t>
                                  </w:r>
                                </w:p>
                                <w:p>
                                  <w:pPr>
                                    <w:pStyle w:val="TableContents"/>
                                    <w:bidi w:val="0"/>
                                    <w:spacing w:lineRule="atLeast" w:line="180" w:before="160" w:after="283"/>
                                    <w:ind w:left="0" w:right="160" w:hanging="0"/>
                                    <w:jc w:val="left"/>
                                    <w:rPr>
                                      <w:b w:val="false"/>
                                    </w:rPr>
                                  </w:pPr>
                                  <w:r>
                                    <w:rPr>
                                      <w:b w:val="false"/>
                                      <w:spacing w:val="-2"/>
                                    </w:rPr>
                                    <w:t xml:space="preserve">Director Since: </w:t>
                                  </w:r>
                                  <w:r>
                                    <w:rPr>
                                      <w:b/>
                                      <w:spacing w:val="-2"/>
                                    </w:rPr>
                                    <w:t>2001</w:t>
                                  </w:r>
                                  <w:r>
                                    <w:rPr>
                                      <w:b w:val="false"/>
                                    </w:rPr>
                                    <w:t xml:space="preserve"> </w:t>
                                  </w:r>
                                </w:p>
                                <w:p>
                                  <w:pPr>
                                    <w:pStyle w:val="TableContents"/>
                                    <w:bidi w:val="0"/>
                                    <w:spacing w:lineRule="atLeast" w:line="180" w:before="160" w:after="283"/>
                                    <w:ind w:left="0" w:right="160" w:hanging="0"/>
                                    <w:jc w:val="left"/>
                                    <w:rPr>
                                      <w:b w:val="false"/>
                                    </w:rPr>
                                  </w:pPr>
                                  <w:r>
                                    <w:rPr>
                                      <w:b w:val="false"/>
                                      <w:spacing w:val="-2"/>
                                    </w:rPr>
                                    <w:t xml:space="preserve">Age: </w:t>
                                  </w:r>
                                  <w:r>
                                    <w:rPr>
                                      <w:b/>
                                      <w:spacing w:val="-2"/>
                                    </w:rPr>
                                    <w:t>59</w:t>
                                  </w:r>
                                  <w:r>
                                    <w:rPr>
                                      <w:b w:val="false"/>
                                    </w:rPr>
                                    <w:t xml:space="preserve"> </w:t>
                                  </w:r>
                                </w:p>
                                <w:p>
                                  <w:pPr>
                                    <w:pStyle w:val="TableContents"/>
                                    <w:bidi w:val="0"/>
                                    <w:spacing w:lineRule="atLeast" w:line="220" w:before="160" w:after="283"/>
                                    <w:ind w:left="0" w:right="160" w:hanging="0"/>
                                    <w:jc w:val="left"/>
                                    <w:rPr>
                                      <w:b w:val="false"/>
                                    </w:rPr>
                                  </w:pPr>
                                  <w:r>
                                    <w:rPr>
                                      <w:b w:val="false"/>
                                      <w:spacing w:val="-2"/>
                                    </w:rPr>
                                    <w:t xml:space="preserve">SL Green </w:t>
                                    <w:br/>
                                    <w:t>Board Service:</w:t>
                                  </w:r>
                                  <w:r>
                                    <w:rPr>
                                      <w:b w:val="false"/>
                                    </w:rPr>
                                    <w:t xml:space="preserve"> </w:t>
                                  </w:r>
                                </w:p>
                                <w:p>
                                  <w:pPr>
                                    <w:pStyle w:val="TableContents"/>
                                    <w:bidi w:val="0"/>
                                    <w:spacing w:lineRule="atLeast" w:line="220" w:before="160" w:after="0"/>
                                    <w:ind w:left="180" w:right="160" w:hanging="0"/>
                                    <w:jc w:val="left"/>
                                    <w:rPr/>
                                  </w:pPr>
                                  <w:r>
                                    <w:rPr>
                                      <w:spacing w:val="-2"/>
                                    </w:rPr>
                                    <w:t>Executive Committee, Chair</w:t>
                                  </w:r>
                                  <w:r>
                                    <w:rPr/>
                                    <w:t xml:space="preserve"> </w: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54" w:type="dxa"/>
                                  <w:tcBorders/>
                                  <w:shd w:fill="1F2668" w:val="clear"/>
                                  <w:vAlign w:val="center"/>
                                </w:tcPr>
                                <w:p>
                                  <w:pPr>
                                    <w:pStyle w:val="TableContents"/>
                                    <w:bidi w:val="0"/>
                                    <w:spacing w:before="0" w:after="283"/>
                                    <w:jc w:val="left"/>
                                    <w:rPr/>
                                  </w:pPr>
                                  <w:r>
                                    <w:rPr/>
                                    <w:t>​</w:t>
                                  </w:r>
                                </w:p>
                              </w:tc>
                            </w:tr>
                          </w:tbl>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23pt;height:446.75pt;mso-wrap-distance-left:45pt;mso-wrap-distance-right:0pt;mso-wrap-distance-top:0pt;mso-wrap-distance-bottom:0pt;margin-top:0pt;mso-position-vertical:top;mso-position-vertical-relative:text;margin-left:45pt;mso-position-horizontal:left;mso-position-horizontal-relative:text">
                <v:textbox>
                  <w:txbxContent>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5659" w:type="dxa"/>
                        <w:jc w:val="left"/>
                        <w:tblInd w:w="0" w:type="dxa"/>
                        <w:tblLayout w:type="fixed"/>
                        <w:tblCellMar>
                          <w:top w:w="0" w:type="dxa"/>
                          <w:left w:w="0" w:type="dxa"/>
                          <w:bottom w:w="0" w:type="dxa"/>
                          <w:right w:w="0" w:type="dxa"/>
                        </w:tblCellMar>
                      </w:tblPr>
                      <w:tblGrid>
                        <w:gridCol w:w="124"/>
                        <w:gridCol w:w="109"/>
                        <w:gridCol w:w="5163"/>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163" w:type="dxa"/>
                            <w:tcBorders/>
                            <w:shd w:fill="1F2668" w:val="clear"/>
                            <w:vAlign w:val="center"/>
                          </w:tcPr>
                          <w:p>
                            <w:pPr>
                              <w:pStyle w:val="TableContents"/>
                              <w:bidi w:val="0"/>
                              <w:spacing w:lineRule="atLeast" w:line="280" w:before="0" w:after="0"/>
                              <w:ind w:left="0" w:right="160" w:hanging="0"/>
                              <w:jc w:val="left"/>
                              <w:rPr>
                                <w:sz w:val="24"/>
                              </w:rPr>
                            </w:pPr>
                            <w:r>
                              <w:rPr>
                                <w:spacing w:val="-2"/>
                                <w:sz w:val="24"/>
                              </w:rPr>
                              <w:t xml:space="preserve">MARC </w:t>
                              <w:br/>
                              <w:t>HOLLIDAY</w:t>
                            </w:r>
                            <w:r>
                              <w:rPr>
                                <w:sz w:val="24"/>
                              </w:rPr>
                              <w:t xml:space="preserve"> </w:t>
                            </w:r>
                          </w:p>
                          <w:p>
                            <w:pPr>
                              <w:pStyle w:val="TableContents"/>
                              <w:bidi w:val="0"/>
                              <w:spacing w:before="200" w:after="283"/>
                              <w:ind w:left="0" w:right="160" w:hanging="0"/>
                              <w:jc w:val="left"/>
                              <w:rPr/>
                            </w:pPr>
                            <w:r>
                              <w:rPr/>
                              <w:drawing>
                                <wp:inline distT="0" distB="0" distL="0" distR="0">
                                  <wp:extent cx="1209675" cy="1457325"/>
                                  <wp:effectExtent l="0" t="0" r="0" b="0"/>
                                  <wp:docPr id="380"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 name="Image172" descr=""/>
                                          <pic:cNvPicPr>
                                            <a:picLocks noChangeAspect="1" noChangeArrowheads="1"/>
                                          </pic:cNvPicPr>
                                        </pic:nvPicPr>
                                        <pic:blipFill>
                                          <a:blip r:embed="rId250"/>
                                          <a:stretch>
                                            <a:fillRect/>
                                          </a:stretch>
                                        </pic:blipFill>
                                        <pic:spPr bwMode="auto">
                                          <a:xfrm>
                                            <a:off x="0" y="0"/>
                                            <a:ext cx="1209675" cy="1457325"/>
                                          </a:xfrm>
                                          <a:prstGeom prst="rect">
                                            <a:avLst/>
                                          </a:prstGeom>
                                        </pic:spPr>
                                      </pic:pic>
                                    </a:graphicData>
                                  </a:graphic>
                                </wp:inline>
                              </w:drawing>
                            </w:r>
                            <w:r>
                              <w:rPr/>
                              <w:t xml:space="preserve"> </w:t>
                            </w:r>
                          </w:p>
                          <w:p>
                            <w:pPr>
                              <w:pStyle w:val="TableContents"/>
                              <w:bidi w:val="0"/>
                              <w:spacing w:lineRule="atLeast" w:line="220" w:before="199" w:after="283"/>
                              <w:ind w:left="0" w:right="160" w:hanging="0"/>
                              <w:jc w:val="left"/>
                              <w:rPr/>
                            </w:pPr>
                            <w:r>
                              <w:rPr>
                                <w:spacing w:val="-2"/>
                              </w:rPr>
                              <w:t>Chairman of the Board and Chief Executive Officer</w:t>
                            </w:r>
                            <w:r>
                              <w:rPr/>
                              <w:t xml:space="preserve"> </w:t>
                            </w:r>
                          </w:p>
                          <w:p>
                            <w:pPr>
                              <w:pStyle w:val="TableContents"/>
                              <w:bidi w:val="0"/>
                              <w:spacing w:lineRule="atLeast" w:line="180" w:before="160" w:after="283"/>
                              <w:ind w:left="0" w:right="160" w:hanging="0"/>
                              <w:jc w:val="left"/>
                              <w:rPr>
                                <w:b w:val="false"/>
                              </w:rPr>
                            </w:pPr>
                            <w:r>
                              <w:rPr>
                                <w:b w:val="false"/>
                                <w:spacing w:val="-2"/>
                              </w:rPr>
                              <w:t xml:space="preserve">Director Since: </w:t>
                            </w:r>
                            <w:r>
                              <w:rPr>
                                <w:b/>
                                <w:spacing w:val="-2"/>
                              </w:rPr>
                              <w:t>2001</w:t>
                            </w:r>
                            <w:r>
                              <w:rPr>
                                <w:b w:val="false"/>
                              </w:rPr>
                              <w:t xml:space="preserve"> </w:t>
                            </w:r>
                          </w:p>
                          <w:p>
                            <w:pPr>
                              <w:pStyle w:val="TableContents"/>
                              <w:bidi w:val="0"/>
                              <w:spacing w:lineRule="atLeast" w:line="180" w:before="160" w:after="283"/>
                              <w:ind w:left="0" w:right="160" w:hanging="0"/>
                              <w:jc w:val="left"/>
                              <w:rPr>
                                <w:b w:val="false"/>
                              </w:rPr>
                            </w:pPr>
                            <w:r>
                              <w:rPr>
                                <w:b w:val="false"/>
                                <w:spacing w:val="-2"/>
                              </w:rPr>
                              <w:t xml:space="preserve">Age: </w:t>
                            </w:r>
                            <w:r>
                              <w:rPr>
                                <w:b/>
                                <w:spacing w:val="-2"/>
                              </w:rPr>
                              <w:t>59</w:t>
                            </w:r>
                            <w:r>
                              <w:rPr>
                                <w:b w:val="false"/>
                              </w:rPr>
                              <w:t xml:space="preserve"> </w:t>
                            </w:r>
                          </w:p>
                          <w:p>
                            <w:pPr>
                              <w:pStyle w:val="TableContents"/>
                              <w:bidi w:val="0"/>
                              <w:spacing w:lineRule="atLeast" w:line="220" w:before="160" w:after="283"/>
                              <w:ind w:left="0" w:right="160" w:hanging="0"/>
                              <w:jc w:val="left"/>
                              <w:rPr>
                                <w:b w:val="false"/>
                              </w:rPr>
                            </w:pPr>
                            <w:r>
                              <w:rPr>
                                <w:b w:val="false"/>
                                <w:spacing w:val="-2"/>
                              </w:rPr>
                              <w:t xml:space="preserve">SL Green </w:t>
                              <w:br/>
                              <w:t>Board Service:</w:t>
                            </w:r>
                            <w:r>
                              <w:rPr>
                                <w:b w:val="false"/>
                              </w:rPr>
                              <w:t xml:space="preserve"> </w:t>
                            </w:r>
                          </w:p>
                          <w:p>
                            <w:pPr>
                              <w:pStyle w:val="TableContents"/>
                              <w:bidi w:val="0"/>
                              <w:spacing w:lineRule="atLeast" w:line="220" w:before="160" w:after="0"/>
                              <w:ind w:left="180" w:right="160" w:hanging="0"/>
                              <w:jc w:val="left"/>
                              <w:rPr/>
                            </w:pPr>
                            <w:r>
                              <w:rPr>
                                <w:spacing w:val="-2"/>
                              </w:rPr>
                              <w:t>Executive Committee, Chair</w:t>
                            </w:r>
                            <w:r>
                              <w:rPr/>
                              <w:t xml:space="preserve"> </w: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54" w:type="dxa"/>
                            <w:tcBorders/>
                            <w:shd w:fill="1F2668" w:val="clear"/>
                            <w:vAlign w:val="center"/>
                          </w:tcPr>
                          <w:p>
                            <w:pPr>
                              <w:pStyle w:val="TableContents"/>
                              <w:bidi w:val="0"/>
                              <w:spacing w:before="0" w:after="283"/>
                              <w:jc w:val="left"/>
                              <w:rPr/>
                            </w:pPr>
                            <w:r>
                              <w:rPr/>
                              <w:t>​</w:t>
                            </w:r>
                          </w:p>
                        </w:tc>
                      </w:tr>
                    </w:tbl>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64770" distB="0" distL="0" distR="0" simplePos="0" locked="0" layoutInCell="1" allowOverlap="1" relativeHeight="424">
                <wp:simplePos x="0" y="0"/>
                <wp:positionH relativeFrom="column">
                  <wp:align>left</wp:align>
                </wp:positionH>
                <wp:positionV relativeFrom="line">
                  <wp:align>top</wp:align>
                </wp:positionV>
                <wp:extent cx="127000" cy="350520"/>
                <wp:effectExtent l="0" t="0" r="0" b="0"/>
                <wp:wrapSquare wrapText="right"/>
                <wp:docPr id="381" name="Frame1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5.1pt;mso-wrap-distance-bottom:0pt;margin-top:5.1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24130" distB="0" distL="0" distR="0" simplePos="0" locked="0" layoutInCell="1" allowOverlap="1" relativeHeight="425">
                <wp:simplePos x="0" y="0"/>
                <wp:positionH relativeFrom="column">
                  <wp:align>left</wp:align>
                </wp:positionH>
                <wp:positionV relativeFrom="line">
                  <wp:align>top</wp:align>
                </wp:positionV>
                <wp:extent cx="127000" cy="350520"/>
                <wp:effectExtent l="0" t="0" r="0" b="0"/>
                <wp:wrapSquare wrapText="right"/>
                <wp:docPr id="382" name="Frame1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24130" distB="0" distL="0" distR="0" simplePos="0" locked="0" layoutInCell="1" allowOverlap="1" relativeHeight="426">
                <wp:simplePos x="0" y="0"/>
                <wp:positionH relativeFrom="column">
                  <wp:align>left</wp:align>
                </wp:positionH>
                <wp:positionV relativeFrom="line">
                  <wp:align>top</wp:align>
                </wp:positionV>
                <wp:extent cx="127000" cy="350520"/>
                <wp:effectExtent l="0" t="0" r="0" b="0"/>
                <wp:wrapSquare wrapText="right"/>
                <wp:docPr id="383" name="Frame1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24130" distB="0" distL="0" distR="0" simplePos="0" locked="0" layoutInCell="1" allowOverlap="1" relativeHeight="427">
                <wp:simplePos x="0" y="0"/>
                <wp:positionH relativeFrom="column">
                  <wp:align>left</wp:align>
                </wp:positionH>
                <wp:positionV relativeFrom="line">
                  <wp:align>top</wp:align>
                </wp:positionV>
                <wp:extent cx="127000" cy="350520"/>
                <wp:effectExtent l="0" t="0" r="0" b="0"/>
                <wp:wrapSquare wrapText="right"/>
                <wp:docPr id="384" name="Frame1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24130" distB="0" distL="0" distR="0" simplePos="0" locked="0" layoutInCell="1" allowOverlap="1" relativeHeight="428">
                <wp:simplePos x="0" y="0"/>
                <wp:positionH relativeFrom="column">
                  <wp:align>left</wp:align>
                </wp:positionH>
                <wp:positionV relativeFrom="line">
                  <wp:align>top</wp:align>
                </wp:positionV>
                <wp:extent cx="127000" cy="350520"/>
                <wp:effectExtent l="0" t="0" r="0" b="0"/>
                <wp:wrapSquare wrapText="right"/>
                <wp:docPr id="385" name="Frame1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24130" distB="0" distL="0" distR="0" simplePos="0" locked="0" layoutInCell="1" allowOverlap="1" relativeHeight="429">
                <wp:simplePos x="0" y="0"/>
                <wp:positionH relativeFrom="column">
                  <wp:align>left</wp:align>
                </wp:positionH>
                <wp:positionV relativeFrom="line">
                  <wp:align>top</wp:align>
                </wp:positionV>
                <wp:extent cx="127000" cy="350520"/>
                <wp:effectExtent l="0" t="0" r="0" b="0"/>
                <wp:wrapSquare wrapText="right"/>
                <wp:docPr id="386" name="Frame1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24130" distB="0" distL="0" distR="0" simplePos="0" locked="0" layoutInCell="1" allowOverlap="1" relativeHeight="430">
                <wp:simplePos x="0" y="0"/>
                <wp:positionH relativeFrom="column">
                  <wp:align>left</wp:align>
                </wp:positionH>
                <wp:positionV relativeFrom="line">
                  <wp:align>top</wp:align>
                </wp:positionV>
                <wp:extent cx="127000" cy="350520"/>
                <wp:effectExtent l="0" t="0" r="0" b="0"/>
                <wp:wrapSquare wrapText="right"/>
                <wp:docPr id="387" name="Frame1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101600" distB="0" distL="0" distR="0" simplePos="0" locked="0" layoutInCell="1" allowOverlap="1" relativeHeight="423">
                <wp:simplePos x="0" y="0"/>
                <wp:positionH relativeFrom="column">
                  <wp:align>left</wp:align>
                </wp:positionH>
                <wp:positionV relativeFrom="line">
                  <wp:align>top</wp:align>
                </wp:positionV>
                <wp:extent cx="114300" cy="350520"/>
                <wp:effectExtent l="0" t="0" r="0" b="0"/>
                <wp:wrapSquare wrapText="right"/>
                <wp:docPr id="388" name="Frame137"/>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8095" w:type="dxa"/>
        <w:jc w:val="left"/>
        <w:tblInd w:w="900" w:type="dxa"/>
        <w:tblLayout w:type="fixed"/>
        <w:tblCellMar>
          <w:top w:w="0" w:type="dxa"/>
          <w:left w:w="0" w:type="dxa"/>
          <w:bottom w:w="0" w:type="dxa"/>
          <w:right w:w="0" w:type="dxa"/>
        </w:tblCellMar>
      </w:tblPr>
      <w:tblGrid>
        <w:gridCol w:w="124"/>
        <w:gridCol w:w="7253"/>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7253" w:type="dxa"/>
            <w:tcBorders/>
            <w:vAlign w:val="center"/>
          </w:tcPr>
          <w:p>
            <w:pPr>
              <w:pStyle w:val="TableContents"/>
              <w:bidi w:val="0"/>
              <w:spacing w:lineRule="atLeast" w:line="200" w:before="0" w:after="0"/>
              <w:jc w:val="left"/>
              <w:rPr/>
            </w:pPr>
            <w:r>
              <w:rPr>
                <w:spacing w:val="-2"/>
              </w:rPr>
              <w:t>OUR BOARD OF DIRECTORS AND CORPORATE GOVERNANCE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color w:val="1F2668"/>
                <w:sz w:val="24"/>
              </w:rPr>
            </w:pPr>
            <w:r>
              <w:rPr>
                <w:color w:val="1F2668"/>
                <w:sz w:val="24"/>
              </w:rPr>
              <w:t>19</w:t>
            </w:r>
          </w:p>
        </w:tc>
        <w:tc>
          <w:tcPr>
            <w:tcW w:w="154" w:type="dxa"/>
            <w:tcBorders/>
            <w:vAlign w:val="center"/>
          </w:tcPr>
          <w:p>
            <w:pPr>
              <w:pStyle w:val="TableContents"/>
              <w:bidi w:val="0"/>
              <w:spacing w:before="0" w:after="283"/>
              <w:jc w:val="left"/>
              <w:rPr/>
            </w:pPr>
            <w:r>
              <w:rPr/>
              <w:t>​</w:t>
            </w:r>
          </w:p>
        </w:tc>
      </w:tr>
    </w:tbl>
    <w:p>
      <w:pPr>
        <w:pStyle w:val="TextBody"/>
        <w:bidi w:val="0"/>
        <w:spacing w:before="0" w:after="0"/>
        <w:ind w:left="900" w:right="0" w:hanging="0"/>
        <w:jc w:val="left"/>
        <w:rPr>
          <w:caps w:val="false"/>
          <w:smallCaps w:val="false"/>
          <w:color w:val="000000"/>
        </w:rPr>
      </w:pPr>
      <w:r>
        <w:rPr>
          <w:caps w:val="false"/>
          <w:smallCaps w:val="false"/>
          <w:color w:val="000000"/>
        </w:rPr>
        <w:t>​</w:t>
      </w:r>
      <w:r>
        <mc:AlternateContent>
          <mc:Choice Requires="wps">
            <w:drawing>
              <wp:anchor behindDoc="0" distT="0" distB="0" distL="254000" distR="0" simplePos="0" locked="0" layoutInCell="1" allowOverlap="1" relativeHeight="109">
                <wp:simplePos x="0" y="0"/>
                <wp:positionH relativeFrom="column">
                  <wp:align>left</wp:align>
                </wp:positionH>
                <wp:positionV relativeFrom="line">
                  <wp:posOffset>635</wp:posOffset>
                </wp:positionV>
                <wp:extent cx="4584700" cy="9972040"/>
                <wp:effectExtent l="0" t="0" r="0" b="0"/>
                <wp:wrapSquare wrapText="right"/>
                <wp:docPr id="389" name="Frame148"/>
                <a:graphic xmlns:a="http://schemas.openxmlformats.org/drawingml/2006/main">
                  <a:graphicData uri="http://schemas.microsoft.com/office/word/2010/wordprocessingShape">
                    <wps:wsp>
                      <wps:cNvSpPr txBox="1"/>
                      <wps:spPr>
                        <a:xfrm>
                          <a:off x="0" y="0"/>
                          <a:ext cx="4584700" cy="9972040"/>
                        </a:xfrm>
                        <a:prstGeom prst="rect"/>
                        <a:solidFill>
                          <a:srgbClr val="FFFFFF"/>
                        </a:solidFill>
                      </wps:spPr>
                      <wps:txbx>
                        <w:txbxContent>
                          <w:p>
                            <w:pPr>
                              <w:pStyle w:val="TextBody"/>
                              <w:bidi w:val="0"/>
                              <w:spacing w:lineRule="atLeast" w:line="230" w:before="500" w:after="283"/>
                              <w:jc w:val="left"/>
                              <w:rPr/>
                            </w:pPr>
                            <w:r>
                              <w:rPr>
                                <w:spacing w:val="-2"/>
                              </w:rPr>
                              <w:t>Ms. Lamb has extensive experience and skills in real estate, finance and executive management through her work with Goldman Sachs, Halstatt Real Estate Partners and Halstatt LLC. As a result, Ms. Lamb provides the Board with valuable knowledge of and expertise in our business and industry. Ms. Lamb also has extensive public and other Board and Board committee experience, which enables her to provide significant insight as to governance and compliance-related matters particular to real estate investment companies.</w:t>
                            </w:r>
                            <w:r>
                              <w:rPr>
                                <w:spacing w:val="4"/>
                              </w:rPr>
                              <w:t xml:space="preserve"> </w:t>
                            </w:r>
                          </w:p>
                          <w:p>
                            <w:pPr>
                              <w:pStyle w:val="TextBody"/>
                              <w:bidi w:val="0"/>
                              <w:spacing w:before="0" w:after="283"/>
                              <w:ind w:left="0" w:right="0" w:hanging="0"/>
                              <w:jc w:val="left"/>
                              <w:rPr>
                                <w:bdr w:val="single" w:sz="8" w:space="1" w:color="83AD40"/>
                              </w:rPr>
                            </w:pPr>
                            <w:r>
                              <w:rPr>
                                <w:bdr w:val="single" w:sz="8" w:space="1" w:color="83AD40"/>
                              </w:rPr>
                              <w:t>​</w:t>
                            </w:r>
                          </w:p>
                          <w:p>
                            <w:pPr>
                              <w:pStyle w:val="TextBody"/>
                              <w:bidi w:val="0"/>
                              <w:spacing w:lineRule="atLeast" w:line="260" w:before="387" w:after="283"/>
                              <w:jc w:val="left"/>
                              <w:rPr>
                                <w:b/>
                                <w:color w:val="1F2668"/>
                                <w:sz w:val="22"/>
                              </w:rPr>
                            </w:pPr>
                            <w:r>
                              <w:rPr>
                                <w:b/>
                                <w:color w:val="1F2668"/>
                                <w:spacing w:val="-2"/>
                                <w:sz w:val="22"/>
                              </w:rPr>
                              <w:t>Professional Experience</w:t>
                            </w:r>
                            <w:r>
                              <w:rPr>
                                <w:b/>
                                <w:color w:val="000000"/>
                                <w:spacing w:val="4"/>
                                <w:sz w:val="22"/>
                              </w:rPr>
                              <w:t xml:space="preserve"> </w:t>
                            </w:r>
                          </w:p>
                          <w:p>
                            <w:pPr>
                              <w:pStyle w:val="TextBody"/>
                              <w:bidi w:val="0"/>
                              <w:spacing w:lineRule="atLeast" w:line="220" w:before="102" w:after="0"/>
                              <w:ind w:left="200" w:right="0" w:hanging="0"/>
                              <w:jc w:val="left"/>
                              <w:rPr/>
                            </w:pPr>
                            <w:r>
                              <w:rPr>
                                <w:spacing w:val="-2"/>
                              </w:rPr>
                              <w:t>Managing Director of Halstatt LLC, a curated alternative investment platform that invests on behalf of institutional investors, since 2017</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Principal in Halstatt Real Estate Partners private equity real estate funds from 2021 to 2025</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spacing w:val="-2"/>
                              </w:rPr>
                            </w:pPr>
                            <w:r>
                              <w:rPr>
                                <w:spacing w:val="-2"/>
                              </w:rPr>
                              <w:t xml:space="preserve">Serves on the Board of Starwood Credit Real Estate Income Trust since November 2023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Serves on the Board of Opus Holding, LLC since July 2025</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Member of the real estate advisory board for the University of Florida Bergstrom Real Estate Center</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Member of the Board of Directors of the Lucas Institute for Real Estate Development and Finance at Florida Gulf Coast University</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Worked at Goldman Sachs from 1990 to 2005 and served in a number of management roles, including as Chief Operating Officer for Investment Banking Real Estate Department and Chief of Staff for the Financing Group</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Worked at JMB Realty from 1986 to 1988 in acquisitions</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B.S. degree from University of Illinois and M.B.A. degree from Harvard Business School</w:t>
                            </w:r>
                            <w:r>
                              <w:rPr>
                                <w:spacing w:val="4"/>
                              </w:rPr>
                              <w:t xml:space="preserve"> </w:t>
                            </w:r>
                          </w:p>
                          <w:p>
                            <w:pPr>
                              <w:pStyle w:val="TextBody"/>
                              <w:bidi w:val="0"/>
                              <w:spacing w:before="0" w:after="0"/>
                              <w:ind w:left="0" w:right="0" w:hanging="0"/>
                              <w:jc w:val="left"/>
                              <w:rPr/>
                            </w:pPr>
                            <w:r>
                              <w:rPr/>
                              <w:t>​</w:t>
                            </w:r>
                          </w:p>
                          <w:p>
                            <w:pPr>
                              <w:pStyle w:val="TextBody"/>
                              <w:bidi w:val="0"/>
                              <w:spacing w:lineRule="atLeast" w:line="260" w:before="269" w:after="283"/>
                              <w:jc w:val="left"/>
                              <w:rPr>
                                <w:b/>
                                <w:color w:val="1F2668"/>
                                <w:sz w:val="22"/>
                              </w:rPr>
                            </w:pPr>
                            <w:r>
                              <w:rPr>
                                <w:b/>
                                <w:color w:val="1F2668"/>
                                <w:spacing w:val="-2"/>
                                <w:sz w:val="22"/>
                              </w:rPr>
                              <w:t>Other Public Board Directorships</w:t>
                            </w:r>
                            <w:r>
                              <w:rPr>
                                <w:b/>
                                <w:color w:val="000000"/>
                                <w:spacing w:val="4"/>
                                <w:sz w:val="22"/>
                              </w:rPr>
                              <w:t xml:space="preserve"> </w:t>
                            </w:r>
                          </w:p>
                          <w:p>
                            <w:pPr>
                              <w:pStyle w:val="TextBody"/>
                              <w:bidi w:val="0"/>
                              <w:spacing w:lineRule="atLeast" w:line="220" w:before="102" w:after="0"/>
                              <w:ind w:left="200" w:right="0" w:hanging="0"/>
                              <w:jc w:val="left"/>
                              <w:rPr/>
                            </w:pPr>
                            <w:r>
                              <w:rPr>
                                <w:spacing w:val="-2"/>
                              </w:rPr>
                              <w:t>Starwood Real Estate Income Trust, Inc. since January 2021 (non-exchange traded)</w:t>
                            </w:r>
                            <w:r>
                              <w:rPr>
                                <w:spacing w:val="4"/>
                              </w:rPr>
                              <w:t xml:space="preserve"> </w:t>
                            </w:r>
                          </w:p>
                          <w:p>
                            <w:pPr>
                              <w:pStyle w:val="TextBody"/>
                              <w:bidi w:val="0"/>
                              <w:spacing w:before="0" w:after="0"/>
                              <w:ind w:left="0" w:right="0" w:hanging="0"/>
                              <w:jc w:val="left"/>
                              <w:rPr/>
                            </w:pPr>
                            <w:r>
                              <w:rPr/>
                              <w:t>​</w:t>
                            </w:r>
                          </w:p>
                          <w:p>
                            <w:pPr>
                              <w:pStyle w:val="TextBody"/>
                              <w:bidi w:val="0"/>
                              <w:spacing w:before="0" w:after="283"/>
                              <w:ind w:left="0" w:right="0" w:hanging="0"/>
                              <w:jc w:val="left"/>
                              <w:rPr>
                                <w:bdr w:val="single" w:sz="8" w:space="1" w:color="83AD40"/>
                              </w:rPr>
                            </w:pPr>
                            <w:r>
                              <w:rPr>
                                <w:bdr w:val="single" w:sz="8" w:space="1" w:color="83AD40"/>
                              </w:rPr>
                              <w:t>​</w:t>
                            </w:r>
                          </w:p>
                          <w:p>
                            <w:pPr>
                              <w:pStyle w:val="TextBody"/>
                              <w:bidi w:val="0"/>
                              <w:spacing w:lineRule="atLeast" w:line="260" w:before="178" w:after="283"/>
                              <w:jc w:val="left"/>
                              <w:rPr>
                                <w:b/>
                                <w:color w:val="1F2668"/>
                                <w:sz w:val="22"/>
                              </w:rPr>
                            </w:pPr>
                            <w:r>
                              <w:rPr>
                                <w:b/>
                                <w:color w:val="1F2668"/>
                                <w:spacing w:val="-2"/>
                                <w:sz w:val="22"/>
                              </w:rPr>
                              <w:t>Skills, Experiences and Attributes</w:t>
                            </w:r>
                            <w:r>
                              <w:rPr>
                                <w:b/>
                                <w:color w:val="000000"/>
                                <w:spacing w:val="4"/>
                                <w:sz w:val="22"/>
                              </w:rPr>
                              <w:t xml:space="preserve"> </w:t>
                            </w:r>
                          </w:p>
                          <w:tbl>
                            <w:tblPr>
                              <w:tblW w:w="10205" w:type="dxa"/>
                              <w:jc w:val="left"/>
                              <w:tblInd w:w="0" w:type="dxa"/>
                              <w:tblLayout w:type="fixed"/>
                              <w:tblCellMar>
                                <w:top w:w="0" w:type="dxa"/>
                                <w:left w:w="0" w:type="dxa"/>
                                <w:bottom w:w="0" w:type="dxa"/>
                                <w:right w:w="0" w:type="dxa"/>
                              </w:tblCellMar>
                            </w:tblPr>
                            <w:tblGrid>
                              <w:gridCol w:w="124"/>
                              <w:gridCol w:w="728"/>
                              <w:gridCol w:w="109"/>
                              <w:gridCol w:w="109"/>
                              <w:gridCol w:w="2584"/>
                              <w:gridCol w:w="109"/>
                              <w:gridCol w:w="109"/>
                              <w:gridCol w:w="803"/>
                              <w:gridCol w:w="109"/>
                              <w:gridCol w:w="109"/>
                              <w:gridCol w:w="5155"/>
                              <w:gridCol w:w="157"/>
                            </w:tblGrid>
                            <w:tr>
                              <w:trPr/>
                              <w:tc>
                                <w:tcPr>
                                  <w:tcW w:w="124" w:type="dxa"/>
                                  <w:tcBorders/>
                                  <w:vAlign w:val="center"/>
                                </w:tcPr>
                                <w:p>
                                  <w:pPr>
                                    <w:pStyle w:val="TableContents"/>
                                    <w:bidi w:val="0"/>
                                    <w:spacing w:before="0" w:after="283"/>
                                    <w:jc w:val="left"/>
                                    <w:rPr/>
                                  </w:pPr>
                                  <w:r>
                                    <w:rPr/>
                                    <w:t>​</w:t>
                                  </w:r>
                                </w:p>
                              </w:tc>
                              <w:tc>
                                <w:tcPr>
                                  <w:tcW w:w="728"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71475" cy="390525"/>
                                        <wp:effectExtent l="0" t="0" r="0" b="0"/>
                                        <wp:docPr id="390" name="Image1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 name="Image181" descr=""/>
                                                <pic:cNvPicPr>
                                                  <a:picLocks noChangeAspect="1" noChangeArrowheads="1"/>
                                                </pic:cNvPicPr>
                                              </pic:nvPicPr>
                                              <pic:blipFill>
                                                <a:blip r:embed="rId251"/>
                                                <a:stretch>
                                                  <a:fillRect/>
                                                </a:stretch>
                                              </pic:blipFill>
                                              <pic:spPr bwMode="auto">
                                                <a:xfrm>
                                                  <a:off x="0" y="0"/>
                                                  <a:ext cx="371475" cy="3905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84"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Executive Leadership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3"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71475" cy="371475"/>
                                        <wp:effectExtent l="0" t="0" r="0" b="0"/>
                                        <wp:docPr id="391" name="Image1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 name="Image182" descr=""/>
                                                <pic:cNvPicPr>
                                                  <a:picLocks noChangeAspect="1" noChangeArrowheads="1"/>
                                                </pic:cNvPicPr>
                                              </pic:nvPicPr>
                                              <pic:blipFill>
                                                <a:blip r:embed="rId252"/>
                                                <a:stretch>
                                                  <a:fillRect/>
                                                </a:stretch>
                                              </pic:blipFill>
                                              <pic:spPr bwMode="auto">
                                                <a:xfrm>
                                                  <a:off x="0" y="0"/>
                                                  <a:ext cx="371475" cy="3714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155"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Finance/Capital Markets </w:t>
                                  </w:r>
                                </w:p>
                              </w:tc>
                              <w:tc>
                                <w:tcPr>
                                  <w:tcW w:w="157"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28"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52425" cy="409575"/>
                                        <wp:effectExtent l="0" t="0" r="0" b="0"/>
                                        <wp:docPr id="392" name="Image1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 name="Image183" descr=""/>
                                                <pic:cNvPicPr>
                                                  <a:picLocks noChangeAspect="1" noChangeArrowheads="1"/>
                                                </pic:cNvPicPr>
                                              </pic:nvPicPr>
                                              <pic:blipFill>
                                                <a:blip r:embed="rId253"/>
                                                <a:stretch>
                                                  <a:fillRect/>
                                                </a:stretch>
                                              </pic:blipFill>
                                              <pic:spPr bwMode="auto">
                                                <a:xfrm>
                                                  <a:off x="0" y="0"/>
                                                  <a:ext cx="352425" cy="4095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84"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Risk Management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3"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419100" cy="419100"/>
                                        <wp:effectExtent l="0" t="0" r="0" b="0"/>
                                        <wp:docPr id="393" name="Image1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 name="Image184" descr=""/>
                                                <pic:cNvPicPr>
                                                  <a:picLocks noChangeAspect="1" noChangeArrowheads="1"/>
                                                </pic:cNvPicPr>
                                              </pic:nvPicPr>
                                              <pic:blipFill>
                                                <a:blip r:embed="rId254"/>
                                                <a:stretch>
                                                  <a:fillRect/>
                                                </a:stretch>
                                              </pic:blipFill>
                                              <pic:spPr bwMode="auto">
                                                <a:xfrm>
                                                  <a:off x="0" y="0"/>
                                                  <a:ext cx="419100" cy="4191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155" w:type="dxa"/>
                                  <w:tcBorders/>
                                  <w:tcMar>
                                    <w:top w:w="28" w:type="dxa"/>
                                    <w:left w:w="28" w:type="dxa"/>
                                    <w:bottom w:w="28" w:type="dxa"/>
                                    <w:right w:w="28" w:type="dxa"/>
                                  </w:tcMar>
                                  <w:vAlign w:val="center"/>
                                </w:tcPr>
                                <w:p>
                                  <w:pPr>
                                    <w:pStyle w:val="TableContents"/>
                                    <w:bidi w:val="0"/>
                                    <w:spacing w:lineRule="atLeast" w:line="220" w:before="0" w:after="0"/>
                                    <w:jc w:val="left"/>
                                    <w:rPr/>
                                  </w:pPr>
                                  <w:r>
                                    <w:rPr>
                                      <w:spacing w:val="-2"/>
                                    </w:rPr>
                                    <w:t>Public Company Board Service/</w:t>
                                  </w:r>
                                  <w:r>
                                    <w:rPr/>
                                    <w:t>​</w:t>
                                  </w:r>
                                  <w:r>
                                    <w:rPr>
                                      <w:spacing w:val="-2"/>
                                    </w:rPr>
                                    <w:t xml:space="preserve">Corporate Governance </w:t>
                                  </w:r>
                                </w:p>
                              </w:tc>
                              <w:tc>
                                <w:tcPr>
                                  <w:tcW w:w="157"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28"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33375" cy="304800"/>
                                        <wp:effectExtent l="0" t="0" r="0" b="0"/>
                                        <wp:docPr id="394" name="Image1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 name="Image185" descr=""/>
                                                <pic:cNvPicPr>
                                                  <a:picLocks noChangeAspect="1" noChangeArrowheads="1"/>
                                                </pic:cNvPicPr>
                                              </pic:nvPicPr>
                                              <pic:blipFill>
                                                <a:blip r:embed="rId255"/>
                                                <a:stretch>
                                                  <a:fillRect/>
                                                </a:stretch>
                                              </pic:blipFill>
                                              <pic:spPr bwMode="auto">
                                                <a:xfrm>
                                                  <a:off x="0" y="0"/>
                                                  <a:ext cx="333375" cy="3048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84"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REIT/Real Estate Industry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3"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52425" cy="371475"/>
                                        <wp:effectExtent l="0" t="0" r="0" b="0"/>
                                        <wp:docPr id="395" name="Image1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 name="Image186" descr=""/>
                                                <pic:cNvPicPr>
                                                  <a:picLocks noChangeAspect="1" noChangeArrowheads="1"/>
                                                </pic:cNvPicPr>
                                              </pic:nvPicPr>
                                              <pic:blipFill>
                                                <a:blip r:embed="rId256"/>
                                                <a:stretch>
                                                  <a:fillRect/>
                                                </a:stretch>
                                              </pic:blipFill>
                                              <pic:spPr bwMode="auto">
                                                <a:xfrm>
                                                  <a:off x="0" y="0"/>
                                                  <a:ext cx="352425" cy="3714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155"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Experience Over Several Business Cycles </w:t>
                                  </w:r>
                                </w:p>
                              </w:tc>
                              <w:tc>
                                <w:tcPr>
                                  <w:tcW w:w="157"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28"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52425" cy="352425"/>
                                        <wp:effectExtent l="0" t="0" r="0" b="0"/>
                                        <wp:docPr id="396" name="Image1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 name="Image187" descr=""/>
                                                <pic:cNvPicPr>
                                                  <a:picLocks noChangeAspect="1" noChangeArrowheads="1"/>
                                                </pic:cNvPicPr>
                                              </pic:nvPicPr>
                                              <pic:blipFill>
                                                <a:blip r:embed="rId257"/>
                                                <a:stretch>
                                                  <a:fillRect/>
                                                </a:stretch>
                                              </pic:blipFill>
                                              <pic:spPr bwMode="auto">
                                                <a:xfrm>
                                                  <a:off x="0" y="0"/>
                                                  <a:ext cx="352425" cy="3524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84"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Talent Management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3"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155"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61pt;height:785.2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30" w:before="500" w:after="283"/>
                        <w:jc w:val="left"/>
                        <w:rPr/>
                      </w:pPr>
                      <w:r>
                        <w:rPr>
                          <w:spacing w:val="-2"/>
                        </w:rPr>
                        <w:t>Ms. Lamb has extensive experience and skills in real estate, finance and executive management through her work with Goldman Sachs, Halstatt Real Estate Partners and Halstatt LLC. As a result, Ms. Lamb provides the Board with valuable knowledge of and expertise in our business and industry. Ms. Lamb also has extensive public and other Board and Board committee experience, which enables her to provide significant insight as to governance and compliance-related matters particular to real estate investment companies.</w:t>
                      </w:r>
                      <w:r>
                        <w:rPr>
                          <w:spacing w:val="4"/>
                        </w:rPr>
                        <w:t xml:space="preserve"> </w:t>
                      </w:r>
                    </w:p>
                    <w:p>
                      <w:pPr>
                        <w:pStyle w:val="TextBody"/>
                        <w:bidi w:val="0"/>
                        <w:spacing w:before="0" w:after="283"/>
                        <w:ind w:left="0" w:right="0" w:hanging="0"/>
                        <w:jc w:val="left"/>
                        <w:rPr>
                          <w:bdr w:val="single" w:sz="8" w:space="1" w:color="83AD40"/>
                        </w:rPr>
                      </w:pPr>
                      <w:r>
                        <w:rPr>
                          <w:bdr w:val="single" w:sz="8" w:space="1" w:color="83AD40"/>
                        </w:rPr>
                        <w:t>​</w:t>
                      </w:r>
                    </w:p>
                    <w:p>
                      <w:pPr>
                        <w:pStyle w:val="TextBody"/>
                        <w:bidi w:val="0"/>
                        <w:spacing w:lineRule="atLeast" w:line="260" w:before="387" w:after="283"/>
                        <w:jc w:val="left"/>
                        <w:rPr>
                          <w:b/>
                          <w:color w:val="1F2668"/>
                          <w:sz w:val="22"/>
                        </w:rPr>
                      </w:pPr>
                      <w:r>
                        <w:rPr>
                          <w:b/>
                          <w:color w:val="1F2668"/>
                          <w:spacing w:val="-2"/>
                          <w:sz w:val="22"/>
                        </w:rPr>
                        <w:t>Professional Experience</w:t>
                      </w:r>
                      <w:r>
                        <w:rPr>
                          <w:b/>
                          <w:color w:val="000000"/>
                          <w:spacing w:val="4"/>
                          <w:sz w:val="22"/>
                        </w:rPr>
                        <w:t xml:space="preserve"> </w:t>
                      </w:r>
                    </w:p>
                    <w:p>
                      <w:pPr>
                        <w:pStyle w:val="TextBody"/>
                        <w:bidi w:val="0"/>
                        <w:spacing w:lineRule="atLeast" w:line="220" w:before="102" w:after="0"/>
                        <w:ind w:left="200" w:right="0" w:hanging="0"/>
                        <w:jc w:val="left"/>
                        <w:rPr/>
                      </w:pPr>
                      <w:r>
                        <w:rPr>
                          <w:spacing w:val="-2"/>
                        </w:rPr>
                        <w:t>Managing Director of Halstatt LLC, a curated alternative investment platform that invests on behalf of institutional investors, since 2017</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Principal in Halstatt Real Estate Partners private equity real estate funds from 2021 to 2025</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spacing w:val="-2"/>
                        </w:rPr>
                      </w:pPr>
                      <w:r>
                        <w:rPr>
                          <w:spacing w:val="-2"/>
                        </w:rPr>
                        <w:t xml:space="preserve">Serves on the Board of Starwood Credit Real Estate Income Trust since November 2023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Serves on the Board of Opus Holding, LLC since July 2025</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Member of the real estate advisory board for the University of Florida Bergstrom Real Estate Center</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Member of the Board of Directors of the Lucas Institute for Real Estate Development and Finance at Florida Gulf Coast University</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Worked at Goldman Sachs from 1990 to 2005 and served in a number of management roles, including as Chief Operating Officer for Investment Banking Real Estate Department and Chief of Staff for the Financing Group</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Worked at JMB Realty from 1986 to 1988 in acquisitions</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B.S. degree from University of Illinois and M.B.A. degree from Harvard Business School</w:t>
                      </w:r>
                      <w:r>
                        <w:rPr>
                          <w:spacing w:val="4"/>
                        </w:rPr>
                        <w:t xml:space="preserve"> </w:t>
                      </w:r>
                    </w:p>
                    <w:p>
                      <w:pPr>
                        <w:pStyle w:val="TextBody"/>
                        <w:bidi w:val="0"/>
                        <w:spacing w:before="0" w:after="0"/>
                        <w:ind w:left="0" w:right="0" w:hanging="0"/>
                        <w:jc w:val="left"/>
                        <w:rPr/>
                      </w:pPr>
                      <w:r>
                        <w:rPr/>
                        <w:t>​</w:t>
                      </w:r>
                    </w:p>
                    <w:p>
                      <w:pPr>
                        <w:pStyle w:val="TextBody"/>
                        <w:bidi w:val="0"/>
                        <w:spacing w:lineRule="atLeast" w:line="260" w:before="269" w:after="283"/>
                        <w:jc w:val="left"/>
                        <w:rPr>
                          <w:b/>
                          <w:color w:val="1F2668"/>
                          <w:sz w:val="22"/>
                        </w:rPr>
                      </w:pPr>
                      <w:r>
                        <w:rPr>
                          <w:b/>
                          <w:color w:val="1F2668"/>
                          <w:spacing w:val="-2"/>
                          <w:sz w:val="22"/>
                        </w:rPr>
                        <w:t>Other Public Board Directorships</w:t>
                      </w:r>
                      <w:r>
                        <w:rPr>
                          <w:b/>
                          <w:color w:val="000000"/>
                          <w:spacing w:val="4"/>
                          <w:sz w:val="22"/>
                        </w:rPr>
                        <w:t xml:space="preserve"> </w:t>
                      </w:r>
                    </w:p>
                    <w:p>
                      <w:pPr>
                        <w:pStyle w:val="TextBody"/>
                        <w:bidi w:val="0"/>
                        <w:spacing w:lineRule="atLeast" w:line="220" w:before="102" w:after="0"/>
                        <w:ind w:left="200" w:right="0" w:hanging="0"/>
                        <w:jc w:val="left"/>
                        <w:rPr/>
                      </w:pPr>
                      <w:r>
                        <w:rPr>
                          <w:spacing w:val="-2"/>
                        </w:rPr>
                        <w:t>Starwood Real Estate Income Trust, Inc. since January 2021 (non-exchange traded)</w:t>
                      </w:r>
                      <w:r>
                        <w:rPr>
                          <w:spacing w:val="4"/>
                        </w:rPr>
                        <w:t xml:space="preserve"> </w:t>
                      </w:r>
                    </w:p>
                    <w:p>
                      <w:pPr>
                        <w:pStyle w:val="TextBody"/>
                        <w:bidi w:val="0"/>
                        <w:spacing w:before="0" w:after="0"/>
                        <w:ind w:left="0" w:right="0" w:hanging="0"/>
                        <w:jc w:val="left"/>
                        <w:rPr/>
                      </w:pPr>
                      <w:r>
                        <w:rPr/>
                        <w:t>​</w:t>
                      </w:r>
                    </w:p>
                    <w:p>
                      <w:pPr>
                        <w:pStyle w:val="TextBody"/>
                        <w:bidi w:val="0"/>
                        <w:spacing w:before="0" w:after="283"/>
                        <w:ind w:left="0" w:right="0" w:hanging="0"/>
                        <w:jc w:val="left"/>
                        <w:rPr>
                          <w:bdr w:val="single" w:sz="8" w:space="1" w:color="83AD40"/>
                        </w:rPr>
                      </w:pPr>
                      <w:r>
                        <w:rPr>
                          <w:bdr w:val="single" w:sz="8" w:space="1" w:color="83AD40"/>
                        </w:rPr>
                        <w:t>​</w:t>
                      </w:r>
                    </w:p>
                    <w:p>
                      <w:pPr>
                        <w:pStyle w:val="TextBody"/>
                        <w:bidi w:val="0"/>
                        <w:spacing w:lineRule="atLeast" w:line="260" w:before="178" w:after="283"/>
                        <w:jc w:val="left"/>
                        <w:rPr>
                          <w:b/>
                          <w:color w:val="1F2668"/>
                          <w:sz w:val="22"/>
                        </w:rPr>
                      </w:pPr>
                      <w:r>
                        <w:rPr>
                          <w:b/>
                          <w:color w:val="1F2668"/>
                          <w:spacing w:val="-2"/>
                          <w:sz w:val="22"/>
                        </w:rPr>
                        <w:t>Skills, Experiences and Attributes</w:t>
                      </w:r>
                      <w:r>
                        <w:rPr>
                          <w:b/>
                          <w:color w:val="000000"/>
                          <w:spacing w:val="4"/>
                          <w:sz w:val="22"/>
                        </w:rPr>
                        <w:t xml:space="preserve"> </w:t>
                      </w:r>
                    </w:p>
                    <w:tbl>
                      <w:tblPr>
                        <w:tblW w:w="10205" w:type="dxa"/>
                        <w:jc w:val="left"/>
                        <w:tblInd w:w="0" w:type="dxa"/>
                        <w:tblLayout w:type="fixed"/>
                        <w:tblCellMar>
                          <w:top w:w="0" w:type="dxa"/>
                          <w:left w:w="0" w:type="dxa"/>
                          <w:bottom w:w="0" w:type="dxa"/>
                          <w:right w:w="0" w:type="dxa"/>
                        </w:tblCellMar>
                      </w:tblPr>
                      <w:tblGrid>
                        <w:gridCol w:w="124"/>
                        <w:gridCol w:w="728"/>
                        <w:gridCol w:w="109"/>
                        <w:gridCol w:w="109"/>
                        <w:gridCol w:w="2584"/>
                        <w:gridCol w:w="109"/>
                        <w:gridCol w:w="109"/>
                        <w:gridCol w:w="803"/>
                        <w:gridCol w:w="109"/>
                        <w:gridCol w:w="109"/>
                        <w:gridCol w:w="5155"/>
                        <w:gridCol w:w="157"/>
                      </w:tblGrid>
                      <w:tr>
                        <w:trPr/>
                        <w:tc>
                          <w:tcPr>
                            <w:tcW w:w="124" w:type="dxa"/>
                            <w:tcBorders/>
                            <w:vAlign w:val="center"/>
                          </w:tcPr>
                          <w:p>
                            <w:pPr>
                              <w:pStyle w:val="TableContents"/>
                              <w:bidi w:val="0"/>
                              <w:spacing w:before="0" w:after="283"/>
                              <w:jc w:val="left"/>
                              <w:rPr/>
                            </w:pPr>
                            <w:r>
                              <w:rPr/>
                              <w:t>​</w:t>
                            </w:r>
                          </w:p>
                        </w:tc>
                        <w:tc>
                          <w:tcPr>
                            <w:tcW w:w="728"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71475" cy="390525"/>
                                  <wp:effectExtent l="0" t="0" r="0" b="0"/>
                                  <wp:docPr id="397" name="Image1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 name="Image181" descr=""/>
                                          <pic:cNvPicPr>
                                            <a:picLocks noChangeAspect="1" noChangeArrowheads="1"/>
                                          </pic:cNvPicPr>
                                        </pic:nvPicPr>
                                        <pic:blipFill>
                                          <a:blip r:embed="rId258"/>
                                          <a:stretch>
                                            <a:fillRect/>
                                          </a:stretch>
                                        </pic:blipFill>
                                        <pic:spPr bwMode="auto">
                                          <a:xfrm>
                                            <a:off x="0" y="0"/>
                                            <a:ext cx="371475" cy="3905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84"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Executive Leadership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3"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71475" cy="371475"/>
                                  <wp:effectExtent l="0" t="0" r="0" b="0"/>
                                  <wp:docPr id="398" name="Image1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 name="Image182" descr=""/>
                                          <pic:cNvPicPr>
                                            <a:picLocks noChangeAspect="1" noChangeArrowheads="1"/>
                                          </pic:cNvPicPr>
                                        </pic:nvPicPr>
                                        <pic:blipFill>
                                          <a:blip r:embed="rId259"/>
                                          <a:stretch>
                                            <a:fillRect/>
                                          </a:stretch>
                                        </pic:blipFill>
                                        <pic:spPr bwMode="auto">
                                          <a:xfrm>
                                            <a:off x="0" y="0"/>
                                            <a:ext cx="371475" cy="3714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155"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Finance/Capital Markets </w:t>
                            </w:r>
                          </w:p>
                        </w:tc>
                        <w:tc>
                          <w:tcPr>
                            <w:tcW w:w="157"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28"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52425" cy="409575"/>
                                  <wp:effectExtent l="0" t="0" r="0" b="0"/>
                                  <wp:docPr id="399" name="Image1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 name="Image183" descr=""/>
                                          <pic:cNvPicPr>
                                            <a:picLocks noChangeAspect="1" noChangeArrowheads="1"/>
                                          </pic:cNvPicPr>
                                        </pic:nvPicPr>
                                        <pic:blipFill>
                                          <a:blip r:embed="rId260"/>
                                          <a:stretch>
                                            <a:fillRect/>
                                          </a:stretch>
                                        </pic:blipFill>
                                        <pic:spPr bwMode="auto">
                                          <a:xfrm>
                                            <a:off x="0" y="0"/>
                                            <a:ext cx="352425" cy="4095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84"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Risk Management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3"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419100" cy="419100"/>
                                  <wp:effectExtent l="0" t="0" r="0" b="0"/>
                                  <wp:docPr id="400" name="Image1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 name="Image184" descr=""/>
                                          <pic:cNvPicPr>
                                            <a:picLocks noChangeAspect="1" noChangeArrowheads="1"/>
                                          </pic:cNvPicPr>
                                        </pic:nvPicPr>
                                        <pic:blipFill>
                                          <a:blip r:embed="rId261"/>
                                          <a:stretch>
                                            <a:fillRect/>
                                          </a:stretch>
                                        </pic:blipFill>
                                        <pic:spPr bwMode="auto">
                                          <a:xfrm>
                                            <a:off x="0" y="0"/>
                                            <a:ext cx="419100" cy="4191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155" w:type="dxa"/>
                            <w:tcBorders/>
                            <w:tcMar>
                              <w:top w:w="28" w:type="dxa"/>
                              <w:left w:w="28" w:type="dxa"/>
                              <w:bottom w:w="28" w:type="dxa"/>
                              <w:right w:w="28" w:type="dxa"/>
                            </w:tcMar>
                            <w:vAlign w:val="center"/>
                          </w:tcPr>
                          <w:p>
                            <w:pPr>
                              <w:pStyle w:val="TableContents"/>
                              <w:bidi w:val="0"/>
                              <w:spacing w:lineRule="atLeast" w:line="220" w:before="0" w:after="0"/>
                              <w:jc w:val="left"/>
                              <w:rPr/>
                            </w:pPr>
                            <w:r>
                              <w:rPr>
                                <w:spacing w:val="-2"/>
                              </w:rPr>
                              <w:t>Public Company Board Service/</w:t>
                            </w:r>
                            <w:r>
                              <w:rPr/>
                              <w:t>​</w:t>
                            </w:r>
                            <w:r>
                              <w:rPr>
                                <w:spacing w:val="-2"/>
                              </w:rPr>
                              <w:t xml:space="preserve">Corporate Governance </w:t>
                            </w:r>
                          </w:p>
                        </w:tc>
                        <w:tc>
                          <w:tcPr>
                            <w:tcW w:w="157"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28"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33375" cy="304800"/>
                                  <wp:effectExtent l="0" t="0" r="0" b="0"/>
                                  <wp:docPr id="401" name="Image1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 name="Image185" descr=""/>
                                          <pic:cNvPicPr>
                                            <a:picLocks noChangeAspect="1" noChangeArrowheads="1"/>
                                          </pic:cNvPicPr>
                                        </pic:nvPicPr>
                                        <pic:blipFill>
                                          <a:blip r:embed="rId262"/>
                                          <a:stretch>
                                            <a:fillRect/>
                                          </a:stretch>
                                        </pic:blipFill>
                                        <pic:spPr bwMode="auto">
                                          <a:xfrm>
                                            <a:off x="0" y="0"/>
                                            <a:ext cx="333375" cy="3048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84"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REIT/Real Estate Industry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3"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52425" cy="371475"/>
                                  <wp:effectExtent l="0" t="0" r="0" b="0"/>
                                  <wp:docPr id="402" name="Image1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 name="Image186" descr=""/>
                                          <pic:cNvPicPr>
                                            <a:picLocks noChangeAspect="1" noChangeArrowheads="1"/>
                                          </pic:cNvPicPr>
                                        </pic:nvPicPr>
                                        <pic:blipFill>
                                          <a:blip r:embed="rId263"/>
                                          <a:stretch>
                                            <a:fillRect/>
                                          </a:stretch>
                                        </pic:blipFill>
                                        <pic:spPr bwMode="auto">
                                          <a:xfrm>
                                            <a:off x="0" y="0"/>
                                            <a:ext cx="352425" cy="3714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155"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Experience Over Several Business Cycles </w:t>
                            </w:r>
                          </w:p>
                        </w:tc>
                        <w:tc>
                          <w:tcPr>
                            <w:tcW w:w="157"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28"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52425" cy="352425"/>
                                  <wp:effectExtent l="0" t="0" r="0" b="0"/>
                                  <wp:docPr id="403" name="Image1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 name="Image187" descr=""/>
                                          <pic:cNvPicPr>
                                            <a:picLocks noChangeAspect="1" noChangeArrowheads="1"/>
                                          </pic:cNvPicPr>
                                        </pic:nvPicPr>
                                        <pic:blipFill>
                                          <a:blip r:embed="rId264"/>
                                          <a:stretch>
                                            <a:fillRect/>
                                          </a:stretch>
                                        </pic:blipFill>
                                        <pic:spPr bwMode="auto">
                                          <a:xfrm>
                                            <a:off x="0" y="0"/>
                                            <a:ext cx="352425" cy="3524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84"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Talent Management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3"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155"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571500" distR="0" simplePos="0" locked="0" layoutInCell="1" allowOverlap="1" relativeHeight="137">
                <wp:simplePos x="0" y="0"/>
                <wp:positionH relativeFrom="column">
                  <wp:align>left</wp:align>
                </wp:positionH>
                <wp:positionV relativeFrom="line">
                  <wp:posOffset>635</wp:posOffset>
                </wp:positionV>
                <wp:extent cx="1562100" cy="5560060"/>
                <wp:effectExtent l="0" t="0" r="0" b="0"/>
                <wp:wrapSquare wrapText="right"/>
                <wp:docPr id="404" name="Frame146"/>
                <a:graphic xmlns:a="http://schemas.openxmlformats.org/drawingml/2006/main">
                  <a:graphicData uri="http://schemas.microsoft.com/office/word/2010/wordprocessingShape">
                    <wps:wsp>
                      <wps:cNvSpPr txBox="1"/>
                      <wps:spPr>
                        <a:xfrm>
                          <a:off x="0" y="0"/>
                          <a:ext cx="1562100" cy="5560060"/>
                        </a:xfrm>
                        <a:prstGeom prst="rect"/>
                        <a:solidFill>
                          <a:srgbClr val="FFFFFF"/>
                        </a:solidFill>
                      </wps:spPr>
                      <wps:txbx>
                        <w:txbxContent>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2993" w:type="dxa"/>
                              <w:jc w:val="left"/>
                              <w:tblInd w:w="0" w:type="dxa"/>
                              <w:tblLayout w:type="fixed"/>
                              <w:tblCellMar>
                                <w:top w:w="0" w:type="dxa"/>
                                <w:left w:w="0" w:type="dxa"/>
                                <w:bottom w:w="0" w:type="dxa"/>
                                <w:right w:w="0" w:type="dxa"/>
                              </w:tblCellMar>
                            </w:tblPr>
                            <w:tblGrid>
                              <w:gridCol w:w="124"/>
                              <w:gridCol w:w="109"/>
                              <w:gridCol w:w="2497"/>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497" w:type="dxa"/>
                                  <w:tcBorders/>
                                  <w:shd w:fill="1F2668" w:val="clear"/>
                                  <w:vAlign w:val="center"/>
                                </w:tcPr>
                                <w:p>
                                  <w:pPr>
                                    <w:pStyle w:val="TableContents"/>
                                    <w:bidi w:val="0"/>
                                    <w:spacing w:lineRule="atLeast" w:line="280" w:before="0" w:after="0"/>
                                    <w:ind w:left="0" w:right="160" w:hanging="0"/>
                                    <w:jc w:val="left"/>
                                    <w:rPr>
                                      <w:sz w:val="24"/>
                                    </w:rPr>
                                  </w:pPr>
                                  <w:r>
                                    <w:rPr>
                                      <w:b/>
                                      <w:spacing w:val="-2"/>
                                      <w:sz w:val="24"/>
                                    </w:rPr>
                                    <w:t>PEGGY LAMB</w:t>
                                  </w:r>
                                  <w:r>
                                    <w:rPr>
                                      <w:spacing w:val="-2"/>
                                      <w:sz w:val="24"/>
                                    </w:rPr>
                                    <w:t xml:space="preserve"> </w:t>
                                    <w:br/>
                                    <w:t> </w:t>
                                  </w:r>
                                  <w:r>
                                    <w:rPr>
                                      <w:sz w:val="24"/>
                                    </w:rPr>
                                    <w:t xml:space="preserve">​ </w:t>
                                  </w:r>
                                </w:p>
                                <w:p>
                                  <w:pPr>
                                    <w:pStyle w:val="TableContents"/>
                                    <w:bidi w:val="0"/>
                                    <w:spacing w:before="0" w:after="283"/>
                                    <w:ind w:left="0" w:right="160" w:hanging="0"/>
                                    <w:jc w:val="left"/>
                                    <w:rPr/>
                                  </w:pPr>
                                  <w:r>
                                    <w:rPr/>
                                    <w:drawing>
                                      <wp:inline distT="0" distB="0" distL="0" distR="0">
                                        <wp:extent cx="1219200" cy="1457325"/>
                                        <wp:effectExtent l="0" t="0" r="0" b="0"/>
                                        <wp:docPr id="405" name="Image1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5" name="Image180" descr=""/>
                                                <pic:cNvPicPr>
                                                  <a:picLocks noChangeAspect="1" noChangeArrowheads="1"/>
                                                </pic:cNvPicPr>
                                              </pic:nvPicPr>
                                              <pic:blipFill>
                                                <a:blip r:embed="rId265"/>
                                                <a:stretch>
                                                  <a:fillRect/>
                                                </a:stretch>
                                              </pic:blipFill>
                                              <pic:spPr bwMode="auto">
                                                <a:xfrm>
                                                  <a:off x="0" y="0"/>
                                                  <a:ext cx="1219200" cy="1457325"/>
                                                </a:xfrm>
                                                <a:prstGeom prst="rect">
                                                  <a:avLst/>
                                                </a:prstGeom>
                                              </pic:spPr>
                                            </pic:pic>
                                          </a:graphicData>
                                        </a:graphic>
                                      </wp:inline>
                                    </w:drawing>
                                  </w:r>
                                  <w:r>
                                    <w:rPr/>
                                    <w:t xml:space="preserve"> </w:t>
                                  </w:r>
                                </w:p>
                                <w:p>
                                  <w:pPr>
                                    <w:pStyle w:val="TableContents"/>
                                    <w:bidi w:val="0"/>
                                    <w:spacing w:lineRule="atLeast" w:line="180" w:before="220" w:after="283"/>
                                    <w:ind w:left="0" w:right="160" w:hanging="0"/>
                                    <w:jc w:val="left"/>
                                    <w:rPr>
                                      <w:b/>
                                    </w:rPr>
                                  </w:pPr>
                                  <w:r>
                                    <w:rPr>
                                      <w:b/>
                                      <w:spacing w:val="-2"/>
                                    </w:rPr>
                                    <w:t>Independent Director</w:t>
                                  </w:r>
                                  <w:r>
                                    <w:rPr>
                                      <w:b/>
                                    </w:rPr>
                                    <w:t xml:space="preserve"> </w:t>
                                  </w:r>
                                </w:p>
                                <w:p>
                                  <w:pPr>
                                    <w:pStyle w:val="TableContents"/>
                                    <w:bidi w:val="0"/>
                                    <w:spacing w:lineRule="atLeast" w:line="180" w:before="160" w:after="283"/>
                                    <w:ind w:left="0" w:right="160" w:hanging="0"/>
                                    <w:jc w:val="left"/>
                                    <w:rPr/>
                                  </w:pPr>
                                  <w:r>
                                    <w:rPr>
                                      <w:spacing w:val="-2"/>
                                    </w:rPr>
                                    <w:t xml:space="preserve">Director Since: </w:t>
                                  </w:r>
                                  <w:r>
                                    <w:rPr>
                                      <w:b/>
                                      <w:spacing w:val="-2"/>
                                    </w:rPr>
                                    <w:t>2025</w:t>
                                  </w:r>
                                  <w:r>
                                    <w:rPr/>
                                    <w:t xml:space="preserve"> </w:t>
                                  </w:r>
                                </w:p>
                                <w:p>
                                  <w:pPr>
                                    <w:pStyle w:val="TableContents"/>
                                    <w:bidi w:val="0"/>
                                    <w:spacing w:lineRule="atLeast" w:line="180" w:before="160" w:after="283"/>
                                    <w:ind w:left="0" w:right="160" w:hanging="0"/>
                                    <w:jc w:val="left"/>
                                    <w:rPr/>
                                  </w:pPr>
                                  <w:r>
                                    <w:rPr>
                                      <w:spacing w:val="-2"/>
                                    </w:rPr>
                                    <w:t xml:space="preserve">Age: </w:t>
                                  </w:r>
                                  <w:r>
                                    <w:rPr>
                                      <w:b/>
                                      <w:spacing w:val="-2"/>
                                    </w:rPr>
                                    <w:t>61</w:t>
                                  </w:r>
                                  <w:r>
                                    <w:rPr/>
                                    <w:t xml:space="preserve"> </w:t>
                                  </w:r>
                                </w:p>
                                <w:p>
                                  <w:pPr>
                                    <w:pStyle w:val="TableContents"/>
                                    <w:bidi w:val="0"/>
                                    <w:spacing w:lineRule="atLeast" w:line="220" w:before="160" w:after="283"/>
                                    <w:ind w:left="0" w:right="160" w:hanging="0"/>
                                    <w:jc w:val="left"/>
                                    <w:rPr>
                                      <w:spacing w:val="-2"/>
                                    </w:rPr>
                                  </w:pPr>
                                  <w:r>
                                    <w:rPr>
                                      <w:spacing w:val="-2"/>
                                    </w:rPr>
                                    <w:t xml:space="preserve">SL Green </w:t>
                                    <w:br/>
                                    <w:t xml:space="preserve">Board Service: </w:t>
                                  </w:r>
                                </w:p>
                                <w:p>
                                  <w:pPr>
                                    <w:pStyle w:val="TableContents"/>
                                    <w:bidi w:val="0"/>
                                    <w:spacing w:lineRule="atLeast" w:line="220" w:before="160" w:after="0"/>
                                    <w:ind w:left="180" w:right="160" w:hanging="0"/>
                                    <w:jc w:val="left"/>
                                    <w:rPr>
                                      <w:b/>
                                    </w:rPr>
                                  </w:pPr>
                                  <w:r>
                                    <w:rPr>
                                      <w:b/>
                                      <w:spacing w:val="-2"/>
                                    </w:rPr>
                                    <w:t xml:space="preserve">Compensation </w:t>
                                    <w:br/>
                                    <w:t>Committee, Chair</w:t>
                                  </w:r>
                                  <w:r>
                                    <w:rPr>
                                      <w:b/>
                                    </w:rPr>
                                    <w:t xml:space="preserve"> </w: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54" w:type="dxa"/>
                                  <w:tcBorders/>
                                  <w:shd w:fill="1F2668" w:val="clear"/>
                                  <w:vAlign w:val="center"/>
                                </w:tcPr>
                                <w:p>
                                  <w:pPr>
                                    <w:pStyle w:val="TableContents"/>
                                    <w:bidi w:val="0"/>
                                    <w:spacing w:before="0" w:after="283"/>
                                    <w:jc w:val="left"/>
                                    <w:rPr/>
                                  </w:pPr>
                                  <w:r>
                                    <w:rPr/>
                                    <w:t>​</w:t>
                                  </w:r>
                                </w:p>
                              </w:tc>
                            </w:tr>
                          </w:tbl>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23pt;height:437.8pt;mso-wrap-distance-left:45pt;mso-wrap-distance-right:0pt;mso-wrap-distance-top:0pt;mso-wrap-distance-bottom:0pt;margin-top:0pt;mso-position-vertical:top;mso-position-vertical-relative:text;margin-left:45pt;mso-position-horizontal:left;mso-position-horizontal-relative:text">
                <v:textbox>
                  <w:txbxContent>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2993" w:type="dxa"/>
                        <w:jc w:val="left"/>
                        <w:tblInd w:w="0" w:type="dxa"/>
                        <w:tblLayout w:type="fixed"/>
                        <w:tblCellMar>
                          <w:top w:w="0" w:type="dxa"/>
                          <w:left w:w="0" w:type="dxa"/>
                          <w:bottom w:w="0" w:type="dxa"/>
                          <w:right w:w="0" w:type="dxa"/>
                        </w:tblCellMar>
                      </w:tblPr>
                      <w:tblGrid>
                        <w:gridCol w:w="124"/>
                        <w:gridCol w:w="109"/>
                        <w:gridCol w:w="2497"/>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497" w:type="dxa"/>
                            <w:tcBorders/>
                            <w:shd w:fill="1F2668" w:val="clear"/>
                            <w:vAlign w:val="center"/>
                          </w:tcPr>
                          <w:p>
                            <w:pPr>
                              <w:pStyle w:val="TableContents"/>
                              <w:bidi w:val="0"/>
                              <w:spacing w:lineRule="atLeast" w:line="280" w:before="0" w:after="0"/>
                              <w:ind w:left="0" w:right="160" w:hanging="0"/>
                              <w:jc w:val="left"/>
                              <w:rPr>
                                <w:sz w:val="24"/>
                              </w:rPr>
                            </w:pPr>
                            <w:r>
                              <w:rPr>
                                <w:b/>
                                <w:spacing w:val="-2"/>
                                <w:sz w:val="24"/>
                              </w:rPr>
                              <w:t>PEGGY LAMB</w:t>
                            </w:r>
                            <w:r>
                              <w:rPr>
                                <w:spacing w:val="-2"/>
                                <w:sz w:val="24"/>
                              </w:rPr>
                              <w:t xml:space="preserve"> </w:t>
                              <w:br/>
                              <w:t> </w:t>
                            </w:r>
                            <w:r>
                              <w:rPr>
                                <w:sz w:val="24"/>
                              </w:rPr>
                              <w:t xml:space="preserve">​ </w:t>
                            </w:r>
                          </w:p>
                          <w:p>
                            <w:pPr>
                              <w:pStyle w:val="TableContents"/>
                              <w:bidi w:val="0"/>
                              <w:spacing w:before="0" w:after="283"/>
                              <w:ind w:left="0" w:right="160" w:hanging="0"/>
                              <w:jc w:val="left"/>
                              <w:rPr/>
                            </w:pPr>
                            <w:r>
                              <w:rPr/>
                              <w:drawing>
                                <wp:inline distT="0" distB="0" distL="0" distR="0">
                                  <wp:extent cx="1219200" cy="1457325"/>
                                  <wp:effectExtent l="0" t="0" r="0" b="0"/>
                                  <wp:docPr id="406" name="Image1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 name="Image180" descr=""/>
                                          <pic:cNvPicPr>
                                            <a:picLocks noChangeAspect="1" noChangeArrowheads="1"/>
                                          </pic:cNvPicPr>
                                        </pic:nvPicPr>
                                        <pic:blipFill>
                                          <a:blip r:embed="rId266"/>
                                          <a:stretch>
                                            <a:fillRect/>
                                          </a:stretch>
                                        </pic:blipFill>
                                        <pic:spPr bwMode="auto">
                                          <a:xfrm>
                                            <a:off x="0" y="0"/>
                                            <a:ext cx="1219200" cy="1457325"/>
                                          </a:xfrm>
                                          <a:prstGeom prst="rect">
                                            <a:avLst/>
                                          </a:prstGeom>
                                        </pic:spPr>
                                      </pic:pic>
                                    </a:graphicData>
                                  </a:graphic>
                                </wp:inline>
                              </w:drawing>
                            </w:r>
                            <w:r>
                              <w:rPr/>
                              <w:t xml:space="preserve"> </w:t>
                            </w:r>
                          </w:p>
                          <w:p>
                            <w:pPr>
                              <w:pStyle w:val="TableContents"/>
                              <w:bidi w:val="0"/>
                              <w:spacing w:lineRule="atLeast" w:line="180" w:before="220" w:after="283"/>
                              <w:ind w:left="0" w:right="160" w:hanging="0"/>
                              <w:jc w:val="left"/>
                              <w:rPr>
                                <w:b/>
                              </w:rPr>
                            </w:pPr>
                            <w:r>
                              <w:rPr>
                                <w:b/>
                                <w:spacing w:val="-2"/>
                              </w:rPr>
                              <w:t>Independent Director</w:t>
                            </w:r>
                            <w:r>
                              <w:rPr>
                                <w:b/>
                              </w:rPr>
                              <w:t xml:space="preserve"> </w:t>
                            </w:r>
                          </w:p>
                          <w:p>
                            <w:pPr>
                              <w:pStyle w:val="TableContents"/>
                              <w:bidi w:val="0"/>
                              <w:spacing w:lineRule="atLeast" w:line="180" w:before="160" w:after="283"/>
                              <w:ind w:left="0" w:right="160" w:hanging="0"/>
                              <w:jc w:val="left"/>
                              <w:rPr/>
                            </w:pPr>
                            <w:r>
                              <w:rPr>
                                <w:spacing w:val="-2"/>
                              </w:rPr>
                              <w:t xml:space="preserve">Director Since: </w:t>
                            </w:r>
                            <w:r>
                              <w:rPr>
                                <w:b/>
                                <w:spacing w:val="-2"/>
                              </w:rPr>
                              <w:t>2025</w:t>
                            </w:r>
                            <w:r>
                              <w:rPr/>
                              <w:t xml:space="preserve"> </w:t>
                            </w:r>
                          </w:p>
                          <w:p>
                            <w:pPr>
                              <w:pStyle w:val="TableContents"/>
                              <w:bidi w:val="0"/>
                              <w:spacing w:lineRule="atLeast" w:line="180" w:before="160" w:after="283"/>
                              <w:ind w:left="0" w:right="160" w:hanging="0"/>
                              <w:jc w:val="left"/>
                              <w:rPr/>
                            </w:pPr>
                            <w:r>
                              <w:rPr>
                                <w:spacing w:val="-2"/>
                              </w:rPr>
                              <w:t xml:space="preserve">Age: </w:t>
                            </w:r>
                            <w:r>
                              <w:rPr>
                                <w:b/>
                                <w:spacing w:val="-2"/>
                              </w:rPr>
                              <w:t>61</w:t>
                            </w:r>
                            <w:r>
                              <w:rPr/>
                              <w:t xml:space="preserve"> </w:t>
                            </w:r>
                          </w:p>
                          <w:p>
                            <w:pPr>
                              <w:pStyle w:val="TableContents"/>
                              <w:bidi w:val="0"/>
                              <w:spacing w:lineRule="atLeast" w:line="220" w:before="160" w:after="283"/>
                              <w:ind w:left="0" w:right="160" w:hanging="0"/>
                              <w:jc w:val="left"/>
                              <w:rPr>
                                <w:spacing w:val="-2"/>
                              </w:rPr>
                            </w:pPr>
                            <w:r>
                              <w:rPr>
                                <w:spacing w:val="-2"/>
                              </w:rPr>
                              <w:t xml:space="preserve">SL Green </w:t>
                              <w:br/>
                              <w:t xml:space="preserve">Board Service: </w:t>
                            </w:r>
                          </w:p>
                          <w:p>
                            <w:pPr>
                              <w:pStyle w:val="TableContents"/>
                              <w:bidi w:val="0"/>
                              <w:spacing w:lineRule="atLeast" w:line="220" w:before="160" w:after="0"/>
                              <w:ind w:left="180" w:right="160" w:hanging="0"/>
                              <w:jc w:val="left"/>
                              <w:rPr>
                                <w:b/>
                              </w:rPr>
                            </w:pPr>
                            <w:r>
                              <w:rPr>
                                <w:b/>
                                <w:spacing w:val="-2"/>
                              </w:rPr>
                              <w:t xml:space="preserve">Compensation </w:t>
                              <w:br/>
                              <w:t>Committee, Chair</w:t>
                            </w:r>
                            <w:r>
                              <w:rPr>
                                <w:b/>
                              </w:rPr>
                              <w:t xml:space="preserve"> </w: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54" w:type="dxa"/>
                            <w:tcBorders/>
                            <w:shd w:fill="1F2668" w:val="clear"/>
                            <w:vAlign w:val="center"/>
                          </w:tcPr>
                          <w:p>
                            <w:pPr>
                              <w:pStyle w:val="TableContents"/>
                              <w:bidi w:val="0"/>
                              <w:spacing w:before="0" w:after="283"/>
                              <w:jc w:val="left"/>
                              <w:rPr/>
                            </w:pPr>
                            <w:r>
                              <w:rPr/>
                              <w:t>​</w:t>
                            </w:r>
                          </w:p>
                        </w:tc>
                      </w:tr>
                    </w:tbl>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64770" distB="0" distL="0" distR="0" simplePos="0" locked="0" layoutInCell="1" allowOverlap="1" relativeHeight="432">
                <wp:simplePos x="0" y="0"/>
                <wp:positionH relativeFrom="column">
                  <wp:align>left</wp:align>
                </wp:positionH>
                <wp:positionV relativeFrom="line">
                  <wp:align>top</wp:align>
                </wp:positionV>
                <wp:extent cx="127000" cy="350520"/>
                <wp:effectExtent l="0" t="0" r="0" b="0"/>
                <wp:wrapSquare wrapText="right"/>
                <wp:docPr id="407" name="Frame1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5.1pt;mso-wrap-distance-bottom:0pt;margin-top:5.1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24130" distB="0" distL="0" distR="0" simplePos="0" locked="0" layoutInCell="1" allowOverlap="1" relativeHeight="433">
                <wp:simplePos x="0" y="0"/>
                <wp:positionH relativeFrom="column">
                  <wp:align>left</wp:align>
                </wp:positionH>
                <wp:positionV relativeFrom="line">
                  <wp:align>top</wp:align>
                </wp:positionV>
                <wp:extent cx="127000" cy="350520"/>
                <wp:effectExtent l="0" t="0" r="0" b="0"/>
                <wp:wrapSquare wrapText="right"/>
                <wp:docPr id="408" name="Frame1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24130" distB="0" distL="0" distR="0" simplePos="0" locked="0" layoutInCell="1" allowOverlap="1" relativeHeight="434">
                <wp:simplePos x="0" y="0"/>
                <wp:positionH relativeFrom="column">
                  <wp:align>left</wp:align>
                </wp:positionH>
                <wp:positionV relativeFrom="line">
                  <wp:align>top</wp:align>
                </wp:positionV>
                <wp:extent cx="127000" cy="350520"/>
                <wp:effectExtent l="0" t="0" r="0" b="0"/>
                <wp:wrapSquare wrapText="right"/>
                <wp:docPr id="409" name="Frame1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24130" distB="0" distL="0" distR="0" simplePos="0" locked="0" layoutInCell="1" allowOverlap="1" relativeHeight="435">
                <wp:simplePos x="0" y="0"/>
                <wp:positionH relativeFrom="column">
                  <wp:align>left</wp:align>
                </wp:positionH>
                <wp:positionV relativeFrom="line">
                  <wp:align>top</wp:align>
                </wp:positionV>
                <wp:extent cx="127000" cy="350520"/>
                <wp:effectExtent l="0" t="0" r="0" b="0"/>
                <wp:wrapSquare wrapText="right"/>
                <wp:docPr id="410" name="Frame1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24130" distB="0" distL="0" distR="0" simplePos="0" locked="0" layoutInCell="1" allowOverlap="1" relativeHeight="436">
                <wp:simplePos x="0" y="0"/>
                <wp:positionH relativeFrom="column">
                  <wp:align>left</wp:align>
                </wp:positionH>
                <wp:positionV relativeFrom="line">
                  <wp:align>top</wp:align>
                </wp:positionV>
                <wp:extent cx="127000" cy="350520"/>
                <wp:effectExtent l="0" t="0" r="0" b="0"/>
                <wp:wrapSquare wrapText="right"/>
                <wp:docPr id="411" name="Frame1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24130" distB="0" distL="0" distR="0" simplePos="0" locked="0" layoutInCell="1" allowOverlap="1" relativeHeight="437">
                <wp:simplePos x="0" y="0"/>
                <wp:positionH relativeFrom="column">
                  <wp:align>left</wp:align>
                </wp:positionH>
                <wp:positionV relativeFrom="line">
                  <wp:align>top</wp:align>
                </wp:positionV>
                <wp:extent cx="127000" cy="350520"/>
                <wp:effectExtent l="0" t="0" r="0" b="0"/>
                <wp:wrapSquare wrapText="right"/>
                <wp:docPr id="412" name="Frame1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24130" distB="0" distL="0" distR="0" simplePos="0" locked="0" layoutInCell="1" allowOverlap="1" relativeHeight="438">
                <wp:simplePos x="0" y="0"/>
                <wp:positionH relativeFrom="column">
                  <wp:align>left</wp:align>
                </wp:positionH>
                <wp:positionV relativeFrom="line">
                  <wp:align>top</wp:align>
                </wp:positionV>
                <wp:extent cx="127000" cy="350520"/>
                <wp:effectExtent l="0" t="0" r="0" b="0"/>
                <wp:wrapSquare wrapText="right"/>
                <wp:docPr id="413" name="Frame1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24130" distB="0" distL="0" distR="0" simplePos="0" locked="0" layoutInCell="1" allowOverlap="1" relativeHeight="439">
                <wp:simplePos x="0" y="0"/>
                <wp:positionH relativeFrom="column">
                  <wp:align>left</wp:align>
                </wp:positionH>
                <wp:positionV relativeFrom="line">
                  <wp:align>top</wp:align>
                </wp:positionV>
                <wp:extent cx="127000" cy="350520"/>
                <wp:effectExtent l="0" t="0" r="0" b="0"/>
                <wp:wrapSquare wrapText="right"/>
                <wp:docPr id="414" name="Frame1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24130" distB="0" distL="0" distR="0" simplePos="0" locked="0" layoutInCell="1" allowOverlap="1" relativeHeight="440">
                <wp:simplePos x="0" y="0"/>
                <wp:positionH relativeFrom="column">
                  <wp:align>left</wp:align>
                </wp:positionH>
                <wp:positionV relativeFrom="line">
                  <wp:align>top</wp:align>
                </wp:positionV>
                <wp:extent cx="127000" cy="350520"/>
                <wp:effectExtent l="0" t="0" r="0" b="0"/>
                <wp:wrapSquare wrapText="right"/>
                <wp:docPr id="415" name="Frame1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64770" distB="0" distL="0" distR="0" simplePos="0" locked="0" layoutInCell="1" allowOverlap="1" relativeHeight="441">
                <wp:simplePos x="0" y="0"/>
                <wp:positionH relativeFrom="column">
                  <wp:align>left</wp:align>
                </wp:positionH>
                <wp:positionV relativeFrom="line">
                  <wp:align>top</wp:align>
                </wp:positionV>
                <wp:extent cx="127000" cy="350520"/>
                <wp:effectExtent l="0" t="0" r="0" b="0"/>
                <wp:wrapSquare wrapText="right"/>
                <wp:docPr id="416" name="Frame1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5.1pt;mso-wrap-distance-bottom:0pt;margin-top:5.1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101600" distB="0" distL="0" distR="0" simplePos="0" locked="0" layoutInCell="1" allowOverlap="1" relativeHeight="431">
                <wp:simplePos x="0" y="0"/>
                <wp:positionH relativeFrom="column">
                  <wp:align>left</wp:align>
                </wp:positionH>
                <wp:positionV relativeFrom="line">
                  <wp:align>top</wp:align>
                </wp:positionV>
                <wp:extent cx="114300" cy="350520"/>
                <wp:effectExtent l="0" t="0" r="0" b="0"/>
                <wp:wrapSquare wrapText="right"/>
                <wp:docPr id="417" name="Frame147"/>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
                        </w:rPr>
                        <w:br/>
                      </w:r>
                    </w:p>
                  </w:txbxContent>
                </v:textbox>
                <w10:wrap type="square" side="right"/>
              </v:rect>
            </w:pict>
          </mc:Fallback>
        </mc:AlternateConten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225" w:type="dxa"/>
        <w:jc w:val="left"/>
        <w:tblInd w:w="900" w:type="dxa"/>
        <w:tblLayout w:type="fixed"/>
        <w:tblCellMar>
          <w:top w:w="0" w:type="dxa"/>
          <w:left w:w="0" w:type="dxa"/>
          <w:bottom w:w="0" w:type="dxa"/>
          <w:right w:w="0" w:type="dxa"/>
        </w:tblCellMar>
      </w:tblPr>
      <w:tblGrid>
        <w:gridCol w:w="124"/>
        <w:gridCol w:w="346"/>
        <w:gridCol w:w="109"/>
        <w:gridCol w:w="109"/>
        <w:gridCol w:w="4383"/>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20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383" w:type="dxa"/>
            <w:tcBorders/>
            <w:vAlign w:val="center"/>
          </w:tcPr>
          <w:p>
            <w:pPr>
              <w:pStyle w:val="TableContents"/>
              <w:bidi w:val="0"/>
              <w:spacing w:lineRule="atLeast" w:line="200" w:before="0" w:after="0"/>
              <w:jc w:val="left"/>
              <w:rPr/>
            </w:pPr>
            <w:r>
              <w:rPr>
                <w:spacing w:val="-2"/>
              </w:rPr>
              <w:t>    </w:t>
            </w:r>
            <w:r>
              <w:rPr>
                <w:spacing w:val="-2"/>
                <w:sz w:val="16"/>
              </w:rPr>
              <w:t>SL GREEN REALTY CORP. 2026 PROXY STATEMENT</w:t>
            </w:r>
            <w:r>
              <w:rPr>
                <w:sz w:val="16"/>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4315"/>
        <w:ind w:left="900" w:right="0" w:hanging="0"/>
        <w:jc w:val="left"/>
        <w:rPr>
          <w:caps w:val="false"/>
          <w:smallCaps w:val="false"/>
          <w:color w:val="000000"/>
        </w:rPr>
      </w:pPr>
      <w:r>
        <w:rPr>
          <w:caps w:val="false"/>
          <w:smallCaps w:val="false"/>
          <w:color w:val="000000"/>
        </w:rPr>
        <w:t>​</w:t>
      </w:r>
      <w:r>
        <mc:AlternateContent>
          <mc:Choice Requires="wps">
            <w:drawing>
              <wp:anchor behindDoc="0" distT="0" distB="0" distL="254000" distR="0" simplePos="0" locked="0" layoutInCell="1" allowOverlap="1" relativeHeight="52">
                <wp:simplePos x="0" y="0"/>
                <wp:positionH relativeFrom="column">
                  <wp:align>left</wp:align>
                </wp:positionH>
                <wp:positionV relativeFrom="line">
                  <wp:posOffset>635</wp:posOffset>
                </wp:positionV>
                <wp:extent cx="4584700" cy="9597390"/>
                <wp:effectExtent l="0" t="0" r="0" b="0"/>
                <wp:wrapSquare wrapText="right"/>
                <wp:docPr id="418" name="Frame161"/>
                <a:graphic xmlns:a="http://schemas.openxmlformats.org/drawingml/2006/main">
                  <a:graphicData uri="http://schemas.microsoft.com/office/word/2010/wordprocessingShape">
                    <wps:wsp>
                      <wps:cNvSpPr txBox="1"/>
                      <wps:spPr>
                        <a:xfrm>
                          <a:off x="0" y="0"/>
                          <a:ext cx="4584700" cy="9597390"/>
                        </a:xfrm>
                        <a:prstGeom prst="rect"/>
                        <a:solidFill>
                          <a:srgbClr val="FFFFFF"/>
                        </a:solidFill>
                      </wps:spPr>
                      <wps:txbx>
                        <w:txbxContent>
                          <w:p>
                            <w:pPr>
                              <w:pStyle w:val="TextBody"/>
                              <w:bidi w:val="0"/>
                              <w:spacing w:lineRule="atLeast" w:line="230" w:before="500" w:after="283"/>
                              <w:jc w:val="left"/>
                              <w:rPr/>
                            </w:pPr>
                            <w:r>
                              <w:rPr>
                                <w:spacing w:val="-2"/>
                              </w:rPr>
                              <w:t>Mr. Mathias’ extensive experience in real estate, including commercial real estate investment, and in-depth knowledge of the New York City real estate market, as well as his former role as President of the Company, provide the Board with valuable knowledge of our business and industry.</w:t>
                            </w:r>
                            <w:r>
                              <w:rPr>
                                <w:spacing w:val="4"/>
                              </w:rPr>
                              <w:t xml:space="preserve"> </w:t>
                            </w:r>
                          </w:p>
                          <w:p>
                            <w:pPr>
                              <w:pStyle w:val="TextBody"/>
                              <w:bidi w:val="0"/>
                              <w:spacing w:before="0" w:after="283"/>
                              <w:ind w:left="0" w:right="0" w:hanging="0"/>
                              <w:jc w:val="left"/>
                              <w:rPr>
                                <w:bdr w:val="single" w:sz="8" w:space="1" w:color="83AD40"/>
                              </w:rPr>
                            </w:pPr>
                            <w:r>
                              <w:rPr>
                                <w:bdr w:val="single" w:sz="8" w:space="1" w:color="83AD40"/>
                              </w:rPr>
                              <w:t>​</w:t>
                            </w:r>
                          </w:p>
                          <w:p>
                            <w:pPr>
                              <w:pStyle w:val="TextBody"/>
                              <w:bidi w:val="0"/>
                              <w:spacing w:lineRule="atLeast" w:line="260" w:before="345" w:after="283"/>
                              <w:jc w:val="left"/>
                              <w:rPr>
                                <w:b/>
                                <w:color w:val="1F2668"/>
                                <w:sz w:val="22"/>
                              </w:rPr>
                            </w:pPr>
                            <w:r>
                              <w:rPr>
                                <w:b/>
                                <w:color w:val="1F2668"/>
                                <w:spacing w:val="-2"/>
                                <w:sz w:val="22"/>
                              </w:rPr>
                              <w:t>Professional Experience</w:t>
                            </w:r>
                            <w:r>
                              <w:rPr>
                                <w:b/>
                                <w:color w:val="000000"/>
                                <w:spacing w:val="4"/>
                                <w:sz w:val="22"/>
                              </w:rPr>
                              <w:t xml:space="preserve"> </w:t>
                            </w:r>
                          </w:p>
                          <w:p>
                            <w:pPr>
                              <w:pStyle w:val="TextBody"/>
                              <w:bidi w:val="0"/>
                              <w:spacing w:lineRule="atLeast" w:line="220" w:before="102" w:after="0"/>
                              <w:ind w:left="200" w:right="0" w:hanging="0"/>
                              <w:jc w:val="left"/>
                              <w:rPr/>
                            </w:pPr>
                            <w:r>
                              <w:rPr>
                                <w:spacing w:val="-2"/>
                              </w:rPr>
                              <w:t>Founder of Edge Park Mgmt. LLC, a general investment and advisory services firm, since January 2024</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Advisor to the Company since January 2024</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President of the Company from April 2007 until December 2023</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Joined the Company in March 1999 as Vice President and was promoted to Director of Investments in 2002</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Chief Investment Officer of the Company from January 2004 until January 2011</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spacing w:val="-2"/>
                              </w:rPr>
                            </w:pPr>
                            <w:r>
                              <w:rPr>
                                <w:spacing w:val="-2"/>
                              </w:rPr>
                              <w:t xml:space="preserve">Chief Investment Officer of Gramercy Capital Corp. from August 2004 to October 2008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Worked at Capital Trust, Inc. and its predecessor, Victor Capital Group, L.P.</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Worked on the high yield and restructuring desk at Bear Stearns and Co.</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Member of the Board of Directors for the Regional Plan Association, which works to improve the prosperity, infrastructure, sustainability and quality of life of the New York-New Jersey-Connecticut metropolitan region</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B.S. degree in Economics from the Wharton School at the University of Pennsylvania</w:t>
                            </w:r>
                            <w:r>
                              <w:rPr>
                                <w:spacing w:val="4"/>
                              </w:rPr>
                              <w:t xml:space="preserve"> </w:t>
                            </w:r>
                          </w:p>
                          <w:p>
                            <w:pPr>
                              <w:pStyle w:val="TextBody"/>
                              <w:bidi w:val="0"/>
                              <w:spacing w:before="0" w:after="0"/>
                              <w:ind w:left="0" w:right="0" w:hanging="0"/>
                              <w:jc w:val="left"/>
                              <w:rPr/>
                            </w:pPr>
                            <w:r>
                              <w:rPr/>
                              <w:t>​</w:t>
                            </w:r>
                          </w:p>
                          <w:p>
                            <w:pPr>
                              <w:pStyle w:val="TextBody"/>
                              <w:bidi w:val="0"/>
                              <w:spacing w:before="0" w:after="283"/>
                              <w:ind w:left="0" w:right="0" w:hanging="0"/>
                              <w:jc w:val="left"/>
                              <w:rPr>
                                <w:bdr w:val="single" w:sz="8" w:space="1" w:color="83AD40"/>
                              </w:rPr>
                            </w:pPr>
                            <w:r>
                              <w:rPr>
                                <w:bdr w:val="single" w:sz="8" w:space="1" w:color="83AD40"/>
                              </w:rPr>
                              <w:t>​</w:t>
                            </w:r>
                          </w:p>
                          <w:p>
                            <w:pPr>
                              <w:pStyle w:val="TextBody"/>
                              <w:bidi w:val="0"/>
                              <w:spacing w:lineRule="atLeast" w:line="260" w:before="345" w:after="283"/>
                              <w:jc w:val="left"/>
                              <w:rPr>
                                <w:b/>
                                <w:color w:val="1F2668"/>
                                <w:sz w:val="22"/>
                              </w:rPr>
                            </w:pPr>
                            <w:r>
                              <w:rPr>
                                <w:b/>
                                <w:color w:val="1F2668"/>
                                <w:spacing w:val="-2"/>
                                <w:sz w:val="22"/>
                              </w:rPr>
                              <w:t>Skills, Experiences and Attributes</w:t>
                            </w:r>
                            <w:r>
                              <w:rPr>
                                <w:b/>
                                <w:color w:val="000000"/>
                                <w:spacing w:val="4"/>
                                <w:sz w:val="22"/>
                              </w:rPr>
                              <w:t xml:space="preserve"> </w:t>
                            </w:r>
                          </w:p>
                          <w:tbl>
                            <w:tblPr>
                              <w:tblW w:w="9110" w:type="dxa"/>
                              <w:jc w:val="left"/>
                              <w:tblInd w:w="0" w:type="dxa"/>
                              <w:tblLayout w:type="fixed"/>
                              <w:tblCellMar>
                                <w:top w:w="0" w:type="dxa"/>
                                <w:left w:w="0" w:type="dxa"/>
                                <w:bottom w:w="0" w:type="dxa"/>
                                <w:right w:w="0" w:type="dxa"/>
                              </w:tblCellMar>
                            </w:tblPr>
                            <w:tblGrid>
                              <w:gridCol w:w="124"/>
                              <w:gridCol w:w="731"/>
                              <w:gridCol w:w="109"/>
                              <w:gridCol w:w="109"/>
                              <w:gridCol w:w="4081"/>
                              <w:gridCol w:w="109"/>
                              <w:gridCol w:w="109"/>
                              <w:gridCol w:w="731"/>
                              <w:gridCol w:w="109"/>
                              <w:gridCol w:w="109"/>
                              <w:gridCol w:w="2635"/>
                              <w:gridCol w:w="154"/>
                            </w:tblGrid>
                            <w:tr>
                              <w:trPr/>
                              <w:tc>
                                <w:tcPr>
                                  <w:tcW w:w="124" w:type="dxa"/>
                                  <w:tcBorders/>
                                  <w:vAlign w:val="center"/>
                                </w:tcPr>
                                <w:p>
                                  <w:pPr>
                                    <w:pStyle w:val="TableContents"/>
                                    <w:bidi w:val="0"/>
                                    <w:spacing w:before="0" w:after="283"/>
                                    <w:jc w:val="left"/>
                                    <w:rPr/>
                                  </w:pPr>
                                  <w:r>
                                    <w:rPr/>
                                    <w:t>​</w:t>
                                  </w:r>
                                </w:p>
                              </w:tc>
                              <w:tc>
                                <w:tcPr>
                                  <w:tcW w:w="731" w:type="dxa"/>
                                  <w:tcBorders/>
                                  <w:vAlign w:val="center"/>
                                </w:tcPr>
                                <w:p>
                                  <w:pPr>
                                    <w:pStyle w:val="TableContents"/>
                                    <w:bidi w:val="0"/>
                                    <w:spacing w:before="0" w:after="0"/>
                                    <w:jc w:val="left"/>
                                    <w:rPr/>
                                  </w:pPr>
                                  <w:r>
                                    <w:rPr/>
                                    <w:drawing>
                                      <wp:inline distT="0" distB="0" distL="0" distR="0">
                                        <wp:extent cx="371475" cy="390525"/>
                                        <wp:effectExtent l="0" t="0" r="0" b="0"/>
                                        <wp:docPr id="419" name="Image1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 name="Image189" descr=""/>
                                                <pic:cNvPicPr>
                                                  <a:picLocks noChangeAspect="1" noChangeArrowheads="1"/>
                                                </pic:cNvPicPr>
                                              </pic:nvPicPr>
                                              <pic:blipFill>
                                                <a:blip r:embed="rId267"/>
                                                <a:stretch>
                                                  <a:fillRect/>
                                                </a:stretch>
                                              </pic:blipFill>
                                              <pic:spPr bwMode="auto">
                                                <a:xfrm>
                                                  <a:off x="0" y="0"/>
                                                  <a:ext cx="371475" cy="3905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81"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Executive Leadership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1"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71475" cy="371475"/>
                                        <wp:effectExtent l="0" t="0" r="0" b="0"/>
                                        <wp:docPr id="420" name="Image1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 name="Image190" descr=""/>
                                                <pic:cNvPicPr>
                                                  <a:picLocks noChangeAspect="1" noChangeArrowheads="1"/>
                                                </pic:cNvPicPr>
                                              </pic:nvPicPr>
                                              <pic:blipFill>
                                                <a:blip r:embed="rId268"/>
                                                <a:stretch>
                                                  <a:fillRect/>
                                                </a:stretch>
                                              </pic:blipFill>
                                              <pic:spPr bwMode="auto">
                                                <a:xfrm>
                                                  <a:off x="0" y="0"/>
                                                  <a:ext cx="371475" cy="3714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635"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Finance/Capital Markets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1"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52425" cy="409575"/>
                                        <wp:effectExtent l="0" t="0" r="0" b="0"/>
                                        <wp:docPr id="421" name="Image1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 name="Image191" descr=""/>
                                                <pic:cNvPicPr>
                                                  <a:picLocks noChangeAspect="1" noChangeArrowheads="1"/>
                                                </pic:cNvPicPr>
                                              </pic:nvPicPr>
                                              <pic:blipFill>
                                                <a:blip r:embed="rId269"/>
                                                <a:stretch>
                                                  <a:fillRect/>
                                                </a:stretch>
                                              </pic:blipFill>
                                              <pic:spPr bwMode="auto">
                                                <a:xfrm>
                                                  <a:off x="0" y="0"/>
                                                  <a:ext cx="352425" cy="4095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81"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Risk Management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1"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33375" cy="304800"/>
                                        <wp:effectExtent l="0" t="0" r="0" b="0"/>
                                        <wp:docPr id="422" name="Image1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 name="Image192" descr=""/>
                                                <pic:cNvPicPr>
                                                  <a:picLocks noChangeAspect="1" noChangeArrowheads="1"/>
                                                </pic:cNvPicPr>
                                              </pic:nvPicPr>
                                              <pic:blipFill>
                                                <a:blip r:embed="rId270"/>
                                                <a:stretch>
                                                  <a:fillRect/>
                                                </a:stretch>
                                              </pic:blipFill>
                                              <pic:spPr bwMode="auto">
                                                <a:xfrm>
                                                  <a:off x="0" y="0"/>
                                                  <a:ext cx="333375" cy="3048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635"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REIT/Real Estate Industry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1"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52425" cy="371475"/>
                                        <wp:effectExtent l="0" t="0" r="0" b="0"/>
                                        <wp:docPr id="423" name="Image1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 name="Image193" descr=""/>
                                                <pic:cNvPicPr>
                                                  <a:picLocks noChangeAspect="1" noChangeArrowheads="1"/>
                                                </pic:cNvPicPr>
                                              </pic:nvPicPr>
                                              <pic:blipFill>
                                                <a:blip r:embed="rId271"/>
                                                <a:stretch>
                                                  <a:fillRect/>
                                                </a:stretch>
                                              </pic:blipFill>
                                              <pic:spPr bwMode="auto">
                                                <a:xfrm>
                                                  <a:off x="0" y="0"/>
                                                  <a:ext cx="352425" cy="3714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81"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Experience Over Several Business Cycles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1"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52425" cy="352425"/>
                                        <wp:effectExtent l="0" t="0" r="0" b="0"/>
                                        <wp:docPr id="424" name="Image1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 name="Image194" descr=""/>
                                                <pic:cNvPicPr>
                                                  <a:picLocks noChangeAspect="1" noChangeArrowheads="1"/>
                                                </pic:cNvPicPr>
                                              </pic:nvPicPr>
                                              <pic:blipFill>
                                                <a:blip r:embed="rId272"/>
                                                <a:stretch>
                                                  <a:fillRect/>
                                                </a:stretch>
                                              </pic:blipFill>
                                              <pic:spPr bwMode="auto">
                                                <a:xfrm>
                                                  <a:off x="0" y="0"/>
                                                  <a:ext cx="352425" cy="3524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635"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Talent Management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1"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42900" cy="381000"/>
                                        <wp:effectExtent l="0" t="0" r="0" b="0"/>
                                        <wp:docPr id="425" name="Image1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 name="Image195" descr=""/>
                                                <pic:cNvPicPr>
                                                  <a:picLocks noChangeAspect="1" noChangeArrowheads="1"/>
                                                </pic:cNvPicPr>
                                              </pic:nvPicPr>
                                              <pic:blipFill>
                                                <a:blip r:embed="rId273"/>
                                                <a:stretch>
                                                  <a:fillRect/>
                                                </a:stretch>
                                              </pic:blipFill>
                                              <pic:spPr bwMode="auto">
                                                <a:xfrm>
                                                  <a:off x="0" y="0"/>
                                                  <a:ext cx="342900" cy="3810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81"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Government/Regulatory Experience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1"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635"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61pt;height:755.7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30" w:before="500" w:after="283"/>
                        <w:jc w:val="left"/>
                        <w:rPr/>
                      </w:pPr>
                      <w:r>
                        <w:rPr>
                          <w:spacing w:val="-2"/>
                        </w:rPr>
                        <w:t>Mr. Mathias’ extensive experience in real estate, including commercial real estate investment, and in-depth knowledge of the New York City real estate market, as well as his former role as President of the Company, provide the Board with valuable knowledge of our business and industry.</w:t>
                      </w:r>
                      <w:r>
                        <w:rPr>
                          <w:spacing w:val="4"/>
                        </w:rPr>
                        <w:t xml:space="preserve"> </w:t>
                      </w:r>
                    </w:p>
                    <w:p>
                      <w:pPr>
                        <w:pStyle w:val="TextBody"/>
                        <w:bidi w:val="0"/>
                        <w:spacing w:before="0" w:after="283"/>
                        <w:ind w:left="0" w:right="0" w:hanging="0"/>
                        <w:jc w:val="left"/>
                        <w:rPr>
                          <w:bdr w:val="single" w:sz="8" w:space="1" w:color="83AD40"/>
                        </w:rPr>
                      </w:pPr>
                      <w:r>
                        <w:rPr>
                          <w:bdr w:val="single" w:sz="8" w:space="1" w:color="83AD40"/>
                        </w:rPr>
                        <w:t>​</w:t>
                      </w:r>
                    </w:p>
                    <w:p>
                      <w:pPr>
                        <w:pStyle w:val="TextBody"/>
                        <w:bidi w:val="0"/>
                        <w:spacing w:lineRule="atLeast" w:line="260" w:before="345" w:after="283"/>
                        <w:jc w:val="left"/>
                        <w:rPr>
                          <w:b/>
                          <w:color w:val="1F2668"/>
                          <w:sz w:val="22"/>
                        </w:rPr>
                      </w:pPr>
                      <w:r>
                        <w:rPr>
                          <w:b/>
                          <w:color w:val="1F2668"/>
                          <w:spacing w:val="-2"/>
                          <w:sz w:val="22"/>
                        </w:rPr>
                        <w:t>Professional Experience</w:t>
                      </w:r>
                      <w:r>
                        <w:rPr>
                          <w:b/>
                          <w:color w:val="000000"/>
                          <w:spacing w:val="4"/>
                          <w:sz w:val="22"/>
                        </w:rPr>
                        <w:t xml:space="preserve"> </w:t>
                      </w:r>
                    </w:p>
                    <w:p>
                      <w:pPr>
                        <w:pStyle w:val="TextBody"/>
                        <w:bidi w:val="0"/>
                        <w:spacing w:lineRule="atLeast" w:line="220" w:before="102" w:after="0"/>
                        <w:ind w:left="200" w:right="0" w:hanging="0"/>
                        <w:jc w:val="left"/>
                        <w:rPr/>
                      </w:pPr>
                      <w:r>
                        <w:rPr>
                          <w:spacing w:val="-2"/>
                        </w:rPr>
                        <w:t>Founder of Edge Park Mgmt. LLC, a general investment and advisory services firm, since January 2024</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Advisor to the Company since January 2024</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President of the Company from April 2007 until December 2023</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Joined the Company in March 1999 as Vice President and was promoted to Director of Investments in 2002</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Chief Investment Officer of the Company from January 2004 until January 2011</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spacing w:val="-2"/>
                        </w:rPr>
                      </w:pPr>
                      <w:r>
                        <w:rPr>
                          <w:spacing w:val="-2"/>
                        </w:rPr>
                        <w:t xml:space="preserve">Chief Investment Officer of Gramercy Capital Corp. from August 2004 to October 2008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Worked at Capital Trust, Inc. and its predecessor, Victor Capital Group, L.P.</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Worked on the high yield and restructuring desk at Bear Stearns and Co.</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Member of the Board of Directors for the Regional Plan Association, which works to improve the prosperity, infrastructure, sustainability and quality of life of the New York-New Jersey-Connecticut metropolitan region</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B.S. degree in Economics from the Wharton School at the University of Pennsylvania</w:t>
                      </w:r>
                      <w:r>
                        <w:rPr>
                          <w:spacing w:val="4"/>
                        </w:rPr>
                        <w:t xml:space="preserve"> </w:t>
                      </w:r>
                    </w:p>
                    <w:p>
                      <w:pPr>
                        <w:pStyle w:val="TextBody"/>
                        <w:bidi w:val="0"/>
                        <w:spacing w:before="0" w:after="0"/>
                        <w:ind w:left="0" w:right="0" w:hanging="0"/>
                        <w:jc w:val="left"/>
                        <w:rPr/>
                      </w:pPr>
                      <w:r>
                        <w:rPr/>
                        <w:t>​</w:t>
                      </w:r>
                    </w:p>
                    <w:p>
                      <w:pPr>
                        <w:pStyle w:val="TextBody"/>
                        <w:bidi w:val="0"/>
                        <w:spacing w:before="0" w:after="283"/>
                        <w:ind w:left="0" w:right="0" w:hanging="0"/>
                        <w:jc w:val="left"/>
                        <w:rPr>
                          <w:bdr w:val="single" w:sz="8" w:space="1" w:color="83AD40"/>
                        </w:rPr>
                      </w:pPr>
                      <w:r>
                        <w:rPr>
                          <w:bdr w:val="single" w:sz="8" w:space="1" w:color="83AD40"/>
                        </w:rPr>
                        <w:t>​</w:t>
                      </w:r>
                    </w:p>
                    <w:p>
                      <w:pPr>
                        <w:pStyle w:val="TextBody"/>
                        <w:bidi w:val="0"/>
                        <w:spacing w:lineRule="atLeast" w:line="260" w:before="345" w:after="283"/>
                        <w:jc w:val="left"/>
                        <w:rPr>
                          <w:b/>
                          <w:color w:val="1F2668"/>
                          <w:sz w:val="22"/>
                        </w:rPr>
                      </w:pPr>
                      <w:r>
                        <w:rPr>
                          <w:b/>
                          <w:color w:val="1F2668"/>
                          <w:spacing w:val="-2"/>
                          <w:sz w:val="22"/>
                        </w:rPr>
                        <w:t>Skills, Experiences and Attributes</w:t>
                      </w:r>
                      <w:r>
                        <w:rPr>
                          <w:b/>
                          <w:color w:val="000000"/>
                          <w:spacing w:val="4"/>
                          <w:sz w:val="22"/>
                        </w:rPr>
                        <w:t xml:space="preserve"> </w:t>
                      </w:r>
                    </w:p>
                    <w:tbl>
                      <w:tblPr>
                        <w:tblW w:w="9110" w:type="dxa"/>
                        <w:jc w:val="left"/>
                        <w:tblInd w:w="0" w:type="dxa"/>
                        <w:tblLayout w:type="fixed"/>
                        <w:tblCellMar>
                          <w:top w:w="0" w:type="dxa"/>
                          <w:left w:w="0" w:type="dxa"/>
                          <w:bottom w:w="0" w:type="dxa"/>
                          <w:right w:w="0" w:type="dxa"/>
                        </w:tblCellMar>
                      </w:tblPr>
                      <w:tblGrid>
                        <w:gridCol w:w="124"/>
                        <w:gridCol w:w="731"/>
                        <w:gridCol w:w="109"/>
                        <w:gridCol w:w="109"/>
                        <w:gridCol w:w="4081"/>
                        <w:gridCol w:w="109"/>
                        <w:gridCol w:w="109"/>
                        <w:gridCol w:w="731"/>
                        <w:gridCol w:w="109"/>
                        <w:gridCol w:w="109"/>
                        <w:gridCol w:w="2635"/>
                        <w:gridCol w:w="154"/>
                      </w:tblGrid>
                      <w:tr>
                        <w:trPr/>
                        <w:tc>
                          <w:tcPr>
                            <w:tcW w:w="124" w:type="dxa"/>
                            <w:tcBorders/>
                            <w:vAlign w:val="center"/>
                          </w:tcPr>
                          <w:p>
                            <w:pPr>
                              <w:pStyle w:val="TableContents"/>
                              <w:bidi w:val="0"/>
                              <w:spacing w:before="0" w:after="283"/>
                              <w:jc w:val="left"/>
                              <w:rPr/>
                            </w:pPr>
                            <w:r>
                              <w:rPr/>
                              <w:t>​</w:t>
                            </w:r>
                          </w:p>
                        </w:tc>
                        <w:tc>
                          <w:tcPr>
                            <w:tcW w:w="731" w:type="dxa"/>
                            <w:tcBorders/>
                            <w:vAlign w:val="center"/>
                          </w:tcPr>
                          <w:p>
                            <w:pPr>
                              <w:pStyle w:val="TableContents"/>
                              <w:bidi w:val="0"/>
                              <w:spacing w:before="0" w:after="0"/>
                              <w:jc w:val="left"/>
                              <w:rPr/>
                            </w:pPr>
                            <w:r>
                              <w:rPr/>
                              <w:drawing>
                                <wp:inline distT="0" distB="0" distL="0" distR="0">
                                  <wp:extent cx="371475" cy="390525"/>
                                  <wp:effectExtent l="0" t="0" r="0" b="0"/>
                                  <wp:docPr id="426" name="Image1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 name="Image189" descr=""/>
                                          <pic:cNvPicPr>
                                            <a:picLocks noChangeAspect="1" noChangeArrowheads="1"/>
                                          </pic:cNvPicPr>
                                        </pic:nvPicPr>
                                        <pic:blipFill>
                                          <a:blip r:embed="rId274"/>
                                          <a:stretch>
                                            <a:fillRect/>
                                          </a:stretch>
                                        </pic:blipFill>
                                        <pic:spPr bwMode="auto">
                                          <a:xfrm>
                                            <a:off x="0" y="0"/>
                                            <a:ext cx="371475" cy="3905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81"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Executive Leadership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1"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71475" cy="371475"/>
                                  <wp:effectExtent l="0" t="0" r="0" b="0"/>
                                  <wp:docPr id="427" name="Image1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 name="Image190" descr=""/>
                                          <pic:cNvPicPr>
                                            <a:picLocks noChangeAspect="1" noChangeArrowheads="1"/>
                                          </pic:cNvPicPr>
                                        </pic:nvPicPr>
                                        <pic:blipFill>
                                          <a:blip r:embed="rId275"/>
                                          <a:stretch>
                                            <a:fillRect/>
                                          </a:stretch>
                                        </pic:blipFill>
                                        <pic:spPr bwMode="auto">
                                          <a:xfrm>
                                            <a:off x="0" y="0"/>
                                            <a:ext cx="371475" cy="3714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635"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Finance/Capital Markets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1"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52425" cy="409575"/>
                                  <wp:effectExtent l="0" t="0" r="0" b="0"/>
                                  <wp:docPr id="428" name="Image1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 name="Image191" descr=""/>
                                          <pic:cNvPicPr>
                                            <a:picLocks noChangeAspect="1" noChangeArrowheads="1"/>
                                          </pic:cNvPicPr>
                                        </pic:nvPicPr>
                                        <pic:blipFill>
                                          <a:blip r:embed="rId276"/>
                                          <a:stretch>
                                            <a:fillRect/>
                                          </a:stretch>
                                        </pic:blipFill>
                                        <pic:spPr bwMode="auto">
                                          <a:xfrm>
                                            <a:off x="0" y="0"/>
                                            <a:ext cx="352425" cy="4095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81"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Risk Management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1"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33375" cy="304800"/>
                                  <wp:effectExtent l="0" t="0" r="0" b="0"/>
                                  <wp:docPr id="429" name="Image1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 name="Image192" descr=""/>
                                          <pic:cNvPicPr>
                                            <a:picLocks noChangeAspect="1" noChangeArrowheads="1"/>
                                          </pic:cNvPicPr>
                                        </pic:nvPicPr>
                                        <pic:blipFill>
                                          <a:blip r:embed="rId277"/>
                                          <a:stretch>
                                            <a:fillRect/>
                                          </a:stretch>
                                        </pic:blipFill>
                                        <pic:spPr bwMode="auto">
                                          <a:xfrm>
                                            <a:off x="0" y="0"/>
                                            <a:ext cx="333375" cy="3048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635"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REIT/Real Estate Industry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1"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52425" cy="371475"/>
                                  <wp:effectExtent l="0" t="0" r="0" b="0"/>
                                  <wp:docPr id="430" name="Image1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 name="Image193" descr=""/>
                                          <pic:cNvPicPr>
                                            <a:picLocks noChangeAspect="1" noChangeArrowheads="1"/>
                                          </pic:cNvPicPr>
                                        </pic:nvPicPr>
                                        <pic:blipFill>
                                          <a:blip r:embed="rId278"/>
                                          <a:stretch>
                                            <a:fillRect/>
                                          </a:stretch>
                                        </pic:blipFill>
                                        <pic:spPr bwMode="auto">
                                          <a:xfrm>
                                            <a:off x="0" y="0"/>
                                            <a:ext cx="352425" cy="3714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81"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Experience Over Several Business Cycles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1"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52425" cy="352425"/>
                                  <wp:effectExtent l="0" t="0" r="0" b="0"/>
                                  <wp:docPr id="431" name="Image1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 name="Image194" descr=""/>
                                          <pic:cNvPicPr>
                                            <a:picLocks noChangeAspect="1" noChangeArrowheads="1"/>
                                          </pic:cNvPicPr>
                                        </pic:nvPicPr>
                                        <pic:blipFill>
                                          <a:blip r:embed="rId279"/>
                                          <a:stretch>
                                            <a:fillRect/>
                                          </a:stretch>
                                        </pic:blipFill>
                                        <pic:spPr bwMode="auto">
                                          <a:xfrm>
                                            <a:off x="0" y="0"/>
                                            <a:ext cx="352425" cy="3524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635"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Talent Management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1"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42900" cy="381000"/>
                                  <wp:effectExtent l="0" t="0" r="0" b="0"/>
                                  <wp:docPr id="432" name="Image1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 name="Image195" descr=""/>
                                          <pic:cNvPicPr>
                                            <a:picLocks noChangeAspect="1" noChangeArrowheads="1"/>
                                          </pic:cNvPicPr>
                                        </pic:nvPicPr>
                                        <pic:blipFill>
                                          <a:blip r:embed="rId280"/>
                                          <a:stretch>
                                            <a:fillRect/>
                                          </a:stretch>
                                        </pic:blipFill>
                                        <pic:spPr bwMode="auto">
                                          <a:xfrm>
                                            <a:off x="0" y="0"/>
                                            <a:ext cx="342900" cy="3810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81"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Government/Regulatory Experience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1"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635"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571500" distR="0" simplePos="0" locked="0" layoutInCell="1" allowOverlap="1" relativeHeight="123">
                <wp:simplePos x="0" y="0"/>
                <wp:positionH relativeFrom="column">
                  <wp:align>left</wp:align>
                </wp:positionH>
                <wp:positionV relativeFrom="line">
                  <wp:posOffset>635</wp:posOffset>
                </wp:positionV>
                <wp:extent cx="1562100" cy="5687060"/>
                <wp:effectExtent l="0" t="0" r="0" b="0"/>
                <wp:wrapSquare wrapText="right"/>
                <wp:docPr id="433" name="Frame159"/>
                <a:graphic xmlns:a="http://schemas.openxmlformats.org/drawingml/2006/main">
                  <a:graphicData uri="http://schemas.microsoft.com/office/word/2010/wordprocessingShape">
                    <wps:wsp>
                      <wps:cNvSpPr txBox="1"/>
                      <wps:spPr>
                        <a:xfrm>
                          <a:off x="0" y="0"/>
                          <a:ext cx="1562100" cy="5687060"/>
                        </a:xfrm>
                        <a:prstGeom prst="rect"/>
                        <a:solidFill>
                          <a:srgbClr val="FFFFFF"/>
                        </a:solidFill>
                      </wps:spPr>
                      <wps:txbx>
                        <w:txbxContent>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3130" w:type="dxa"/>
                              <w:jc w:val="left"/>
                              <w:tblInd w:w="0" w:type="dxa"/>
                              <w:tblLayout w:type="fixed"/>
                              <w:tblCellMar>
                                <w:top w:w="0" w:type="dxa"/>
                                <w:left w:w="0" w:type="dxa"/>
                                <w:bottom w:w="0" w:type="dxa"/>
                                <w:right w:w="0" w:type="dxa"/>
                              </w:tblCellMar>
                            </w:tblPr>
                            <w:tblGrid>
                              <w:gridCol w:w="124"/>
                              <w:gridCol w:w="109"/>
                              <w:gridCol w:w="2634"/>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634" w:type="dxa"/>
                                  <w:tcBorders/>
                                  <w:shd w:fill="1F2668" w:val="clear"/>
                                  <w:vAlign w:val="center"/>
                                </w:tcPr>
                                <w:p>
                                  <w:pPr>
                                    <w:pStyle w:val="TableContents"/>
                                    <w:bidi w:val="0"/>
                                    <w:spacing w:lineRule="atLeast" w:line="280" w:before="0" w:after="0"/>
                                    <w:ind w:left="0" w:right="160" w:hanging="0"/>
                                    <w:jc w:val="left"/>
                                    <w:rPr>
                                      <w:b/>
                                      <w:sz w:val="24"/>
                                    </w:rPr>
                                  </w:pPr>
                                  <w:r>
                                    <w:rPr>
                                      <w:b/>
                                      <w:spacing w:val="-2"/>
                                      <w:sz w:val="24"/>
                                    </w:rPr>
                                    <w:t xml:space="preserve">ANDREW W. </w:t>
                                    <w:br/>
                                    <w:t>MATHIAS</w:t>
                                  </w:r>
                                  <w:r>
                                    <w:rPr>
                                      <w:b/>
                                      <w:sz w:val="24"/>
                                    </w:rPr>
                                    <w:t xml:space="preserve">​ </w:t>
                                  </w:r>
                                </w:p>
                                <w:p>
                                  <w:pPr>
                                    <w:pStyle w:val="TableContents"/>
                                    <w:bidi w:val="0"/>
                                    <w:spacing w:before="200" w:after="283"/>
                                    <w:ind w:left="0" w:right="160" w:hanging="0"/>
                                    <w:jc w:val="left"/>
                                    <w:rPr/>
                                  </w:pPr>
                                  <w:r>
                                    <w:rPr/>
                                    <w:drawing>
                                      <wp:inline distT="0" distB="0" distL="0" distR="0">
                                        <wp:extent cx="1209675" cy="1457325"/>
                                        <wp:effectExtent l="0" t="0" r="0" b="0"/>
                                        <wp:docPr id="434" name="Image1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 name="Image188" descr=""/>
                                                <pic:cNvPicPr>
                                                  <a:picLocks noChangeAspect="1" noChangeArrowheads="1"/>
                                                </pic:cNvPicPr>
                                              </pic:nvPicPr>
                                              <pic:blipFill>
                                                <a:blip r:embed="rId281"/>
                                                <a:stretch>
                                                  <a:fillRect/>
                                                </a:stretch>
                                              </pic:blipFill>
                                              <pic:spPr bwMode="auto">
                                                <a:xfrm>
                                                  <a:off x="0" y="0"/>
                                                  <a:ext cx="1209675" cy="1457325"/>
                                                </a:xfrm>
                                                <a:prstGeom prst="rect">
                                                  <a:avLst/>
                                                </a:prstGeom>
                                              </pic:spPr>
                                            </pic:pic>
                                          </a:graphicData>
                                        </a:graphic>
                                      </wp:inline>
                                    </w:drawing>
                                  </w:r>
                                  <w:r>
                                    <w:rPr/>
                                    <w:t xml:space="preserve"> </w:t>
                                  </w:r>
                                </w:p>
                                <w:p>
                                  <w:pPr>
                                    <w:pStyle w:val="TableContents"/>
                                    <w:bidi w:val="0"/>
                                    <w:spacing w:lineRule="atLeast" w:line="180" w:before="220" w:after="283"/>
                                    <w:ind w:left="0" w:right="160" w:hanging="0"/>
                                    <w:jc w:val="left"/>
                                    <w:rPr>
                                      <w:b/>
                                    </w:rPr>
                                  </w:pPr>
                                  <w:r>
                                    <w:rPr>
                                      <w:b/>
                                      <w:spacing w:val="-2"/>
                                    </w:rPr>
                                    <w:t>Director</w:t>
                                  </w:r>
                                  <w:r>
                                    <w:rPr>
                                      <w:b/>
                                    </w:rPr>
                                    <w:t xml:space="preserve"> </w:t>
                                  </w:r>
                                </w:p>
                                <w:p>
                                  <w:pPr>
                                    <w:pStyle w:val="TableContents"/>
                                    <w:bidi w:val="0"/>
                                    <w:spacing w:lineRule="atLeast" w:line="180" w:before="160" w:after="283"/>
                                    <w:ind w:left="0" w:right="160" w:hanging="0"/>
                                    <w:jc w:val="left"/>
                                    <w:rPr/>
                                  </w:pPr>
                                  <w:r>
                                    <w:rPr>
                                      <w:spacing w:val="-2"/>
                                    </w:rPr>
                                    <w:t xml:space="preserve">Director Since: </w:t>
                                  </w:r>
                                  <w:r>
                                    <w:rPr>
                                      <w:b/>
                                      <w:spacing w:val="-2"/>
                                    </w:rPr>
                                    <w:t>2014</w:t>
                                  </w:r>
                                  <w:r>
                                    <w:rPr/>
                                    <w:t xml:space="preserve"> </w:t>
                                  </w:r>
                                </w:p>
                                <w:p>
                                  <w:pPr>
                                    <w:pStyle w:val="TableContents"/>
                                    <w:bidi w:val="0"/>
                                    <w:spacing w:lineRule="atLeast" w:line="180" w:before="160" w:after="283"/>
                                    <w:ind w:left="0" w:right="160" w:hanging="0"/>
                                    <w:jc w:val="left"/>
                                    <w:rPr/>
                                  </w:pPr>
                                  <w:r>
                                    <w:rPr>
                                      <w:spacing w:val="-2"/>
                                    </w:rPr>
                                    <w:t xml:space="preserve">Age: </w:t>
                                  </w:r>
                                  <w:r>
                                    <w:rPr>
                                      <w:b/>
                                      <w:spacing w:val="-2"/>
                                    </w:rPr>
                                    <w:t>52</w:t>
                                  </w:r>
                                  <w:r>
                                    <w:rPr/>
                                    <w:t xml:space="preserve"> </w:t>
                                  </w:r>
                                </w:p>
                                <w:p>
                                  <w:pPr>
                                    <w:pStyle w:val="TableContents"/>
                                    <w:bidi w:val="0"/>
                                    <w:spacing w:lineRule="atLeast" w:line="220" w:before="160" w:after="283"/>
                                    <w:ind w:left="0" w:right="160" w:hanging="0"/>
                                    <w:jc w:val="left"/>
                                    <w:rPr>
                                      <w:spacing w:val="-2"/>
                                    </w:rPr>
                                  </w:pPr>
                                  <w:r>
                                    <w:rPr>
                                      <w:spacing w:val="-2"/>
                                    </w:rPr>
                                    <w:t xml:space="preserve">SL Green </w:t>
                                    <w:br/>
                                    <w:t xml:space="preserve">Board Service: </w:t>
                                  </w:r>
                                </w:p>
                                <w:p>
                                  <w:pPr>
                                    <w:pStyle w:val="TableContents"/>
                                    <w:bidi w:val="0"/>
                                    <w:spacing w:lineRule="atLeast" w:line="220" w:before="160" w:after="0"/>
                                    <w:ind w:left="180" w:right="160" w:hanging="0"/>
                                    <w:jc w:val="left"/>
                                    <w:rPr>
                                      <w:b/>
                                    </w:rPr>
                                  </w:pPr>
                                  <w:r>
                                    <w:rPr>
                                      <w:b/>
                                      <w:spacing w:val="-2"/>
                                    </w:rPr>
                                    <w:t>Executive Committee</w:t>
                                  </w:r>
                                  <w:r>
                                    <w:rPr>
                                      <w:b/>
                                    </w:rPr>
                                    <w:t xml:space="preserve"> </w: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54" w:type="dxa"/>
                                  <w:tcBorders/>
                                  <w:shd w:fill="1F2668" w:val="clear"/>
                                  <w:vAlign w:val="center"/>
                                </w:tcPr>
                                <w:p>
                                  <w:pPr>
                                    <w:pStyle w:val="TableContents"/>
                                    <w:bidi w:val="0"/>
                                    <w:spacing w:before="0" w:after="283"/>
                                    <w:jc w:val="left"/>
                                    <w:rPr/>
                                  </w:pPr>
                                  <w:r>
                                    <w:rPr/>
                                    <w:t>​</w:t>
                                  </w:r>
                                </w:p>
                              </w:tc>
                            </w:tr>
                          </w:tbl>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23pt;height:447.8pt;mso-wrap-distance-left:45pt;mso-wrap-distance-right:0pt;mso-wrap-distance-top:0pt;mso-wrap-distance-bottom:0pt;margin-top:0pt;mso-position-vertical:top;mso-position-vertical-relative:text;margin-left:45pt;mso-position-horizontal:left;mso-position-horizontal-relative:text">
                <v:textbox>
                  <w:txbxContent>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3130" w:type="dxa"/>
                        <w:jc w:val="left"/>
                        <w:tblInd w:w="0" w:type="dxa"/>
                        <w:tblLayout w:type="fixed"/>
                        <w:tblCellMar>
                          <w:top w:w="0" w:type="dxa"/>
                          <w:left w:w="0" w:type="dxa"/>
                          <w:bottom w:w="0" w:type="dxa"/>
                          <w:right w:w="0" w:type="dxa"/>
                        </w:tblCellMar>
                      </w:tblPr>
                      <w:tblGrid>
                        <w:gridCol w:w="124"/>
                        <w:gridCol w:w="109"/>
                        <w:gridCol w:w="2634"/>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634" w:type="dxa"/>
                            <w:tcBorders/>
                            <w:shd w:fill="1F2668" w:val="clear"/>
                            <w:vAlign w:val="center"/>
                          </w:tcPr>
                          <w:p>
                            <w:pPr>
                              <w:pStyle w:val="TableContents"/>
                              <w:bidi w:val="0"/>
                              <w:spacing w:lineRule="atLeast" w:line="280" w:before="0" w:after="0"/>
                              <w:ind w:left="0" w:right="160" w:hanging="0"/>
                              <w:jc w:val="left"/>
                              <w:rPr>
                                <w:b/>
                                <w:sz w:val="24"/>
                              </w:rPr>
                            </w:pPr>
                            <w:r>
                              <w:rPr>
                                <w:b/>
                                <w:spacing w:val="-2"/>
                                <w:sz w:val="24"/>
                              </w:rPr>
                              <w:t xml:space="preserve">ANDREW W. </w:t>
                              <w:br/>
                              <w:t>MATHIAS</w:t>
                            </w:r>
                            <w:r>
                              <w:rPr>
                                <w:b/>
                                <w:sz w:val="24"/>
                              </w:rPr>
                              <w:t xml:space="preserve">​ </w:t>
                            </w:r>
                          </w:p>
                          <w:p>
                            <w:pPr>
                              <w:pStyle w:val="TableContents"/>
                              <w:bidi w:val="0"/>
                              <w:spacing w:before="200" w:after="283"/>
                              <w:ind w:left="0" w:right="160" w:hanging="0"/>
                              <w:jc w:val="left"/>
                              <w:rPr/>
                            </w:pPr>
                            <w:r>
                              <w:rPr/>
                              <w:drawing>
                                <wp:inline distT="0" distB="0" distL="0" distR="0">
                                  <wp:extent cx="1209675" cy="1457325"/>
                                  <wp:effectExtent l="0" t="0" r="0" b="0"/>
                                  <wp:docPr id="435" name="Image1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5" name="Image188" descr=""/>
                                          <pic:cNvPicPr>
                                            <a:picLocks noChangeAspect="1" noChangeArrowheads="1"/>
                                          </pic:cNvPicPr>
                                        </pic:nvPicPr>
                                        <pic:blipFill>
                                          <a:blip r:embed="rId282"/>
                                          <a:stretch>
                                            <a:fillRect/>
                                          </a:stretch>
                                        </pic:blipFill>
                                        <pic:spPr bwMode="auto">
                                          <a:xfrm>
                                            <a:off x="0" y="0"/>
                                            <a:ext cx="1209675" cy="1457325"/>
                                          </a:xfrm>
                                          <a:prstGeom prst="rect">
                                            <a:avLst/>
                                          </a:prstGeom>
                                        </pic:spPr>
                                      </pic:pic>
                                    </a:graphicData>
                                  </a:graphic>
                                </wp:inline>
                              </w:drawing>
                            </w:r>
                            <w:r>
                              <w:rPr/>
                              <w:t xml:space="preserve"> </w:t>
                            </w:r>
                          </w:p>
                          <w:p>
                            <w:pPr>
                              <w:pStyle w:val="TableContents"/>
                              <w:bidi w:val="0"/>
                              <w:spacing w:lineRule="atLeast" w:line="180" w:before="220" w:after="283"/>
                              <w:ind w:left="0" w:right="160" w:hanging="0"/>
                              <w:jc w:val="left"/>
                              <w:rPr>
                                <w:b/>
                              </w:rPr>
                            </w:pPr>
                            <w:r>
                              <w:rPr>
                                <w:b/>
                                <w:spacing w:val="-2"/>
                              </w:rPr>
                              <w:t>Director</w:t>
                            </w:r>
                            <w:r>
                              <w:rPr>
                                <w:b/>
                              </w:rPr>
                              <w:t xml:space="preserve"> </w:t>
                            </w:r>
                          </w:p>
                          <w:p>
                            <w:pPr>
                              <w:pStyle w:val="TableContents"/>
                              <w:bidi w:val="0"/>
                              <w:spacing w:lineRule="atLeast" w:line="180" w:before="160" w:after="283"/>
                              <w:ind w:left="0" w:right="160" w:hanging="0"/>
                              <w:jc w:val="left"/>
                              <w:rPr/>
                            </w:pPr>
                            <w:r>
                              <w:rPr>
                                <w:spacing w:val="-2"/>
                              </w:rPr>
                              <w:t xml:space="preserve">Director Since: </w:t>
                            </w:r>
                            <w:r>
                              <w:rPr>
                                <w:b/>
                                <w:spacing w:val="-2"/>
                              </w:rPr>
                              <w:t>2014</w:t>
                            </w:r>
                            <w:r>
                              <w:rPr/>
                              <w:t xml:space="preserve"> </w:t>
                            </w:r>
                          </w:p>
                          <w:p>
                            <w:pPr>
                              <w:pStyle w:val="TableContents"/>
                              <w:bidi w:val="0"/>
                              <w:spacing w:lineRule="atLeast" w:line="180" w:before="160" w:after="283"/>
                              <w:ind w:left="0" w:right="160" w:hanging="0"/>
                              <w:jc w:val="left"/>
                              <w:rPr/>
                            </w:pPr>
                            <w:r>
                              <w:rPr>
                                <w:spacing w:val="-2"/>
                              </w:rPr>
                              <w:t xml:space="preserve">Age: </w:t>
                            </w:r>
                            <w:r>
                              <w:rPr>
                                <w:b/>
                                <w:spacing w:val="-2"/>
                              </w:rPr>
                              <w:t>52</w:t>
                            </w:r>
                            <w:r>
                              <w:rPr/>
                              <w:t xml:space="preserve"> </w:t>
                            </w:r>
                          </w:p>
                          <w:p>
                            <w:pPr>
                              <w:pStyle w:val="TableContents"/>
                              <w:bidi w:val="0"/>
                              <w:spacing w:lineRule="atLeast" w:line="220" w:before="160" w:after="283"/>
                              <w:ind w:left="0" w:right="160" w:hanging="0"/>
                              <w:jc w:val="left"/>
                              <w:rPr>
                                <w:spacing w:val="-2"/>
                              </w:rPr>
                            </w:pPr>
                            <w:r>
                              <w:rPr>
                                <w:spacing w:val="-2"/>
                              </w:rPr>
                              <w:t xml:space="preserve">SL Green </w:t>
                              <w:br/>
                              <w:t xml:space="preserve">Board Service: </w:t>
                            </w:r>
                          </w:p>
                          <w:p>
                            <w:pPr>
                              <w:pStyle w:val="TableContents"/>
                              <w:bidi w:val="0"/>
                              <w:spacing w:lineRule="atLeast" w:line="220" w:before="160" w:after="0"/>
                              <w:ind w:left="180" w:right="160" w:hanging="0"/>
                              <w:jc w:val="left"/>
                              <w:rPr>
                                <w:b/>
                              </w:rPr>
                            </w:pPr>
                            <w:r>
                              <w:rPr>
                                <w:b/>
                                <w:spacing w:val="-2"/>
                              </w:rPr>
                              <w:t>Executive Committee</w:t>
                            </w:r>
                            <w:r>
                              <w:rPr>
                                <w:b/>
                              </w:rPr>
                              <w:t xml:space="preserve"> </w: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54" w:type="dxa"/>
                            <w:tcBorders/>
                            <w:shd w:fill="1F2668" w:val="clear"/>
                            <w:vAlign w:val="center"/>
                          </w:tcPr>
                          <w:p>
                            <w:pPr>
                              <w:pStyle w:val="TableContents"/>
                              <w:bidi w:val="0"/>
                              <w:spacing w:before="0" w:after="283"/>
                              <w:jc w:val="left"/>
                              <w:rPr/>
                            </w:pPr>
                            <w:r>
                              <w:rPr/>
                              <w:t>​</w:t>
                            </w:r>
                          </w:p>
                        </w:tc>
                      </w:tr>
                    </w:tbl>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64770" distB="0" distL="0" distR="0" simplePos="0" locked="0" layoutInCell="1" allowOverlap="1" relativeHeight="443">
                <wp:simplePos x="0" y="0"/>
                <wp:positionH relativeFrom="column">
                  <wp:align>left</wp:align>
                </wp:positionH>
                <wp:positionV relativeFrom="line">
                  <wp:align>top</wp:align>
                </wp:positionV>
                <wp:extent cx="127000" cy="350520"/>
                <wp:effectExtent l="0" t="0" r="0" b="0"/>
                <wp:wrapSquare wrapText="right"/>
                <wp:docPr id="436" name="Frame1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5.1pt;mso-wrap-distance-bottom:0pt;margin-top:5.1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24130" distB="0" distL="0" distR="0" simplePos="0" locked="0" layoutInCell="1" allowOverlap="1" relativeHeight="444">
                <wp:simplePos x="0" y="0"/>
                <wp:positionH relativeFrom="column">
                  <wp:align>left</wp:align>
                </wp:positionH>
                <wp:positionV relativeFrom="line">
                  <wp:align>top</wp:align>
                </wp:positionV>
                <wp:extent cx="127000" cy="350520"/>
                <wp:effectExtent l="0" t="0" r="0" b="0"/>
                <wp:wrapSquare wrapText="right"/>
                <wp:docPr id="437" name="Frame1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24130" distB="0" distL="0" distR="0" simplePos="0" locked="0" layoutInCell="1" allowOverlap="1" relativeHeight="445">
                <wp:simplePos x="0" y="0"/>
                <wp:positionH relativeFrom="column">
                  <wp:align>left</wp:align>
                </wp:positionH>
                <wp:positionV relativeFrom="line">
                  <wp:align>top</wp:align>
                </wp:positionV>
                <wp:extent cx="127000" cy="350520"/>
                <wp:effectExtent l="0" t="0" r="0" b="0"/>
                <wp:wrapSquare wrapText="right"/>
                <wp:docPr id="438" name="Frame1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24130" distB="0" distL="0" distR="0" simplePos="0" locked="0" layoutInCell="1" allowOverlap="1" relativeHeight="446">
                <wp:simplePos x="0" y="0"/>
                <wp:positionH relativeFrom="column">
                  <wp:align>left</wp:align>
                </wp:positionH>
                <wp:positionV relativeFrom="line">
                  <wp:align>top</wp:align>
                </wp:positionV>
                <wp:extent cx="127000" cy="350520"/>
                <wp:effectExtent l="0" t="0" r="0" b="0"/>
                <wp:wrapSquare wrapText="right"/>
                <wp:docPr id="439" name="Frame1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24130" distB="0" distL="0" distR="0" simplePos="0" locked="0" layoutInCell="1" allowOverlap="1" relativeHeight="447">
                <wp:simplePos x="0" y="0"/>
                <wp:positionH relativeFrom="column">
                  <wp:align>left</wp:align>
                </wp:positionH>
                <wp:positionV relativeFrom="line">
                  <wp:align>top</wp:align>
                </wp:positionV>
                <wp:extent cx="127000" cy="350520"/>
                <wp:effectExtent l="0" t="0" r="0" b="0"/>
                <wp:wrapSquare wrapText="right"/>
                <wp:docPr id="440" name="Frame1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24130" distB="0" distL="0" distR="0" simplePos="0" locked="0" layoutInCell="1" allowOverlap="1" relativeHeight="448">
                <wp:simplePos x="0" y="0"/>
                <wp:positionH relativeFrom="column">
                  <wp:align>left</wp:align>
                </wp:positionH>
                <wp:positionV relativeFrom="line">
                  <wp:align>top</wp:align>
                </wp:positionV>
                <wp:extent cx="127000" cy="350520"/>
                <wp:effectExtent l="0" t="0" r="0" b="0"/>
                <wp:wrapSquare wrapText="right"/>
                <wp:docPr id="441" name="Frame1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24130" distB="0" distL="0" distR="0" simplePos="0" locked="0" layoutInCell="1" allowOverlap="1" relativeHeight="449">
                <wp:simplePos x="0" y="0"/>
                <wp:positionH relativeFrom="column">
                  <wp:align>left</wp:align>
                </wp:positionH>
                <wp:positionV relativeFrom="line">
                  <wp:align>top</wp:align>
                </wp:positionV>
                <wp:extent cx="127000" cy="350520"/>
                <wp:effectExtent l="0" t="0" r="0" b="0"/>
                <wp:wrapSquare wrapText="right"/>
                <wp:docPr id="442" name="Frame1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24130" distB="0" distL="0" distR="0" simplePos="0" locked="0" layoutInCell="1" allowOverlap="1" relativeHeight="450">
                <wp:simplePos x="0" y="0"/>
                <wp:positionH relativeFrom="column">
                  <wp:align>left</wp:align>
                </wp:positionH>
                <wp:positionV relativeFrom="line">
                  <wp:align>top</wp:align>
                </wp:positionV>
                <wp:extent cx="127000" cy="350520"/>
                <wp:effectExtent l="0" t="0" r="0" b="0"/>
                <wp:wrapSquare wrapText="right"/>
                <wp:docPr id="443" name="Frame1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24130" distB="0" distL="0" distR="0" simplePos="0" locked="0" layoutInCell="1" allowOverlap="1" relativeHeight="451">
                <wp:simplePos x="0" y="0"/>
                <wp:positionH relativeFrom="column">
                  <wp:align>left</wp:align>
                </wp:positionH>
                <wp:positionV relativeFrom="line">
                  <wp:align>top</wp:align>
                </wp:positionV>
                <wp:extent cx="127000" cy="350520"/>
                <wp:effectExtent l="0" t="0" r="0" b="0"/>
                <wp:wrapSquare wrapText="right"/>
                <wp:docPr id="444" name="Frame1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24130" distB="0" distL="0" distR="0" simplePos="0" locked="0" layoutInCell="1" allowOverlap="1" relativeHeight="452">
                <wp:simplePos x="0" y="0"/>
                <wp:positionH relativeFrom="column">
                  <wp:align>left</wp:align>
                </wp:positionH>
                <wp:positionV relativeFrom="line">
                  <wp:align>top</wp:align>
                </wp:positionV>
                <wp:extent cx="127000" cy="350520"/>
                <wp:effectExtent l="0" t="0" r="0" b="0"/>
                <wp:wrapSquare wrapText="right"/>
                <wp:docPr id="445" name="Frame1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101600" distB="0" distL="0" distR="0" simplePos="0" locked="0" layoutInCell="1" allowOverlap="1" relativeHeight="442">
                <wp:simplePos x="0" y="0"/>
                <wp:positionH relativeFrom="column">
                  <wp:align>left</wp:align>
                </wp:positionH>
                <wp:positionV relativeFrom="line">
                  <wp:align>top</wp:align>
                </wp:positionV>
                <wp:extent cx="114300" cy="350520"/>
                <wp:effectExtent l="0" t="0" r="0" b="0"/>
                <wp:wrapSquare wrapText="right"/>
                <wp:docPr id="446" name="Frame160"/>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
                        </w:rPr>
                        <w:br/>
                      </w:r>
                    </w:p>
                  </w:txbxContent>
                </v:textbox>
                <w10:wrap type="square" side="right"/>
              </v:rect>
            </w:pict>
          </mc:Fallback>
        </mc:AlternateConten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8095" w:type="dxa"/>
        <w:jc w:val="left"/>
        <w:tblInd w:w="900" w:type="dxa"/>
        <w:tblLayout w:type="fixed"/>
        <w:tblCellMar>
          <w:top w:w="0" w:type="dxa"/>
          <w:left w:w="0" w:type="dxa"/>
          <w:bottom w:w="0" w:type="dxa"/>
          <w:right w:w="0" w:type="dxa"/>
        </w:tblCellMar>
      </w:tblPr>
      <w:tblGrid>
        <w:gridCol w:w="124"/>
        <w:gridCol w:w="7253"/>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7253" w:type="dxa"/>
            <w:tcBorders/>
            <w:vAlign w:val="center"/>
          </w:tcPr>
          <w:p>
            <w:pPr>
              <w:pStyle w:val="TableContents"/>
              <w:bidi w:val="0"/>
              <w:spacing w:lineRule="atLeast" w:line="200" w:before="0" w:after="0"/>
              <w:jc w:val="left"/>
              <w:rPr/>
            </w:pPr>
            <w:r>
              <w:rPr>
                <w:spacing w:val="-2"/>
              </w:rPr>
              <w:t>OUR BOARD OF DIRECTORS AND CORPORATE GOVERNANCE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color w:val="1F2668"/>
                <w:sz w:val="24"/>
              </w:rPr>
            </w:pPr>
            <w:r>
              <w:rPr>
                <w:color w:val="1F2668"/>
                <w:sz w:val="24"/>
              </w:rPr>
              <w:t>21</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300" w:before="560" w:after="154"/>
        <w:ind w:left="900" w:right="0" w:hanging="0"/>
        <w:jc w:val="left"/>
        <w:rPr>
          <w:rFonts w:ascii="Arial;Helvetica;sans-serif" w:hAnsi="Arial;Helvetica;sans-serif"/>
          <w:b/>
          <w:i w:val="false"/>
          <w:caps w:val="false"/>
          <w:smallCaps w:val="false"/>
          <w:color w:val="1F2668"/>
          <w:sz w:val="26"/>
        </w:rPr>
      </w:pPr>
      <w:r>
        <w:rPr>
          <w:rFonts w:ascii="Arial;Helvetica;sans-serif" w:hAnsi="Arial;Helvetica;sans-serif"/>
          <w:b/>
          <w:i w:val="false"/>
          <w:caps w:val="false"/>
          <w:smallCaps w:val="false"/>
          <w:color w:val="1F2668"/>
          <w:spacing w:val="-3"/>
          <w:sz w:val="26"/>
        </w:rPr>
        <w:t>Board Refreshment</w:t>
      </w:r>
      <w:r>
        <w:rPr>
          <w:rFonts w:ascii="Arial;Helvetica;sans-serif" w:hAnsi="Arial;Helvetica;sans-serif"/>
          <w:b/>
          <w:i w:val="false"/>
          <w:caps w:val="false"/>
          <w:smallCaps w:val="false"/>
          <w:color w:val="000000"/>
          <w:spacing w:val="5"/>
          <w:sz w:val="26"/>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Led by our Nominating and Corporate Governance Committee, the Board engages in ongoing director succession planning, including a focus on refreshing the membership and leadership of the Board and its Committees. In March 2022, we added Carol N. Brown to our Board, and in March 2025, we added Peggy Lamb to our Board, as independent directors.</w:t>
      </w:r>
      <w:r>
        <w:rPr>
          <w:rFonts w:ascii="Arial;Helvetica;sans-serif" w:hAnsi="Arial;Helvetica;sans-serif"/>
          <w:b w:val="false"/>
          <w:i w:val="false"/>
          <w:caps w:val="false"/>
          <w:smallCaps w:val="false"/>
          <w:color w:val="000000"/>
          <w:spacing w:val="4"/>
          <w:sz w:val="18"/>
        </w:rPr>
        <w:t xml:space="preserve"> </w:t>
      </w:r>
    </w:p>
    <w:tbl>
      <w:tblPr>
        <w:tblW w:w="9305" w:type="dxa"/>
        <w:jc w:val="left"/>
        <w:tblInd w:w="900" w:type="dxa"/>
        <w:tblLayout w:type="fixed"/>
        <w:tblCellMar>
          <w:top w:w="0" w:type="dxa"/>
          <w:left w:w="0" w:type="dxa"/>
          <w:bottom w:w="0" w:type="dxa"/>
          <w:right w:w="0" w:type="dxa"/>
        </w:tblCellMar>
      </w:tblPr>
      <w:tblGrid>
        <w:gridCol w:w="124"/>
        <w:gridCol w:w="837"/>
        <w:gridCol w:w="109"/>
        <w:gridCol w:w="109"/>
        <w:gridCol w:w="109"/>
        <w:gridCol w:w="1689"/>
        <w:gridCol w:w="109"/>
        <w:gridCol w:w="109"/>
        <w:gridCol w:w="109"/>
        <w:gridCol w:w="837"/>
        <w:gridCol w:w="109"/>
        <w:gridCol w:w="109"/>
        <w:gridCol w:w="109"/>
        <w:gridCol w:w="1564"/>
        <w:gridCol w:w="109"/>
        <w:gridCol w:w="109"/>
        <w:gridCol w:w="109"/>
        <w:gridCol w:w="837"/>
        <w:gridCol w:w="109"/>
        <w:gridCol w:w="109"/>
        <w:gridCol w:w="109"/>
        <w:gridCol w:w="1624"/>
        <w:gridCol w:w="158"/>
      </w:tblGrid>
      <w:tr>
        <w:trPr/>
        <w:tc>
          <w:tcPr>
            <w:tcW w:w="124" w:type="dxa"/>
            <w:tcBorders/>
            <w:vAlign w:val="center"/>
          </w:tcPr>
          <w:p>
            <w:pPr>
              <w:pStyle w:val="TableContents"/>
              <w:bidi w:val="0"/>
              <w:spacing w:before="0" w:after="283"/>
              <w:jc w:val="left"/>
              <w:rPr/>
            </w:pPr>
            <w:r>
              <w:rPr/>
              <w:t>​</w:t>
            </w:r>
          </w:p>
        </w:tc>
        <w:tc>
          <w:tcPr>
            <w:tcW w:w="837" w:type="dxa"/>
            <w:tcBorders/>
            <w:vAlign w:val="center"/>
          </w:tcPr>
          <w:p>
            <w:pPr>
              <w:pStyle w:val="TableContents"/>
              <w:bidi w:val="0"/>
              <w:spacing w:before="0" w:after="0"/>
              <w:jc w:val="left"/>
              <w:rPr/>
            </w:pPr>
            <w:r>
              <w:rPr/>
              <w:drawing>
                <wp:inline distT="0" distB="0" distL="0" distR="0">
                  <wp:extent cx="381000" cy="381000"/>
                  <wp:effectExtent l="0" t="0" r="0" b="0"/>
                  <wp:docPr id="447" name="Image1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7" name="Image196" descr=""/>
                          <pic:cNvPicPr>
                            <a:picLocks noChangeAspect="1" noChangeArrowheads="1"/>
                          </pic:cNvPicPr>
                        </pic:nvPicPr>
                        <pic:blipFill>
                          <a:blip r:embed="rId283"/>
                          <a:stretch>
                            <a:fillRect/>
                          </a:stretch>
                        </pic:blipFill>
                        <pic:spPr bwMode="auto">
                          <a:xfrm>
                            <a:off x="0" y="0"/>
                            <a:ext cx="381000" cy="3810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89" w:type="dxa"/>
            <w:tcBorders/>
            <w:vAlign w:val="center"/>
          </w:tcPr>
          <w:p>
            <w:pPr>
              <w:pStyle w:val="TableContents"/>
              <w:bidi w:val="0"/>
              <w:spacing w:lineRule="atLeast" w:line="300" w:before="0" w:after="0"/>
              <w:jc w:val="left"/>
              <w:rPr>
                <w:b/>
                <w:color w:val="1F2668"/>
                <w:sz w:val="26"/>
              </w:rPr>
            </w:pPr>
            <w:r>
              <w:rPr>
                <w:b/>
                <w:color w:val="1F2668"/>
                <w:spacing w:val="-3"/>
                <w:sz w:val="26"/>
              </w:rPr>
              <w:t>Board Composition</w:t>
            </w:r>
            <w:r>
              <w:rPr>
                <w:b/>
                <w:color w:val="1F2668"/>
                <w:sz w:val="26"/>
              </w:rPr>
              <w:t xml:space="preserve"> </w:t>
            </w:r>
          </w:p>
          <w:p>
            <w:pPr>
              <w:pStyle w:val="TableContents"/>
              <w:bidi w:val="0"/>
              <w:spacing w:lineRule="atLeast" w:line="210" w:before="150" w:after="283"/>
              <w:jc w:val="left"/>
              <w:rPr>
                <w:spacing w:val="-2"/>
              </w:rPr>
            </w:pPr>
            <w:r>
              <w:rPr>
                <w:spacing w:val="-2"/>
              </w:rPr>
              <w:t xml:space="preserve">Our Board nominees have varied knowledge, skills, experience, perspectives and backgrounds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3AD40"/>
            </w:tcBorders>
            <w:shd w:fill="83AD4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37" w:type="dxa"/>
            <w:tcBorders/>
            <w:vAlign w:val="center"/>
          </w:tcPr>
          <w:p>
            <w:pPr>
              <w:pStyle w:val="TableContents"/>
              <w:bidi w:val="0"/>
              <w:spacing w:before="0" w:after="0"/>
              <w:jc w:val="center"/>
              <w:rPr/>
            </w:pPr>
            <w:r>
              <w:rPr/>
              <w:drawing>
                <wp:inline distT="0" distB="0" distL="0" distR="0">
                  <wp:extent cx="419100" cy="419100"/>
                  <wp:effectExtent l="0" t="0" r="0" b="0"/>
                  <wp:docPr id="448" name="Image1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 name="Image197" descr=""/>
                          <pic:cNvPicPr>
                            <a:picLocks noChangeAspect="1" noChangeArrowheads="1"/>
                          </pic:cNvPicPr>
                        </pic:nvPicPr>
                        <pic:blipFill>
                          <a:blip r:embed="rId284"/>
                          <a:stretch>
                            <a:fillRect/>
                          </a:stretch>
                        </pic:blipFill>
                        <pic:spPr bwMode="auto">
                          <a:xfrm>
                            <a:off x="0" y="0"/>
                            <a:ext cx="419100" cy="4191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64" w:type="dxa"/>
            <w:tcBorders/>
            <w:vAlign w:val="center"/>
          </w:tcPr>
          <w:p>
            <w:pPr>
              <w:pStyle w:val="TableContents"/>
              <w:bidi w:val="0"/>
              <w:spacing w:lineRule="atLeast" w:line="290" w:before="0" w:after="0"/>
              <w:jc w:val="left"/>
              <w:rPr>
                <w:b/>
                <w:color w:val="1F2668"/>
                <w:sz w:val="26"/>
              </w:rPr>
            </w:pPr>
            <w:r>
              <w:rPr>
                <w:b/>
                <w:color w:val="1F2668"/>
                <w:spacing w:val="-3"/>
                <w:sz w:val="26"/>
              </w:rPr>
              <w:t>Experience</w:t>
            </w:r>
            <w:r>
              <w:rPr>
                <w:b/>
                <w:color w:val="1F2668"/>
                <w:sz w:val="26"/>
              </w:rPr>
              <w:t xml:space="preserve"> </w:t>
            </w:r>
          </w:p>
          <w:p>
            <w:pPr>
              <w:pStyle w:val="TableContents"/>
              <w:bidi w:val="0"/>
              <w:spacing w:lineRule="atLeast" w:line="210" w:before="150" w:after="283"/>
              <w:jc w:val="left"/>
              <w:rPr>
                <w:spacing w:val="-2"/>
              </w:rPr>
            </w:pPr>
            <w:r>
              <w:rPr>
                <w:spacing w:val="-2"/>
              </w:rPr>
              <w:t xml:space="preserve">Our Board nominees have broad experience serving on public boards in industries relevant to the Company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3AD40"/>
            </w:tcBorders>
            <w:shd w:fill="83AD4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37" w:type="dxa"/>
            <w:tcBorders/>
            <w:vAlign w:val="center"/>
          </w:tcPr>
          <w:p>
            <w:pPr>
              <w:pStyle w:val="TableContents"/>
              <w:bidi w:val="0"/>
              <w:spacing w:before="0" w:after="0"/>
              <w:jc w:val="left"/>
              <w:rPr/>
            </w:pPr>
            <w:r>
              <w:rPr/>
              <w:drawing>
                <wp:inline distT="0" distB="0" distL="0" distR="0">
                  <wp:extent cx="323850" cy="523875"/>
                  <wp:effectExtent l="0" t="0" r="0" b="0"/>
                  <wp:docPr id="449" name="Image1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 name="Image198" descr=""/>
                          <pic:cNvPicPr>
                            <a:picLocks noChangeAspect="1" noChangeArrowheads="1"/>
                          </pic:cNvPicPr>
                        </pic:nvPicPr>
                        <pic:blipFill>
                          <a:blip r:embed="rId285"/>
                          <a:stretch>
                            <a:fillRect/>
                          </a:stretch>
                        </pic:blipFill>
                        <pic:spPr bwMode="auto">
                          <a:xfrm>
                            <a:off x="0" y="0"/>
                            <a:ext cx="323850" cy="5238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24" w:type="dxa"/>
            <w:tcBorders/>
            <w:vAlign w:val="center"/>
          </w:tcPr>
          <w:p>
            <w:pPr>
              <w:pStyle w:val="TableContents"/>
              <w:bidi w:val="0"/>
              <w:spacing w:lineRule="atLeast" w:line="290" w:before="0" w:after="0"/>
              <w:jc w:val="left"/>
              <w:rPr>
                <w:b/>
                <w:color w:val="1F2668"/>
                <w:sz w:val="26"/>
              </w:rPr>
            </w:pPr>
            <w:r>
              <w:rPr>
                <w:b/>
                <w:color w:val="1F2668"/>
                <w:spacing w:val="-3"/>
                <w:sz w:val="26"/>
              </w:rPr>
              <w:t>Leadership</w:t>
            </w:r>
            <w:r>
              <w:rPr>
                <w:b/>
                <w:color w:val="1F2668"/>
                <w:sz w:val="26"/>
              </w:rPr>
              <w:t xml:space="preserve"> </w:t>
            </w:r>
          </w:p>
          <w:p>
            <w:pPr>
              <w:pStyle w:val="TableContents"/>
              <w:bidi w:val="0"/>
              <w:spacing w:lineRule="atLeast" w:line="210" w:before="150" w:after="283"/>
              <w:jc w:val="left"/>
              <w:rPr>
                <w:spacing w:val="-2"/>
              </w:rPr>
            </w:pPr>
            <w:r>
              <w:rPr>
                <w:spacing w:val="-2"/>
              </w:rPr>
              <w:t xml:space="preserve">Our Board nominees have strong corporate leadership backgrounds such as being CEO, CFO or holding other Executive positions </w:t>
            </w:r>
          </w:p>
        </w:tc>
        <w:tc>
          <w:tcPr>
            <w:tcW w:w="158" w:type="dxa"/>
            <w:tcBorders/>
            <w:vAlign w:val="center"/>
          </w:tcPr>
          <w:p>
            <w:pPr>
              <w:pStyle w:val="TableContents"/>
              <w:bidi w:val="0"/>
              <w:spacing w:before="0" w:after="283"/>
              <w:jc w:val="left"/>
              <w:rPr/>
            </w:pPr>
            <w:r>
              <w:rPr/>
              <w:t>​</w:t>
            </w:r>
          </w:p>
        </w:tc>
      </w:tr>
      <w:tr>
        <w:trPr/>
        <w:tc>
          <w:tcPr>
            <w:tcW w:w="124" w:type="dxa"/>
            <w:tcBorders>
              <w:bottom w:val="single" w:sz="6" w:space="0" w:color="83AD40"/>
            </w:tcBorders>
            <w:tcMar>
              <w:bottom w:w="28" w:type="dxa"/>
            </w:tcMar>
            <w:vAlign w:val="center"/>
          </w:tcPr>
          <w:p>
            <w:pPr>
              <w:pStyle w:val="TableContents"/>
              <w:bidi w:val="0"/>
              <w:spacing w:before="0" w:after="283"/>
              <w:jc w:val="left"/>
              <w:rPr/>
            </w:pPr>
            <w:r>
              <w:rPr/>
              <w:t>​</w:t>
            </w:r>
          </w:p>
        </w:tc>
        <w:tc>
          <w:tcPr>
            <w:tcW w:w="837" w:type="dxa"/>
            <w:tcBorders>
              <w:bottom w:val="single" w:sz="6" w:space="0" w:color="83AD40"/>
            </w:tcBorders>
            <w:tcMar>
              <w:bottom w:w="28" w:type="dxa"/>
            </w:tcMar>
            <w:vAlign w:val="center"/>
          </w:tcPr>
          <w:p>
            <w:pPr>
              <w:pStyle w:val="TableContents"/>
              <w:bidi w:val="0"/>
              <w:spacing w:before="0" w:after="0"/>
              <w:jc w:val="left"/>
              <w:rPr/>
            </w:pPr>
            <w:r>
              <w:rPr/>
              <w:drawing>
                <wp:inline distT="0" distB="0" distL="0" distR="0">
                  <wp:extent cx="476250" cy="476250"/>
                  <wp:effectExtent l="0" t="0" r="0" b="0"/>
                  <wp:docPr id="450" name="Image1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 name="Image199" descr=""/>
                          <pic:cNvPicPr>
                            <a:picLocks noChangeAspect="1" noChangeArrowheads="1"/>
                          </pic:cNvPicPr>
                        </pic:nvPicPr>
                        <pic:blipFill>
                          <a:blip r:embed="rId286"/>
                          <a:stretch>
                            <a:fillRect/>
                          </a:stretch>
                        </pic:blipFill>
                        <pic:spPr bwMode="auto">
                          <a:xfrm>
                            <a:off x="0" y="0"/>
                            <a:ext cx="476250" cy="476250"/>
                          </a:xfrm>
                          <a:prstGeom prst="rect">
                            <a:avLst/>
                          </a:prstGeom>
                        </pic:spPr>
                      </pic:pic>
                    </a:graphicData>
                  </a:graphic>
                </wp:inline>
              </w:drawing>
            </w:r>
            <w:r>
              <w:rPr/>
              <w:t xml:space="preserve"> </w:t>
            </w:r>
          </w:p>
        </w:tc>
        <w:tc>
          <w:tcPr>
            <w:tcW w:w="109" w:type="dxa"/>
            <w:tcBorders>
              <w:bottom w:val="single" w:sz="6" w:space="0" w:color="83AD40"/>
            </w:tcBorders>
            <w:tcMar>
              <w:bottom w:w="28" w:type="dxa"/>
            </w:tcMar>
            <w:vAlign w:val="center"/>
          </w:tcPr>
          <w:p>
            <w:pPr>
              <w:pStyle w:val="TableContents"/>
              <w:bidi w:val="0"/>
              <w:spacing w:before="0" w:after="283"/>
              <w:jc w:val="left"/>
              <w:rPr/>
            </w:pPr>
            <w:r>
              <w:rPr/>
              <w:t>​</w:t>
            </w:r>
          </w:p>
        </w:tc>
        <w:tc>
          <w:tcPr>
            <w:tcW w:w="109" w:type="dxa"/>
            <w:tcBorders>
              <w:bottom w:val="single" w:sz="6" w:space="0" w:color="83AD40"/>
            </w:tcBorders>
            <w:tcMar>
              <w:bottom w:w="28" w:type="dxa"/>
            </w:tcMar>
            <w:vAlign w:val="center"/>
          </w:tcPr>
          <w:p>
            <w:pPr>
              <w:pStyle w:val="TableContents"/>
              <w:bidi w:val="0"/>
              <w:spacing w:before="0" w:after="283"/>
              <w:jc w:val="left"/>
              <w:rPr/>
            </w:pPr>
            <w:r>
              <w:rPr/>
              <w:t>​</w:t>
            </w:r>
          </w:p>
        </w:tc>
        <w:tc>
          <w:tcPr>
            <w:tcW w:w="109" w:type="dxa"/>
            <w:tcBorders>
              <w:bottom w:val="single" w:sz="6" w:space="0" w:color="83AD40"/>
            </w:tcBorders>
            <w:tcMar>
              <w:bottom w:w="28" w:type="dxa"/>
            </w:tcMar>
            <w:vAlign w:val="center"/>
          </w:tcPr>
          <w:p>
            <w:pPr>
              <w:pStyle w:val="TableContents"/>
              <w:bidi w:val="0"/>
              <w:spacing w:before="0" w:after="283"/>
              <w:jc w:val="left"/>
              <w:rPr/>
            </w:pPr>
            <w:r>
              <w:rPr/>
              <w:t>​</w:t>
            </w:r>
          </w:p>
        </w:tc>
        <w:tc>
          <w:tcPr>
            <w:tcW w:w="1689" w:type="dxa"/>
            <w:tcBorders>
              <w:bottom w:val="single" w:sz="6" w:space="0" w:color="83AD40"/>
            </w:tcBorders>
            <w:tcMar>
              <w:bottom w:w="420" w:type="dxa"/>
            </w:tcMar>
            <w:vAlign w:val="center"/>
          </w:tcPr>
          <w:p>
            <w:pPr>
              <w:pStyle w:val="TableContents"/>
              <w:bidi w:val="0"/>
              <w:spacing w:lineRule="atLeast" w:line="390" w:before="0" w:after="283"/>
              <w:jc w:val="left"/>
              <w:rPr>
                <w:b w:val="false"/>
                <w:sz w:val="36"/>
              </w:rPr>
            </w:pPr>
            <w:r>
              <w:rPr>
                <w:b w:val="false"/>
                <w:sz w:val="36"/>
              </w:rPr>
              <w:t>38%​</w:t>
            </w:r>
          </w:p>
          <w:p>
            <w:pPr>
              <w:pStyle w:val="TableContents"/>
              <w:bidi w:val="0"/>
              <w:spacing w:lineRule="atLeast" w:line="210" w:before="30" w:after="283"/>
              <w:jc w:val="left"/>
              <w:rPr/>
            </w:pPr>
            <w:r>
              <w:rPr>
                <w:spacing w:val="-2"/>
              </w:rPr>
              <w:t>of our independent Board nominees are diverse, including gender and racial diversity</w:t>
            </w:r>
            <w:r>
              <w:rPr/>
              <w:t xml:space="preserve"> </w:t>
            </w:r>
          </w:p>
        </w:tc>
        <w:tc>
          <w:tcPr>
            <w:tcW w:w="109" w:type="dxa"/>
            <w:tcBorders>
              <w:bottom w:val="single" w:sz="6" w:space="0" w:color="83AD40"/>
            </w:tcBorders>
            <w:tcMar>
              <w:bottom w:w="28" w:type="dxa"/>
            </w:tcMar>
            <w:vAlign w:val="center"/>
          </w:tcPr>
          <w:p>
            <w:pPr>
              <w:pStyle w:val="TableContents"/>
              <w:bidi w:val="0"/>
              <w:spacing w:before="0" w:after="283"/>
              <w:jc w:val="left"/>
              <w:rPr/>
            </w:pPr>
            <w:r>
              <w:rPr/>
              <w:t>​</w:t>
            </w:r>
          </w:p>
        </w:tc>
        <w:tc>
          <w:tcPr>
            <w:tcW w:w="109" w:type="dxa"/>
            <w:tcBorders>
              <w:bottom w:val="single" w:sz="2" w:space="0" w:color="83AD40"/>
            </w:tcBorders>
            <w:shd w:fill="83AD40" w:val="clear"/>
            <w:tcMar>
              <w:bottom w:w="28" w:type="dxa"/>
            </w:tcMar>
            <w:vAlign w:val="center"/>
          </w:tcPr>
          <w:p>
            <w:pPr>
              <w:pStyle w:val="TableContents"/>
              <w:bidi w:val="0"/>
              <w:spacing w:before="0" w:after="283"/>
              <w:jc w:val="left"/>
              <w:rPr/>
            </w:pPr>
            <w:r>
              <w:rPr/>
              <w:t>​</w:t>
            </w:r>
          </w:p>
        </w:tc>
        <w:tc>
          <w:tcPr>
            <w:tcW w:w="109" w:type="dxa"/>
            <w:tcBorders>
              <w:bottom w:val="single" w:sz="6" w:space="0" w:color="83AD40"/>
            </w:tcBorders>
            <w:tcMar>
              <w:bottom w:w="28" w:type="dxa"/>
            </w:tcMar>
            <w:vAlign w:val="center"/>
          </w:tcPr>
          <w:p>
            <w:pPr>
              <w:pStyle w:val="TableContents"/>
              <w:bidi w:val="0"/>
              <w:spacing w:before="0" w:after="283"/>
              <w:jc w:val="left"/>
              <w:rPr/>
            </w:pPr>
            <w:r>
              <w:rPr/>
              <w:t>​</w:t>
            </w:r>
          </w:p>
        </w:tc>
        <w:tc>
          <w:tcPr>
            <w:tcW w:w="837" w:type="dxa"/>
            <w:tcBorders>
              <w:bottom w:val="single" w:sz="6" w:space="0" w:color="83AD40"/>
            </w:tcBorders>
            <w:tcMar>
              <w:bottom w:w="28" w:type="dxa"/>
            </w:tcMar>
            <w:vAlign w:val="center"/>
          </w:tcPr>
          <w:p>
            <w:pPr>
              <w:pStyle w:val="TableContents"/>
              <w:bidi w:val="0"/>
              <w:spacing w:before="0" w:after="0"/>
              <w:jc w:val="left"/>
              <w:rPr/>
            </w:pPr>
            <w:r>
              <w:rPr/>
              <w:drawing>
                <wp:inline distT="0" distB="0" distL="0" distR="0">
                  <wp:extent cx="476250" cy="476250"/>
                  <wp:effectExtent l="0" t="0" r="0" b="0"/>
                  <wp:docPr id="451" name="Image2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1" name="Image200" descr=""/>
                          <pic:cNvPicPr>
                            <a:picLocks noChangeAspect="1" noChangeArrowheads="1"/>
                          </pic:cNvPicPr>
                        </pic:nvPicPr>
                        <pic:blipFill>
                          <a:blip r:embed="rId287"/>
                          <a:stretch>
                            <a:fillRect/>
                          </a:stretch>
                        </pic:blipFill>
                        <pic:spPr bwMode="auto">
                          <a:xfrm>
                            <a:off x="0" y="0"/>
                            <a:ext cx="476250" cy="476250"/>
                          </a:xfrm>
                          <a:prstGeom prst="rect">
                            <a:avLst/>
                          </a:prstGeom>
                        </pic:spPr>
                      </pic:pic>
                    </a:graphicData>
                  </a:graphic>
                </wp:inline>
              </w:drawing>
            </w:r>
            <w:r>
              <w:rPr/>
              <w:t xml:space="preserve"> </w:t>
            </w:r>
          </w:p>
        </w:tc>
        <w:tc>
          <w:tcPr>
            <w:tcW w:w="109" w:type="dxa"/>
            <w:tcBorders>
              <w:bottom w:val="single" w:sz="6" w:space="0" w:color="83AD40"/>
            </w:tcBorders>
            <w:tcMar>
              <w:bottom w:w="28" w:type="dxa"/>
            </w:tcMar>
            <w:vAlign w:val="center"/>
          </w:tcPr>
          <w:p>
            <w:pPr>
              <w:pStyle w:val="TableContents"/>
              <w:bidi w:val="0"/>
              <w:spacing w:before="0" w:after="283"/>
              <w:jc w:val="left"/>
              <w:rPr/>
            </w:pPr>
            <w:r>
              <w:rPr/>
              <w:t>​</w:t>
            </w:r>
          </w:p>
        </w:tc>
        <w:tc>
          <w:tcPr>
            <w:tcW w:w="109" w:type="dxa"/>
            <w:tcBorders>
              <w:bottom w:val="single" w:sz="6" w:space="0" w:color="83AD40"/>
            </w:tcBorders>
            <w:tcMar>
              <w:bottom w:w="28" w:type="dxa"/>
            </w:tcMar>
            <w:vAlign w:val="center"/>
          </w:tcPr>
          <w:p>
            <w:pPr>
              <w:pStyle w:val="TableContents"/>
              <w:bidi w:val="0"/>
              <w:spacing w:before="0" w:after="283"/>
              <w:jc w:val="left"/>
              <w:rPr/>
            </w:pPr>
            <w:r>
              <w:rPr/>
              <w:t>​</w:t>
            </w:r>
          </w:p>
        </w:tc>
        <w:tc>
          <w:tcPr>
            <w:tcW w:w="109" w:type="dxa"/>
            <w:tcBorders>
              <w:bottom w:val="single" w:sz="6" w:space="0" w:color="83AD40"/>
            </w:tcBorders>
            <w:tcMar>
              <w:bottom w:w="28" w:type="dxa"/>
            </w:tcMar>
            <w:vAlign w:val="center"/>
          </w:tcPr>
          <w:p>
            <w:pPr>
              <w:pStyle w:val="TableContents"/>
              <w:bidi w:val="0"/>
              <w:spacing w:before="0" w:after="283"/>
              <w:jc w:val="left"/>
              <w:rPr/>
            </w:pPr>
            <w:r>
              <w:rPr/>
              <w:t>​</w:t>
            </w:r>
          </w:p>
        </w:tc>
        <w:tc>
          <w:tcPr>
            <w:tcW w:w="1564" w:type="dxa"/>
            <w:tcBorders>
              <w:bottom w:val="single" w:sz="6" w:space="0" w:color="83AD40"/>
            </w:tcBorders>
            <w:tcMar>
              <w:bottom w:w="420" w:type="dxa"/>
            </w:tcMar>
            <w:vAlign w:val="center"/>
          </w:tcPr>
          <w:p>
            <w:pPr>
              <w:pStyle w:val="TableContents"/>
              <w:bidi w:val="0"/>
              <w:spacing w:lineRule="atLeast" w:line="390" w:before="0" w:after="283"/>
              <w:jc w:val="left"/>
              <w:rPr>
                <w:b w:val="false"/>
                <w:sz w:val="36"/>
              </w:rPr>
            </w:pPr>
            <w:r>
              <w:rPr>
                <w:b w:val="false"/>
                <w:sz w:val="36"/>
              </w:rPr>
              <w:t>50%</w:t>
            </w:r>
          </w:p>
          <w:p>
            <w:pPr>
              <w:pStyle w:val="TableContents"/>
              <w:bidi w:val="0"/>
              <w:spacing w:lineRule="atLeast" w:line="210" w:before="30" w:after="283"/>
              <w:jc w:val="left"/>
              <w:rPr/>
            </w:pPr>
            <w:r>
              <w:rPr>
                <w:spacing w:val="-2"/>
              </w:rPr>
              <w:t>of our Board nominees currently serve or have served on the Boards of other publicly traded companies</w:t>
            </w:r>
            <w:r>
              <w:rPr/>
              <w:t xml:space="preserve"> </w:t>
            </w:r>
          </w:p>
        </w:tc>
        <w:tc>
          <w:tcPr>
            <w:tcW w:w="109" w:type="dxa"/>
            <w:tcBorders>
              <w:bottom w:val="single" w:sz="6" w:space="0" w:color="83AD40"/>
            </w:tcBorders>
            <w:tcMar>
              <w:bottom w:w="28" w:type="dxa"/>
            </w:tcMar>
            <w:vAlign w:val="center"/>
          </w:tcPr>
          <w:p>
            <w:pPr>
              <w:pStyle w:val="TableContents"/>
              <w:bidi w:val="0"/>
              <w:spacing w:before="0" w:after="283"/>
              <w:jc w:val="left"/>
              <w:rPr/>
            </w:pPr>
            <w:r>
              <w:rPr/>
              <w:t>​</w:t>
            </w:r>
          </w:p>
        </w:tc>
        <w:tc>
          <w:tcPr>
            <w:tcW w:w="109" w:type="dxa"/>
            <w:tcBorders>
              <w:bottom w:val="single" w:sz="2" w:space="0" w:color="83AD40"/>
            </w:tcBorders>
            <w:shd w:fill="83AD40" w:val="clear"/>
            <w:tcMar>
              <w:bottom w:w="28" w:type="dxa"/>
            </w:tcMar>
            <w:vAlign w:val="center"/>
          </w:tcPr>
          <w:p>
            <w:pPr>
              <w:pStyle w:val="TableContents"/>
              <w:bidi w:val="0"/>
              <w:spacing w:before="0" w:after="283"/>
              <w:jc w:val="left"/>
              <w:rPr/>
            </w:pPr>
            <w:r>
              <w:rPr/>
              <w:t>​</w:t>
            </w:r>
          </w:p>
        </w:tc>
        <w:tc>
          <w:tcPr>
            <w:tcW w:w="109" w:type="dxa"/>
            <w:tcBorders>
              <w:bottom w:val="single" w:sz="6" w:space="0" w:color="83AD40"/>
            </w:tcBorders>
            <w:tcMar>
              <w:bottom w:w="28" w:type="dxa"/>
            </w:tcMar>
            <w:vAlign w:val="center"/>
          </w:tcPr>
          <w:p>
            <w:pPr>
              <w:pStyle w:val="TableContents"/>
              <w:bidi w:val="0"/>
              <w:spacing w:before="0" w:after="283"/>
              <w:jc w:val="left"/>
              <w:rPr/>
            </w:pPr>
            <w:r>
              <w:rPr/>
              <w:t>​</w:t>
            </w:r>
          </w:p>
        </w:tc>
        <w:tc>
          <w:tcPr>
            <w:tcW w:w="837" w:type="dxa"/>
            <w:tcBorders>
              <w:bottom w:val="single" w:sz="6" w:space="0" w:color="83AD40"/>
            </w:tcBorders>
            <w:tcMar>
              <w:bottom w:w="28" w:type="dxa"/>
            </w:tcMar>
            <w:vAlign w:val="center"/>
          </w:tcPr>
          <w:p>
            <w:pPr>
              <w:pStyle w:val="TableContents"/>
              <w:bidi w:val="0"/>
              <w:spacing w:before="0" w:after="0"/>
              <w:jc w:val="left"/>
              <w:rPr/>
            </w:pPr>
            <w:r>
              <w:rPr/>
              <w:drawing>
                <wp:inline distT="0" distB="0" distL="0" distR="0">
                  <wp:extent cx="476250" cy="476250"/>
                  <wp:effectExtent l="0" t="0" r="0" b="0"/>
                  <wp:docPr id="452" name="Image2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 name="Image201" descr=""/>
                          <pic:cNvPicPr>
                            <a:picLocks noChangeAspect="1" noChangeArrowheads="1"/>
                          </pic:cNvPicPr>
                        </pic:nvPicPr>
                        <pic:blipFill>
                          <a:blip r:embed="rId288"/>
                          <a:stretch>
                            <a:fillRect/>
                          </a:stretch>
                        </pic:blipFill>
                        <pic:spPr bwMode="auto">
                          <a:xfrm>
                            <a:off x="0" y="0"/>
                            <a:ext cx="476250" cy="476250"/>
                          </a:xfrm>
                          <a:prstGeom prst="rect">
                            <a:avLst/>
                          </a:prstGeom>
                        </pic:spPr>
                      </pic:pic>
                    </a:graphicData>
                  </a:graphic>
                </wp:inline>
              </w:drawing>
            </w:r>
            <w:r>
              <w:rPr/>
              <w:t xml:space="preserve"> </w:t>
            </w:r>
          </w:p>
        </w:tc>
        <w:tc>
          <w:tcPr>
            <w:tcW w:w="109" w:type="dxa"/>
            <w:tcBorders>
              <w:bottom w:val="single" w:sz="6" w:space="0" w:color="83AD40"/>
            </w:tcBorders>
            <w:tcMar>
              <w:bottom w:w="28" w:type="dxa"/>
            </w:tcMar>
            <w:vAlign w:val="center"/>
          </w:tcPr>
          <w:p>
            <w:pPr>
              <w:pStyle w:val="TableContents"/>
              <w:bidi w:val="0"/>
              <w:spacing w:before="0" w:after="283"/>
              <w:jc w:val="left"/>
              <w:rPr/>
            </w:pPr>
            <w:r>
              <w:rPr/>
              <w:t>​</w:t>
            </w:r>
          </w:p>
        </w:tc>
        <w:tc>
          <w:tcPr>
            <w:tcW w:w="109" w:type="dxa"/>
            <w:tcBorders>
              <w:bottom w:val="single" w:sz="6" w:space="0" w:color="83AD40"/>
            </w:tcBorders>
            <w:tcMar>
              <w:bottom w:w="28" w:type="dxa"/>
            </w:tcMar>
            <w:vAlign w:val="center"/>
          </w:tcPr>
          <w:p>
            <w:pPr>
              <w:pStyle w:val="TableContents"/>
              <w:bidi w:val="0"/>
              <w:spacing w:before="0" w:after="283"/>
              <w:jc w:val="left"/>
              <w:rPr/>
            </w:pPr>
            <w:r>
              <w:rPr/>
              <w:t>​</w:t>
            </w:r>
          </w:p>
        </w:tc>
        <w:tc>
          <w:tcPr>
            <w:tcW w:w="109" w:type="dxa"/>
            <w:tcBorders>
              <w:bottom w:val="single" w:sz="6" w:space="0" w:color="83AD40"/>
            </w:tcBorders>
            <w:tcMar>
              <w:bottom w:w="28" w:type="dxa"/>
            </w:tcMar>
            <w:vAlign w:val="center"/>
          </w:tcPr>
          <w:p>
            <w:pPr>
              <w:pStyle w:val="TableContents"/>
              <w:bidi w:val="0"/>
              <w:spacing w:before="0" w:after="283"/>
              <w:jc w:val="left"/>
              <w:rPr/>
            </w:pPr>
            <w:r>
              <w:rPr/>
              <w:t>​</w:t>
            </w:r>
          </w:p>
        </w:tc>
        <w:tc>
          <w:tcPr>
            <w:tcW w:w="1624" w:type="dxa"/>
            <w:tcBorders>
              <w:bottom w:val="single" w:sz="6" w:space="0" w:color="83AD40"/>
            </w:tcBorders>
            <w:tcMar>
              <w:bottom w:w="420" w:type="dxa"/>
            </w:tcMar>
            <w:vAlign w:val="center"/>
          </w:tcPr>
          <w:p>
            <w:pPr>
              <w:pStyle w:val="TableContents"/>
              <w:bidi w:val="0"/>
              <w:spacing w:lineRule="atLeast" w:line="390" w:before="0" w:after="283"/>
              <w:jc w:val="left"/>
              <w:rPr>
                <w:b w:val="false"/>
                <w:sz w:val="36"/>
              </w:rPr>
            </w:pPr>
            <w:r>
              <w:rPr>
                <w:b w:val="false"/>
                <w:sz w:val="36"/>
              </w:rPr>
              <w:t>88%</w:t>
            </w:r>
          </w:p>
          <w:p>
            <w:pPr>
              <w:pStyle w:val="TableContents"/>
              <w:bidi w:val="0"/>
              <w:spacing w:lineRule="atLeast" w:line="210" w:before="30" w:after="283"/>
              <w:jc w:val="left"/>
              <w:rPr/>
            </w:pPr>
            <w:r>
              <w:rPr>
                <w:spacing w:val="-2"/>
              </w:rPr>
              <w:t>of our Board nominees currently serve or have served as CEO or in senior leadership positions</w:t>
            </w:r>
            <w:r>
              <w:rPr/>
              <w:t xml:space="preserve"> </w:t>
            </w:r>
          </w:p>
        </w:tc>
        <w:tc>
          <w:tcPr>
            <w:tcW w:w="158" w:type="dxa"/>
            <w:tcBorders>
              <w:bottom w:val="single" w:sz="6" w:space="0" w:color="83AD40"/>
            </w:tcBorders>
            <w:tcMar>
              <w:bottom w:w="28" w:type="dxa"/>
            </w:tcMar>
            <w:vAlign w:val="center"/>
          </w:tcPr>
          <w:p>
            <w:pPr>
              <w:pStyle w:val="TableContents"/>
              <w:bidi w:val="0"/>
              <w:spacing w:before="0" w:after="283"/>
              <w:jc w:val="left"/>
              <w:rPr/>
            </w:pPr>
            <w:r>
              <w:rPr/>
              <w:t>​</w:t>
            </w:r>
          </w:p>
        </w:tc>
      </w:tr>
    </w:tbl>
    <w:p>
      <w:pPr>
        <w:pStyle w:val="TextBody"/>
        <w:bidi w:val="0"/>
        <w:spacing w:lineRule="atLeast" w:line="300" w:before="350" w:after="283"/>
        <w:ind w:left="900" w:right="0" w:hanging="0"/>
        <w:jc w:val="left"/>
        <w:rPr>
          <w:rFonts w:ascii="Arial;Helvetica;sans-serif" w:hAnsi="Arial;Helvetica;sans-serif"/>
          <w:b/>
          <w:i w:val="false"/>
          <w:caps w:val="false"/>
          <w:smallCaps w:val="false"/>
          <w:color w:val="1F2668"/>
          <w:sz w:val="26"/>
        </w:rPr>
      </w:pPr>
      <w:r>
        <w:rPr>
          <w:rFonts w:ascii="Arial;Helvetica;sans-serif" w:hAnsi="Arial;Helvetica;sans-serif"/>
          <w:b/>
          <w:i w:val="false"/>
          <w:caps w:val="false"/>
          <w:smallCaps w:val="false"/>
          <w:color w:val="1F2668"/>
          <w:spacing w:val="-3"/>
          <w:sz w:val="26"/>
        </w:rPr>
        <w:t>Identification of Director Candidates</w:t>
      </w:r>
      <w:r>
        <w:rPr>
          <w:rFonts w:ascii="Arial;Helvetica;sans-serif" w:hAnsi="Arial;Helvetica;sans-serif"/>
          <w:b/>
          <w:i w:val="false"/>
          <w:caps w:val="false"/>
          <w:smallCaps w:val="false"/>
          <w:color w:val="000000"/>
          <w:spacing w:val="5"/>
          <w:sz w:val="26"/>
        </w:rPr>
        <w:t xml:space="preserve"> </w:t>
      </w:r>
    </w:p>
    <w:p>
      <w:pPr>
        <w:pStyle w:val="TextBody"/>
        <w:bidi w:val="0"/>
        <w:spacing w:lineRule="atLeast" w:line="220" w:before="60" w:after="283"/>
        <w:jc w:val="left"/>
        <w:rPr>
          <w:rFonts w:ascii="Arial;Helvetica;sans-serif" w:hAnsi="Arial;Helvetica;sans-serif"/>
          <w:b/>
          <w:i w:val="false"/>
          <w:caps w:val="false"/>
          <w:smallCaps w:val="false"/>
          <w:color w:val="1F2668"/>
          <w:sz w:val="18"/>
        </w:rPr>
      </w:pPr>
      <w:r>
        <w:rPr>
          <w:rFonts w:ascii="Arial;Helvetica;sans-serif" w:hAnsi="Arial;Helvetica;sans-serif"/>
          <w:b/>
          <w:i w:val="false"/>
          <w:caps w:val="false"/>
          <w:smallCaps w:val="false"/>
          <w:color w:val="1F2668"/>
          <w:spacing w:val="-2"/>
          <w:sz w:val="18"/>
        </w:rPr>
        <w:t>HOW WE IDENTIFY AND CONSIDER DIRECTOR NOMINATIONS</w:t>
      </w:r>
      <w:r>
        <w:rPr>
          <w:rFonts w:ascii="Arial;Helvetica;sans-serif" w:hAnsi="Arial;Helvetica;sans-serif"/>
          <w:b/>
          <w:i w:val="false"/>
          <w:caps w:val="false"/>
          <w:smallCaps w:val="false"/>
          <w:color w:val="000000"/>
          <w:spacing w:val="4"/>
          <w:sz w:val="18"/>
        </w:rPr>
        <w:t xml:space="preserve"> </w:t>
      </w:r>
    </w:p>
    <w:tbl>
      <w:tblPr>
        <w:tblW w:w="9305" w:type="dxa"/>
        <w:jc w:val="left"/>
        <w:tblInd w:w="900" w:type="dxa"/>
        <w:tblLayout w:type="fixed"/>
        <w:tblCellMar>
          <w:top w:w="0" w:type="dxa"/>
          <w:left w:w="0" w:type="dxa"/>
          <w:bottom w:w="28" w:type="dxa"/>
          <w:right w:w="0" w:type="dxa"/>
        </w:tblCellMar>
      </w:tblPr>
      <w:tblGrid>
        <w:gridCol w:w="124"/>
        <w:gridCol w:w="454"/>
        <w:gridCol w:w="109"/>
        <w:gridCol w:w="109"/>
        <w:gridCol w:w="1657"/>
        <w:gridCol w:w="109"/>
        <w:gridCol w:w="109"/>
        <w:gridCol w:w="6478"/>
        <w:gridCol w:w="156"/>
      </w:tblGrid>
      <w:tr>
        <w:trPr/>
        <w:tc>
          <w:tcPr>
            <w:tcW w:w="124" w:type="dxa"/>
            <w:tcBorders>
              <w:bottom w:val="single" w:sz="2" w:space="0" w:color="FFFFFF"/>
            </w:tcBorders>
            <w:vAlign w:val="center"/>
          </w:tcPr>
          <w:p>
            <w:pPr>
              <w:pStyle w:val="TableContents"/>
              <w:bidi w:val="0"/>
              <w:spacing w:before="0" w:after="283"/>
              <w:jc w:val="left"/>
              <w:rPr/>
            </w:pPr>
            <w:r>
              <w:rPr/>
              <w:t>​</w:t>
            </w:r>
          </w:p>
        </w:tc>
        <w:tc>
          <w:tcPr>
            <w:tcW w:w="454" w:type="dxa"/>
            <w:tcBorders>
              <w:bottom w:val="single" w:sz="2" w:space="0" w:color="FFFFFF"/>
            </w:tcBorders>
            <w:vAlign w:val="center"/>
          </w:tcPr>
          <w:p>
            <w:pPr>
              <w:pStyle w:val="TableContents"/>
              <w:bidi w:val="0"/>
              <w:spacing w:before="0" w:after="0"/>
              <w:jc w:val="center"/>
              <w:rPr/>
            </w:pPr>
            <w:r>
              <w:rPr/>
              <w:drawing>
                <wp:inline distT="0" distB="0" distL="0" distR="0">
                  <wp:extent cx="228600" cy="238125"/>
                  <wp:effectExtent l="0" t="0" r="0" b="0"/>
                  <wp:docPr id="453" name="Image2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3" name="Image202" descr=""/>
                          <pic:cNvPicPr>
                            <a:picLocks noChangeAspect="1" noChangeArrowheads="1"/>
                          </pic:cNvPicPr>
                        </pic:nvPicPr>
                        <pic:blipFill>
                          <a:blip r:embed="rId289"/>
                          <a:stretch>
                            <a:fillRect/>
                          </a:stretch>
                        </pic:blipFill>
                        <pic:spPr bwMode="auto">
                          <a:xfrm>
                            <a:off x="0" y="0"/>
                            <a:ext cx="228600" cy="238125"/>
                          </a:xfrm>
                          <a:prstGeom prst="rect">
                            <a:avLst/>
                          </a:prstGeom>
                        </pic:spPr>
                      </pic:pic>
                    </a:graphicData>
                  </a:graphic>
                </wp:inline>
              </w:drawing>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57" w:type="dxa"/>
            <w:tcBorders>
              <w:bottom w:val="single" w:sz="2" w:space="0" w:color="FFFFFF"/>
            </w:tcBorders>
            <w:tcMar>
              <w:bottom w:w="140" w:type="dxa"/>
            </w:tcMar>
            <w:vAlign w:val="center"/>
          </w:tcPr>
          <w:p>
            <w:pPr>
              <w:pStyle w:val="TableContents"/>
              <w:bidi w:val="0"/>
              <w:spacing w:lineRule="atLeast" w:line="210" w:before="0" w:after="0"/>
              <w:jc w:val="left"/>
              <w:rPr>
                <w:color w:val="1F2668"/>
                <w:spacing w:val="-2"/>
              </w:rPr>
            </w:pPr>
            <w:r>
              <w:rPr>
                <w:color w:val="1F2668"/>
                <w:spacing w:val="-2"/>
              </w:rPr>
              <w:t xml:space="preserve">Identify Potential Candidates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478" w:type="dxa"/>
            <w:tcBorders>
              <w:bottom w:val="single" w:sz="2" w:space="0" w:color="83AD40"/>
            </w:tcBorders>
            <w:vAlign w:val="center"/>
          </w:tcPr>
          <w:p>
            <w:pPr>
              <w:pStyle w:val="TableContents"/>
              <w:bidi w:val="0"/>
              <w:spacing w:lineRule="atLeast" w:line="210" w:before="0" w:after="0"/>
              <w:jc w:val="left"/>
              <w:rPr>
                <w:spacing w:val="-2"/>
              </w:rPr>
            </w:pPr>
            <w:r>
              <w:rPr>
                <w:spacing w:val="-2"/>
              </w:rPr>
              <w:t xml:space="preserve">Our Nominating and Corporate Governance Committee solicits and considers suggestions from our directors and management regarding possible nominees. Our Nominating and Corporate Governance Committee also may procure the services of outside sources or third parties to assist in the identification of director candidates. Candidates may also be identified by stockholders.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454" w:type="dxa"/>
            <w:tcBorders>
              <w:bottom w:val="single" w:sz="2" w:space="0" w:color="FFFFFF"/>
            </w:tcBorders>
            <w:vAlign w:val="center"/>
          </w:tcPr>
          <w:p>
            <w:pPr>
              <w:pStyle w:val="TableContents"/>
              <w:bidi w:val="0"/>
              <w:spacing w:before="0" w:after="0"/>
              <w:jc w:val="center"/>
              <w:rPr/>
            </w:pPr>
            <w:r>
              <w:rPr/>
              <w:drawing>
                <wp:inline distT="0" distB="0" distL="0" distR="0">
                  <wp:extent cx="228600" cy="238125"/>
                  <wp:effectExtent l="0" t="0" r="0" b="0"/>
                  <wp:docPr id="454" name="Image2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 name="Image203" descr=""/>
                          <pic:cNvPicPr>
                            <a:picLocks noChangeAspect="1" noChangeArrowheads="1"/>
                          </pic:cNvPicPr>
                        </pic:nvPicPr>
                        <pic:blipFill>
                          <a:blip r:embed="rId290"/>
                          <a:stretch>
                            <a:fillRect/>
                          </a:stretch>
                        </pic:blipFill>
                        <pic:spPr bwMode="auto">
                          <a:xfrm>
                            <a:off x="0" y="0"/>
                            <a:ext cx="228600" cy="238125"/>
                          </a:xfrm>
                          <a:prstGeom prst="rect">
                            <a:avLst/>
                          </a:prstGeom>
                        </pic:spPr>
                      </pic:pic>
                    </a:graphicData>
                  </a:graphic>
                </wp:inline>
              </w:drawing>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57" w:type="dxa"/>
            <w:tcBorders>
              <w:bottom w:val="single" w:sz="2" w:space="0" w:color="FFFFFF"/>
            </w:tcBorders>
            <w:tcMar>
              <w:bottom w:w="140" w:type="dxa"/>
            </w:tcMar>
            <w:vAlign w:val="center"/>
          </w:tcPr>
          <w:p>
            <w:pPr>
              <w:pStyle w:val="TableContents"/>
              <w:bidi w:val="0"/>
              <w:spacing w:lineRule="atLeast" w:line="210" w:before="0" w:after="0"/>
              <w:jc w:val="left"/>
              <w:rPr>
                <w:color w:val="1F2668"/>
                <w:spacing w:val="-2"/>
              </w:rPr>
            </w:pPr>
            <w:r>
              <w:rPr>
                <w:color w:val="1F2668"/>
                <w:spacing w:val="-2"/>
              </w:rPr>
              <w:t xml:space="preserve">In-Depth Committee Review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478" w:type="dxa"/>
            <w:tcBorders>
              <w:bottom w:val="single" w:sz="2" w:space="0" w:color="83AD40"/>
            </w:tcBorders>
            <w:vAlign w:val="center"/>
          </w:tcPr>
          <w:p>
            <w:pPr>
              <w:pStyle w:val="TableContents"/>
              <w:bidi w:val="0"/>
              <w:spacing w:lineRule="atLeast" w:line="210" w:before="0" w:after="0"/>
              <w:jc w:val="left"/>
              <w:rPr/>
            </w:pPr>
            <w:r>
              <w:rPr>
                <w:spacing w:val="-2"/>
              </w:rPr>
              <w:t>The Nominating and Corporate Governance Committee:</w:t>
            </w:r>
            <w:r>
              <w:rPr/>
              <w:t xml:space="preserve"> </w:t>
            </w:r>
          </w:p>
          <w:p>
            <w:pPr>
              <w:pStyle w:val="TableContents"/>
              <w:bidi w:val="0"/>
              <w:spacing w:lineRule="atLeast" w:line="180" w:before="90" w:after="0"/>
              <w:ind w:left="180" w:right="0" w:hanging="0"/>
              <w:jc w:val="left"/>
              <w:rPr/>
            </w:pPr>
            <w:r>
              <w:rPr>
                <w:spacing w:val="-2"/>
              </w:rPr>
              <w:t>Considers experience, qualifications, skills, background and perspectives</w:t>
            </w:r>
            <w:r>
              <w:rPr/>
              <w:t xml:space="preserve"> </w:t>
            </w:r>
            <w:r>
              <mc:AlternateContent>
                <mc:Choice Requires="wps">
                  <w:drawing>
                    <wp:anchor behindDoc="0" distT="57150" distB="0" distL="0" distR="0" simplePos="0" locked="0" layoutInCell="1" allowOverlap="1" relativeHeight="453">
                      <wp:simplePos x="0" y="0"/>
                      <wp:positionH relativeFrom="column">
                        <wp:align>left</wp:align>
                      </wp:positionH>
                      <wp:positionV relativeFrom="line">
                        <wp:align>top</wp:align>
                      </wp:positionV>
                      <wp:extent cx="114300" cy="350520"/>
                      <wp:effectExtent l="0" t="0" r="0" b="0"/>
                      <wp:wrapSquare wrapText="right"/>
                      <wp:docPr id="455" name="Frame172"/>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90" w:after="0"/>
              <w:ind w:left="180" w:right="0" w:hanging="0"/>
              <w:jc w:val="left"/>
              <w:rPr/>
            </w:pPr>
            <w:r>
              <w:rPr>
                <w:spacing w:val="-2"/>
              </w:rPr>
              <w:t>Meets with candidates and conducts interviews</w:t>
            </w:r>
            <w:r>
              <w:rPr/>
              <w:t xml:space="preserve"> </w:t>
            </w:r>
            <w:r>
              <mc:AlternateContent>
                <mc:Choice Requires="wps">
                  <w:drawing>
                    <wp:anchor behindDoc="0" distT="57150" distB="0" distL="0" distR="0" simplePos="0" locked="0" layoutInCell="1" allowOverlap="1" relativeHeight="454">
                      <wp:simplePos x="0" y="0"/>
                      <wp:positionH relativeFrom="column">
                        <wp:align>left</wp:align>
                      </wp:positionH>
                      <wp:positionV relativeFrom="line">
                        <wp:align>top</wp:align>
                      </wp:positionV>
                      <wp:extent cx="114300" cy="350520"/>
                      <wp:effectExtent l="0" t="0" r="0" b="0"/>
                      <wp:wrapSquare wrapText="right"/>
                      <wp:docPr id="456" name="Frame173"/>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10" w:before="90" w:after="0"/>
              <w:ind w:left="360" w:right="0" w:hanging="0"/>
              <w:jc w:val="left"/>
              <w:rPr/>
            </w:pPr>
            <w:r>
              <w:rPr>
                <w:spacing w:val="-2"/>
              </w:rPr>
              <w:t>In considering a potential nominee, each member of the Nominating and Corporate Governance Committee has the opportunity to interview potential nominees in person or by telephone and to submit questions to such potential candidate.</w:t>
            </w:r>
            <w:r>
              <w:rPr/>
              <w:t xml:space="preserve"> </w:t>
            </w:r>
            <w:r>
              <mc:AlternateContent>
                <mc:Choice Requires="wps">
                  <w:drawing>
                    <wp:anchor behindDoc="0" distT="57150" distB="0" distL="114300" distR="0" simplePos="0" locked="0" layoutInCell="1" allowOverlap="1" relativeHeight="455">
                      <wp:simplePos x="0" y="0"/>
                      <wp:positionH relativeFrom="column">
                        <wp:align>left</wp:align>
                      </wp:positionH>
                      <wp:positionV relativeFrom="line">
                        <wp:align>top</wp:align>
                      </wp:positionV>
                      <wp:extent cx="114300" cy="350520"/>
                      <wp:effectExtent l="0" t="0" r="0" b="0"/>
                      <wp:wrapSquare wrapText="right"/>
                      <wp:docPr id="457" name="Frame174"/>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1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4.5pt;mso-wrap-distance-bottom:0pt;margin-top:4.5pt;mso-position-vertical:top;mso-position-vertical-relative:text;margin-left:9pt;mso-position-horizontal:left;mso-position-horizontal-relative:text">
                      <v:textbox>
                        <w:txbxContent>
                          <w:p>
                            <w:pPr>
                              <w:pStyle w:val="TextBody"/>
                              <w:bidi w:val="0"/>
                              <w:spacing w:lineRule="atLeast" w:line="21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90" w:after="0"/>
              <w:ind w:left="180" w:right="0" w:hanging="0"/>
              <w:jc w:val="left"/>
              <w:rPr>
                <w:spacing w:val="-2"/>
              </w:rPr>
            </w:pPr>
            <w:r>
              <w:rPr>
                <w:spacing w:val="-2"/>
              </w:rPr>
              <w:t xml:space="preserve">Review independence and potential conflicts </w:t>
            </w:r>
            <w:r>
              <mc:AlternateContent>
                <mc:Choice Requires="wps">
                  <w:drawing>
                    <wp:anchor behindDoc="0" distT="57150" distB="0" distL="0" distR="0" simplePos="0" locked="0" layoutInCell="1" allowOverlap="1" relativeHeight="456">
                      <wp:simplePos x="0" y="0"/>
                      <wp:positionH relativeFrom="column">
                        <wp:align>left</wp:align>
                      </wp:positionH>
                      <wp:positionV relativeFrom="line">
                        <wp:align>top</wp:align>
                      </wp:positionV>
                      <wp:extent cx="114300" cy="350520"/>
                      <wp:effectExtent l="0" t="0" r="0" b="0"/>
                      <wp:wrapSquare wrapText="right"/>
                      <wp:docPr id="458" name="Frame175"/>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454" w:type="dxa"/>
            <w:tcBorders>
              <w:bottom w:val="single" w:sz="2" w:space="0" w:color="FFFFFF"/>
            </w:tcBorders>
            <w:vAlign w:val="center"/>
          </w:tcPr>
          <w:p>
            <w:pPr>
              <w:pStyle w:val="TableContents"/>
              <w:bidi w:val="0"/>
              <w:spacing w:before="0" w:after="0"/>
              <w:jc w:val="center"/>
              <w:rPr/>
            </w:pPr>
            <w:r>
              <w:rPr/>
              <w:drawing>
                <wp:inline distT="0" distB="0" distL="0" distR="0">
                  <wp:extent cx="228600" cy="238125"/>
                  <wp:effectExtent l="0" t="0" r="0" b="0"/>
                  <wp:docPr id="459" name="Image2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 name="Image204" descr=""/>
                          <pic:cNvPicPr>
                            <a:picLocks noChangeAspect="1" noChangeArrowheads="1"/>
                          </pic:cNvPicPr>
                        </pic:nvPicPr>
                        <pic:blipFill>
                          <a:blip r:embed="rId291"/>
                          <a:stretch>
                            <a:fillRect/>
                          </a:stretch>
                        </pic:blipFill>
                        <pic:spPr bwMode="auto">
                          <a:xfrm>
                            <a:off x="0" y="0"/>
                            <a:ext cx="228600" cy="238125"/>
                          </a:xfrm>
                          <a:prstGeom prst="rect">
                            <a:avLst/>
                          </a:prstGeom>
                        </pic:spPr>
                      </pic:pic>
                    </a:graphicData>
                  </a:graphic>
                </wp:inline>
              </w:drawing>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57" w:type="dxa"/>
            <w:tcBorders>
              <w:bottom w:val="single" w:sz="2" w:space="0" w:color="FFFFFF"/>
            </w:tcBorders>
            <w:tcMar>
              <w:bottom w:w="140" w:type="dxa"/>
            </w:tcMar>
            <w:vAlign w:val="center"/>
          </w:tcPr>
          <w:p>
            <w:pPr>
              <w:pStyle w:val="TableContents"/>
              <w:bidi w:val="0"/>
              <w:spacing w:lineRule="atLeast" w:line="210" w:before="0" w:after="0"/>
              <w:jc w:val="left"/>
              <w:rPr>
                <w:spacing w:val="-2"/>
              </w:rPr>
            </w:pPr>
            <w:r>
              <w:rPr>
                <w:spacing w:val="-2"/>
              </w:rPr>
              <w:t xml:space="preserve">Recommend Candidates to Full Board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478" w:type="dxa"/>
            <w:tcBorders>
              <w:bottom w:val="single" w:sz="2" w:space="0" w:color="83AD40"/>
            </w:tcBorders>
            <w:vAlign w:val="center"/>
          </w:tcPr>
          <w:p>
            <w:pPr>
              <w:pStyle w:val="TableContents"/>
              <w:bidi w:val="0"/>
              <w:spacing w:lineRule="atLeast" w:line="210" w:before="0" w:after="0"/>
              <w:jc w:val="left"/>
              <w:rPr>
                <w:color w:val="000000"/>
                <w:spacing w:val="-2"/>
              </w:rPr>
            </w:pPr>
            <w:r>
              <w:rPr>
                <w:color w:val="000000"/>
                <w:spacing w:val="-2"/>
              </w:rPr>
              <w:t xml:space="preserve">The Nominating and Corporate Governance Committee presents potential candidates to the full Board for open discussion.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54" w:type="dxa"/>
            <w:tcBorders/>
            <w:tcMar>
              <w:bottom w:w="0" w:type="dxa"/>
            </w:tcMar>
            <w:vAlign w:val="center"/>
          </w:tcPr>
          <w:p>
            <w:pPr>
              <w:pStyle w:val="TableContents"/>
              <w:bidi w:val="0"/>
              <w:spacing w:before="0" w:after="0"/>
              <w:jc w:val="center"/>
              <w:rPr/>
            </w:pPr>
            <w:r>
              <w:rPr/>
              <w:drawing>
                <wp:inline distT="0" distB="0" distL="0" distR="0">
                  <wp:extent cx="228600" cy="238125"/>
                  <wp:effectExtent l="0" t="0" r="0" b="0"/>
                  <wp:docPr id="460" name="Image2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 name="Image205" descr=""/>
                          <pic:cNvPicPr>
                            <a:picLocks noChangeAspect="1" noChangeArrowheads="1"/>
                          </pic:cNvPicPr>
                        </pic:nvPicPr>
                        <pic:blipFill>
                          <a:blip r:embed="rId292"/>
                          <a:stretch>
                            <a:fillRect/>
                          </a:stretch>
                        </pic:blipFill>
                        <pic:spPr bwMode="auto">
                          <a:xfrm>
                            <a:off x="0" y="0"/>
                            <a:ext cx="228600" cy="238125"/>
                          </a:xfrm>
                          <a:prstGeom prst="rect">
                            <a:avLst/>
                          </a:prstGeom>
                        </pic:spPr>
                      </pic:pic>
                    </a:graphicData>
                  </a:graphic>
                </wp:inline>
              </w:drawing>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7" w:type="dxa"/>
            <w:tcBorders/>
            <w:tcMar>
              <w:bottom w:w="0" w:type="dxa"/>
            </w:tcMar>
            <w:vAlign w:val="center"/>
          </w:tcPr>
          <w:p>
            <w:pPr>
              <w:pStyle w:val="TableContents"/>
              <w:bidi w:val="0"/>
              <w:spacing w:lineRule="atLeast" w:line="210" w:before="0" w:after="0"/>
              <w:jc w:val="left"/>
              <w:rPr>
                <w:spacing w:val="-2"/>
              </w:rPr>
            </w:pPr>
            <w:r>
              <w:rPr>
                <w:spacing w:val="-2"/>
              </w:rPr>
              <w:t xml:space="preserve">Review by Full Board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478" w:type="dxa"/>
            <w:tcBorders/>
            <w:tcMar>
              <w:bottom w:w="0" w:type="dxa"/>
            </w:tcMar>
            <w:vAlign w:val="center"/>
          </w:tcPr>
          <w:p>
            <w:pPr>
              <w:pStyle w:val="TableContents"/>
              <w:bidi w:val="0"/>
              <w:spacing w:lineRule="atLeast" w:line="210" w:before="0" w:after="0"/>
              <w:jc w:val="left"/>
              <w:rPr>
                <w:color w:val="000000"/>
              </w:rPr>
            </w:pPr>
            <w:r>
              <w:rPr>
                <w:color w:val="000000"/>
                <w:spacing w:val="-2"/>
              </w:rPr>
              <w:t>The full Board is responsible for approving potential candidates, following an opportunity to meet the candidate.</w:t>
            </w:r>
            <w:r>
              <w:rPr>
                <w:color w:val="000000"/>
              </w:rPr>
              <w:t xml:space="preserve"> </w:t>
            </w:r>
          </w:p>
        </w:tc>
        <w:tc>
          <w:tcPr>
            <w:tcW w:w="156" w:type="dxa"/>
            <w:tcBorders/>
            <w:tcMar>
              <w:bottom w:w="0" w:type="dxa"/>
            </w:tcMar>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225" w:type="dxa"/>
        <w:jc w:val="left"/>
        <w:tblInd w:w="900" w:type="dxa"/>
        <w:tblLayout w:type="fixed"/>
        <w:tblCellMar>
          <w:top w:w="0" w:type="dxa"/>
          <w:left w:w="0" w:type="dxa"/>
          <w:bottom w:w="0" w:type="dxa"/>
          <w:right w:w="0" w:type="dxa"/>
        </w:tblCellMar>
      </w:tblPr>
      <w:tblGrid>
        <w:gridCol w:w="124"/>
        <w:gridCol w:w="346"/>
        <w:gridCol w:w="109"/>
        <w:gridCol w:w="109"/>
        <w:gridCol w:w="4383"/>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22</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383" w:type="dxa"/>
            <w:tcBorders/>
            <w:vAlign w:val="center"/>
          </w:tcPr>
          <w:p>
            <w:pPr>
              <w:pStyle w:val="TableContents"/>
              <w:bidi w:val="0"/>
              <w:spacing w:lineRule="atLeast" w:line="200" w:before="0" w:after="0"/>
              <w:jc w:val="left"/>
              <w:rPr/>
            </w:pPr>
            <w:r>
              <w:rPr>
                <w:spacing w:val="-2"/>
              </w:rPr>
              <w:t>    </w:t>
            </w:r>
            <w:r>
              <w:rPr>
                <w:spacing w:val="-2"/>
                <w:sz w:val="16"/>
              </w:rPr>
              <w:t>SL GREEN REALTY CORP. 2026 PROXY STATEMENT</w:t>
            </w:r>
            <w:r>
              <w:rPr>
                <w:sz w:val="16"/>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60" w:before="560" w:after="154"/>
        <w:ind w:left="900" w:right="0" w:hanging="0"/>
        <w:jc w:val="left"/>
        <w:rPr>
          <w:rFonts w:ascii="Arial;Helvetica;sans-serif" w:hAnsi="Arial;Helvetica;sans-serif"/>
          <w:b/>
          <w:i w:val="false"/>
          <w:caps w:val="false"/>
          <w:smallCaps w:val="false"/>
          <w:color w:val="83AD40"/>
          <w:sz w:val="22"/>
        </w:rPr>
      </w:pPr>
      <w:r>
        <w:rPr>
          <w:rFonts w:ascii="Arial;Helvetica;sans-serif" w:hAnsi="Arial;Helvetica;sans-serif"/>
          <w:b/>
          <w:i w:val="false"/>
          <w:caps w:val="false"/>
          <w:smallCaps w:val="false"/>
          <w:color w:val="83AD40"/>
          <w:spacing w:val="-2"/>
          <w:sz w:val="22"/>
        </w:rPr>
        <w:t>NCGC Director Recruitment Process</w:t>
      </w:r>
      <w:r>
        <w:rPr>
          <w:rFonts w:ascii="Arial;Helvetica;sans-serif" w:hAnsi="Arial;Helvetica;sans-serif"/>
          <w:b/>
          <w:i w:val="false"/>
          <w:caps w:val="false"/>
          <w:smallCaps w:val="false"/>
          <w:color w:val="000000"/>
          <w:spacing w:val="4"/>
          <w:sz w:val="22"/>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Our Nominating and Corporate Governance Committee assists the Board in identifying and reviewing director candidates and recommends director nominees to the Board to be considered for election at our Annual Meeting of stockholders. Our Nominating and Corporate Governance Committee adopted a written policy on the criteria and process of identifying and reviewing director candidates. Each director candidate must have: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60" w:after="0"/>
        <w:ind w:left="1300" w:right="0" w:hanging="0"/>
        <w:jc w:val="left"/>
        <w:rPr>
          <w:rFonts w:ascii="Arial;Helvetica;sans-serif" w:hAnsi="Arial;Helvetica;sans-serif"/>
          <w:b w:val="false"/>
          <w:i w:val="false"/>
          <w:caps w:val="false"/>
          <w:smallCaps w:val="false"/>
          <w:color w:val="1F2668"/>
          <w:sz w:val="18"/>
        </w:rPr>
      </w:pPr>
      <w:r>
        <w:rPr>
          <w:rFonts w:ascii="Arial;Helvetica;sans-serif" w:hAnsi="Arial;Helvetica;sans-serif"/>
          <w:b w:val="false"/>
          <w:i w:val="false"/>
          <w:caps w:val="false"/>
          <w:smallCaps w:val="false"/>
          <w:color w:val="1F2668"/>
          <w:spacing w:val="-2"/>
          <w:sz w:val="18"/>
        </w:rPr>
        <w:t>education and experience that provides knowledge of business, financial, governmental or legal matters that are relevant to the Company’s business or to its status as a publicly owned company;</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01600" distB="0" distL="0" distR="0" simplePos="0" locked="0" layoutInCell="1" allowOverlap="1" relativeHeight="457">
                <wp:simplePos x="0" y="0"/>
                <wp:positionH relativeFrom="column">
                  <wp:align>left</wp:align>
                </wp:positionH>
                <wp:positionV relativeFrom="line">
                  <wp:align>top</wp:align>
                </wp:positionV>
                <wp:extent cx="254000" cy="350520"/>
                <wp:effectExtent l="0" t="0" r="0" b="0"/>
                <wp:wrapSquare wrapText="right"/>
                <wp:docPr id="461" name="Frame17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color w:val="1F2668"/>
                              </w:rPr>
                            </w:pPr>
                            <w:r>
                              <w:rPr>
                                <w:color w:val="1F2668"/>
                                <w:spacing w:val="-2"/>
                              </w:rPr>
                              <w:t>1.</w:t>
                            </w:r>
                            <w:r>
                              <w:rPr>
                                <w:color w:val="1F2668"/>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color w:val="1F2668"/>
                        </w:rPr>
                      </w:pPr>
                      <w:r>
                        <w:rPr>
                          <w:color w:val="1F2668"/>
                          <w:spacing w:val="-2"/>
                        </w:rPr>
                        <w:t>1.</w:t>
                      </w:r>
                      <w:r>
                        <w:rPr>
                          <w:color w:val="1F2668"/>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1300" w:right="0" w:hanging="0"/>
        <w:jc w:val="left"/>
        <w:rPr>
          <w:rFonts w:ascii="Arial;Helvetica;sans-serif" w:hAnsi="Arial;Helvetica;sans-serif"/>
          <w:b w:val="false"/>
          <w:i w:val="false"/>
          <w:caps w:val="false"/>
          <w:smallCaps w:val="false"/>
          <w:color w:val="1F2668"/>
          <w:sz w:val="18"/>
        </w:rPr>
      </w:pPr>
      <w:r>
        <w:rPr>
          <w:rFonts w:ascii="Arial;Helvetica;sans-serif" w:hAnsi="Arial;Helvetica;sans-serif"/>
          <w:b w:val="false"/>
          <w:i w:val="false"/>
          <w:caps w:val="false"/>
          <w:smallCaps w:val="false"/>
          <w:color w:val="1F2668"/>
          <w:spacing w:val="-2"/>
          <w:sz w:val="18"/>
        </w:rPr>
        <w:t>an unblemished reputation for integrity;</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38100" distB="0" distL="0" distR="0" simplePos="0" locked="0" layoutInCell="1" allowOverlap="1" relativeHeight="458">
                <wp:simplePos x="0" y="0"/>
                <wp:positionH relativeFrom="column">
                  <wp:align>left</wp:align>
                </wp:positionH>
                <wp:positionV relativeFrom="line">
                  <wp:align>top</wp:align>
                </wp:positionV>
                <wp:extent cx="254000" cy="350520"/>
                <wp:effectExtent l="0" t="0" r="0" b="0"/>
                <wp:wrapSquare wrapText="right"/>
                <wp:docPr id="462" name="Frame17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color w:val="1F2668"/>
                              </w:rPr>
                            </w:pPr>
                            <w:r>
                              <w:rPr>
                                <w:color w:val="1F2668"/>
                                <w:spacing w:val="-2"/>
                              </w:rPr>
                              <w:t>2.</w:t>
                            </w:r>
                            <w:r>
                              <w:rPr>
                                <w:color w:val="1F2668"/>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left"/>
                        <w:rPr>
                          <w:color w:val="1F2668"/>
                        </w:rPr>
                      </w:pPr>
                      <w:r>
                        <w:rPr>
                          <w:color w:val="1F2668"/>
                          <w:spacing w:val="-2"/>
                        </w:rPr>
                        <w:t>2.</w:t>
                      </w:r>
                      <w:r>
                        <w:rPr>
                          <w:color w:val="1F2668"/>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1300" w:right="0" w:hanging="0"/>
        <w:jc w:val="left"/>
        <w:rPr>
          <w:rFonts w:ascii="Arial;Helvetica;sans-serif" w:hAnsi="Arial;Helvetica;sans-serif"/>
          <w:b w:val="false"/>
          <w:i w:val="false"/>
          <w:caps w:val="false"/>
          <w:smallCaps w:val="false"/>
          <w:color w:val="1F2668"/>
          <w:sz w:val="18"/>
        </w:rPr>
      </w:pPr>
      <w:r>
        <w:rPr>
          <w:rFonts w:ascii="Arial;Helvetica;sans-serif" w:hAnsi="Arial;Helvetica;sans-serif"/>
          <w:b w:val="false"/>
          <w:i w:val="false"/>
          <w:caps w:val="false"/>
          <w:smallCaps w:val="false"/>
          <w:color w:val="1F2668"/>
          <w:spacing w:val="-2"/>
          <w:sz w:val="18"/>
        </w:rPr>
        <w:t>a reputation for exercising good business judgment; and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38100" distB="0" distL="0" distR="0" simplePos="0" locked="0" layoutInCell="1" allowOverlap="1" relativeHeight="459">
                <wp:simplePos x="0" y="0"/>
                <wp:positionH relativeFrom="column">
                  <wp:align>left</wp:align>
                </wp:positionH>
                <wp:positionV relativeFrom="line">
                  <wp:align>top</wp:align>
                </wp:positionV>
                <wp:extent cx="254000" cy="350520"/>
                <wp:effectExtent l="0" t="0" r="0" b="0"/>
                <wp:wrapSquare wrapText="right"/>
                <wp:docPr id="463" name="Frame17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color w:val="1F2668"/>
                              </w:rPr>
                            </w:pPr>
                            <w:r>
                              <w:rPr>
                                <w:color w:val="1F2668"/>
                                <w:spacing w:val="-2"/>
                              </w:rPr>
                              <w:t>3.</w:t>
                            </w:r>
                            <w:r>
                              <w:rPr>
                                <w:color w:val="1F2668"/>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left"/>
                        <w:rPr>
                          <w:color w:val="1F2668"/>
                        </w:rPr>
                      </w:pPr>
                      <w:r>
                        <w:rPr>
                          <w:color w:val="1F2668"/>
                          <w:spacing w:val="-2"/>
                        </w:rPr>
                        <w:t>3.</w:t>
                      </w:r>
                      <w:r>
                        <w:rPr>
                          <w:color w:val="1F2668"/>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1300" w:right="0" w:hanging="0"/>
        <w:jc w:val="left"/>
        <w:rPr>
          <w:rFonts w:ascii="Arial;Helvetica;sans-serif" w:hAnsi="Arial;Helvetica;sans-serif"/>
          <w:b w:val="false"/>
          <w:i w:val="false"/>
          <w:caps w:val="false"/>
          <w:smallCaps w:val="false"/>
          <w:color w:val="1F2668"/>
          <w:sz w:val="18"/>
        </w:rPr>
      </w:pPr>
      <w:r>
        <w:rPr>
          <w:rFonts w:ascii="Arial;Helvetica;sans-serif" w:hAnsi="Arial;Helvetica;sans-serif"/>
          <w:b w:val="false"/>
          <w:i w:val="false"/>
          <w:caps w:val="false"/>
          <w:smallCaps w:val="false"/>
          <w:color w:val="1F2668"/>
          <w:spacing w:val="-2"/>
          <w:sz w:val="18"/>
        </w:rPr>
        <w:t>sufficient available time to be able to fulfill his or her responsibilities as a member of the Board and of any committees to which he or she may be appointed.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38100" distB="0" distL="0" distR="0" simplePos="0" locked="0" layoutInCell="1" allowOverlap="1" relativeHeight="460">
                <wp:simplePos x="0" y="0"/>
                <wp:positionH relativeFrom="column">
                  <wp:align>left</wp:align>
                </wp:positionH>
                <wp:positionV relativeFrom="line">
                  <wp:align>top</wp:align>
                </wp:positionV>
                <wp:extent cx="254000" cy="350520"/>
                <wp:effectExtent l="0" t="0" r="0" b="0"/>
                <wp:wrapSquare wrapText="right"/>
                <wp:docPr id="464" name="Frame17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color w:val="1F2668"/>
                              </w:rPr>
                            </w:pPr>
                            <w:r>
                              <w:rPr>
                                <w:color w:val="1F2668"/>
                                <w:spacing w:val="-2"/>
                              </w:rPr>
                              <w:t>4.</w:t>
                            </w:r>
                            <w:r>
                              <w:rPr>
                                <w:color w:val="1F2668"/>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left"/>
                        <w:rPr>
                          <w:color w:val="1F2668"/>
                        </w:rPr>
                      </w:pPr>
                      <w:r>
                        <w:rPr>
                          <w:color w:val="1F2668"/>
                          <w:spacing w:val="-2"/>
                        </w:rPr>
                        <w:t>4.</w:t>
                      </w:r>
                      <w:r>
                        <w:rPr>
                          <w:color w:val="1F2668"/>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The Nominating and Corporate Governance Committee ensures that the potential nominee is not an employee or agent of and does not serve on the board of directors or similar managing body of any of our competitors and determines whether the potential nominee has an interest in any transactions to which we are a party.</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In making recommendations to the Board, our Nominating and Corporate Governance Committee also considers such factors as it deems appropriate, in light of the skills, qualifications and background of the Board’s current composition and the opportunities and challenges the Board anticipates in the future. The Nominating and Corporate Governance Committee may consider the following:</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80" w:after="0"/>
        <w:ind w:left="11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the candidate’s industry knowledge and experience;</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14300" distB="0" distL="0" distR="0" simplePos="0" locked="0" layoutInCell="1" allowOverlap="1" relativeHeight="461">
                <wp:simplePos x="0" y="0"/>
                <wp:positionH relativeFrom="column">
                  <wp:align>left</wp:align>
                </wp:positionH>
                <wp:positionV relativeFrom="line">
                  <wp:align>top</wp:align>
                </wp:positionV>
                <wp:extent cx="127000" cy="350520"/>
                <wp:effectExtent l="0" t="0" r="0" b="0"/>
                <wp:wrapSquare wrapText="right"/>
                <wp:docPr id="465" name="Frame1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9pt;mso-wrap-distance-bottom:0pt;margin-top:9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20" w:before="60" w:after="0"/>
        <w:ind w:left="11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any actual or potential conflicts of interest and whether the candidate meets the NYSE independence criteria;</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38100" distB="0" distL="0" distR="0" simplePos="0" locked="0" layoutInCell="1" allowOverlap="1" relativeHeight="462">
                <wp:simplePos x="0" y="0"/>
                <wp:positionH relativeFrom="column">
                  <wp:align>left</wp:align>
                </wp:positionH>
                <wp:positionV relativeFrom="line">
                  <wp:align>top</wp:align>
                </wp:positionV>
                <wp:extent cx="127000" cy="350520"/>
                <wp:effectExtent l="0" t="0" r="0" b="0"/>
                <wp:wrapSquare wrapText="right"/>
                <wp:docPr id="466" name="Frame1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1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20" w:before="60" w:after="0"/>
        <w:ind w:left="11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the extent to which the candidate generally would be a desirable addition to the Board and any committees of the Board;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38100" distB="0" distL="0" distR="0" simplePos="0" locked="0" layoutInCell="1" allowOverlap="1" relativeHeight="463">
                <wp:simplePos x="0" y="0"/>
                <wp:positionH relativeFrom="column">
                  <wp:align>left</wp:align>
                </wp:positionH>
                <wp:positionV relativeFrom="line">
                  <wp:align>top</wp:align>
                </wp:positionV>
                <wp:extent cx="127000" cy="350520"/>
                <wp:effectExtent l="0" t="0" r="0" b="0"/>
                <wp:wrapSquare wrapText="right"/>
                <wp:docPr id="467" name="Frame1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20" w:before="60" w:after="0"/>
        <w:ind w:left="11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qualifications to serve on appropriate Board committees (including financial acumen);</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38100" distB="0" distL="0" distR="0" simplePos="0" locked="0" layoutInCell="1" allowOverlap="1" relativeHeight="464">
                <wp:simplePos x="0" y="0"/>
                <wp:positionH relativeFrom="column">
                  <wp:align>left</wp:align>
                </wp:positionH>
                <wp:positionV relativeFrom="line">
                  <wp:align>top</wp:align>
                </wp:positionV>
                <wp:extent cx="127000" cy="350520"/>
                <wp:effectExtent l="0" t="0" r="0" b="0"/>
                <wp:wrapSquare wrapText="right"/>
                <wp:docPr id="468" name="Frame1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20" w:before="60" w:after="0"/>
        <w:ind w:left="11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the candidate’s background and perspectives;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38100" distB="0" distL="0" distR="0" simplePos="0" locked="0" layoutInCell="1" allowOverlap="1" relativeHeight="465">
                <wp:simplePos x="0" y="0"/>
                <wp:positionH relativeFrom="column">
                  <wp:align>left</wp:align>
                </wp:positionH>
                <wp:positionV relativeFrom="line">
                  <wp:align>top</wp:align>
                </wp:positionV>
                <wp:extent cx="127000" cy="350520"/>
                <wp:effectExtent l="0" t="0" r="0" b="0"/>
                <wp:wrapSquare wrapText="right"/>
                <wp:docPr id="469" name="Frame1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20" w:before="60" w:after="0"/>
        <w:ind w:left="11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technological literacy;</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38100" distB="0" distL="0" distR="0" simplePos="0" locked="0" layoutInCell="1" allowOverlap="1" relativeHeight="466">
                <wp:simplePos x="0" y="0"/>
                <wp:positionH relativeFrom="column">
                  <wp:align>left</wp:align>
                </wp:positionH>
                <wp:positionV relativeFrom="line">
                  <wp:align>top</wp:align>
                </wp:positionV>
                <wp:extent cx="127000" cy="350520"/>
                <wp:effectExtent l="0" t="0" r="0" b="0"/>
                <wp:wrapSquare wrapText="right"/>
                <wp:docPr id="470" name="Frame1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20" w:before="60" w:after="0"/>
        <w:ind w:left="11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strategic insight;</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38100" distB="0" distL="0" distR="0" simplePos="0" locked="0" layoutInCell="1" allowOverlap="1" relativeHeight="467">
                <wp:simplePos x="0" y="0"/>
                <wp:positionH relativeFrom="column">
                  <wp:align>left</wp:align>
                </wp:positionH>
                <wp:positionV relativeFrom="line">
                  <wp:align>top</wp:align>
                </wp:positionV>
                <wp:extent cx="127000" cy="350520"/>
                <wp:effectExtent l="0" t="0" r="0" b="0"/>
                <wp:wrapSquare wrapText="right"/>
                <wp:docPr id="471" name="Frame1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20" w:before="60" w:after="0"/>
        <w:ind w:left="11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ability to introduce the Company to business or other opportunities;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38100" distB="0" distL="0" distR="0" simplePos="0" locked="0" layoutInCell="1" allowOverlap="1" relativeHeight="468">
                <wp:simplePos x="0" y="0"/>
                <wp:positionH relativeFrom="column">
                  <wp:align>left</wp:align>
                </wp:positionH>
                <wp:positionV relativeFrom="line">
                  <wp:align>top</wp:align>
                </wp:positionV>
                <wp:extent cx="127000" cy="350520"/>
                <wp:effectExtent l="0" t="0" r="0" b="0"/>
                <wp:wrapSquare wrapText="right"/>
                <wp:docPr id="472" name="Frame1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20" w:before="60" w:after="0"/>
        <w:ind w:left="11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reputation in the corporate governance community;</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38100" distB="0" distL="0" distR="0" simplePos="0" locked="0" layoutInCell="1" allowOverlap="1" relativeHeight="469">
                <wp:simplePos x="0" y="0"/>
                <wp:positionH relativeFrom="column">
                  <wp:align>left</wp:align>
                </wp:positionH>
                <wp:positionV relativeFrom="line">
                  <wp:align>top</wp:align>
                </wp:positionV>
                <wp:extent cx="127000" cy="350520"/>
                <wp:effectExtent l="0" t="0" r="0" b="0"/>
                <wp:wrapSquare wrapText="right"/>
                <wp:docPr id="473" name="Frame1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20" w:before="60" w:after="0"/>
        <w:ind w:left="11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risk management skills; and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38100" distB="0" distL="0" distR="0" simplePos="0" locked="0" layoutInCell="1" allowOverlap="1" relativeHeight="470">
                <wp:simplePos x="0" y="0"/>
                <wp:positionH relativeFrom="column">
                  <wp:align>left</wp:align>
                </wp:positionH>
                <wp:positionV relativeFrom="line">
                  <wp:align>top</wp:align>
                </wp:positionV>
                <wp:extent cx="127000" cy="350520"/>
                <wp:effectExtent l="0" t="0" r="0" b="0"/>
                <wp:wrapSquare wrapText="right"/>
                <wp:docPr id="474" name="Frame1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20" w:before="60" w:after="0"/>
        <w:ind w:left="11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the candidate’s knowledge in the area of cybersecurity.</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38100" distB="0" distL="0" distR="0" simplePos="0" locked="0" layoutInCell="1" allowOverlap="1" relativeHeight="471">
                <wp:simplePos x="0" y="0"/>
                <wp:positionH relativeFrom="column">
                  <wp:align>left</wp:align>
                </wp:positionH>
                <wp:positionV relativeFrom="line">
                  <wp:align>top</wp:align>
                </wp:positionV>
                <wp:extent cx="127000" cy="350520"/>
                <wp:effectExtent l="0" t="0" r="0" b="0"/>
                <wp:wrapSquare wrapText="right"/>
                <wp:docPr id="475" name="Frame1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60" w:before="240" w:after="283"/>
        <w:jc w:val="left"/>
        <w:rPr>
          <w:rFonts w:ascii="Arial;Helvetica;sans-serif" w:hAnsi="Arial;Helvetica;sans-serif"/>
          <w:b/>
          <w:i w:val="false"/>
          <w:caps w:val="false"/>
          <w:smallCaps w:val="false"/>
          <w:color w:val="83AD40"/>
          <w:sz w:val="22"/>
        </w:rPr>
      </w:pPr>
      <w:r>
        <w:rPr>
          <w:rFonts w:ascii="Arial;Helvetica;sans-serif" w:hAnsi="Arial;Helvetica;sans-serif"/>
          <w:b/>
          <w:i w:val="false"/>
          <w:caps w:val="false"/>
          <w:smallCaps w:val="false"/>
          <w:color w:val="83AD40"/>
          <w:spacing w:val="-2"/>
          <w:sz w:val="22"/>
        </w:rPr>
        <w:t>Stockholder Recommendations of Director Candidates</w:t>
      </w:r>
      <w:r>
        <w:rPr>
          <w:rFonts w:ascii="Arial;Helvetica;sans-serif" w:hAnsi="Arial;Helvetica;sans-serif"/>
          <w:b/>
          <w:i w:val="false"/>
          <w:caps w:val="false"/>
          <w:smallCaps w:val="false"/>
          <w:color w:val="000000"/>
          <w:spacing w:val="4"/>
          <w:sz w:val="22"/>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pacing w:val="-2"/>
          <w:sz w:val="18"/>
        </w:rPr>
      </w:pPr>
      <w:r>
        <w:rPr>
          <w:rFonts w:ascii="Arial;Helvetica;sans-serif" w:hAnsi="Arial;Helvetica;sans-serif"/>
          <w:b w:val="false"/>
          <w:i w:val="false"/>
          <w:caps w:val="false"/>
          <w:smallCaps w:val="false"/>
          <w:color w:val="000000"/>
          <w:spacing w:val="-2"/>
          <w:sz w:val="18"/>
        </w:rPr>
        <w:t xml:space="preserve">Our Nominating and Corporate Governance Committee may consider director candidates recommended by our stockholders. Our Nominating and Corporate Governance Committee will apply the same standards in considering candidates submitted by stockholders as it does in evaluating all other candidates. Any recommendations by stockholders are to follow the procedures outlined under “Other Information—Other Matters—Stockholder Proposals and Nominations” in this proxy statement and should provide the reasons supporting a candidate’s recommendation, the candidate’s qualifications and the candidate’s written consent to being considered as a director nominee.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tBSAI"/>
      <w:bookmarkEnd w:id="11"/>
      <w:r>
        <w:rPr>
          <w:rFonts w:ascii="calibri;arial;sans-serif" w:hAnsi="calibri;arial;sans-serif"/>
          <w:b w:val="false"/>
          <w:i w:val="false"/>
          <w:caps w:val="false"/>
          <w:smallCaps w:val="false"/>
          <w:color w:val="000000"/>
          <w:sz w:val="16"/>
        </w:rPr>
        <w:t xml:space="preserve">​ </w:t>
      </w:r>
    </w:p>
    <w:tbl>
      <w:tblPr>
        <w:tblW w:w="8095" w:type="dxa"/>
        <w:jc w:val="left"/>
        <w:tblInd w:w="900" w:type="dxa"/>
        <w:tblLayout w:type="fixed"/>
        <w:tblCellMar>
          <w:top w:w="0" w:type="dxa"/>
          <w:left w:w="0" w:type="dxa"/>
          <w:bottom w:w="0" w:type="dxa"/>
          <w:right w:w="0" w:type="dxa"/>
        </w:tblCellMar>
      </w:tblPr>
      <w:tblGrid>
        <w:gridCol w:w="124"/>
        <w:gridCol w:w="7253"/>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7253" w:type="dxa"/>
            <w:tcBorders/>
            <w:vAlign w:val="center"/>
          </w:tcPr>
          <w:p>
            <w:pPr>
              <w:pStyle w:val="TableContents"/>
              <w:bidi w:val="0"/>
              <w:spacing w:lineRule="atLeast" w:line="200" w:before="0" w:after="0"/>
              <w:jc w:val="left"/>
              <w:rPr/>
            </w:pPr>
            <w:r>
              <w:rPr>
                <w:spacing w:val="-2"/>
              </w:rPr>
              <w:t>OUR BOARD OF DIRECTORS AND CORPORATE GOVERNANCE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color w:val="1F2668"/>
                <w:sz w:val="24"/>
              </w:rPr>
            </w:pPr>
            <w:r>
              <w:rPr>
                <w:color w:val="1F2668"/>
                <w:sz w:val="24"/>
              </w:rPr>
              <w:t>23</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360" w:before="560" w:after="283"/>
        <w:ind w:left="900" w:right="0" w:hanging="0"/>
        <w:jc w:val="left"/>
        <w:rPr>
          <w:rFonts w:ascii="Arial;Helvetica;sans-serif" w:hAnsi="Arial;Helvetica;sans-serif"/>
          <w:b/>
          <w:i w:val="false"/>
          <w:caps w:val="false"/>
          <w:smallCaps w:val="false"/>
          <w:color w:val="83AD40"/>
          <w:sz w:val="32"/>
        </w:rPr>
      </w:pPr>
      <w:r>
        <w:rPr>
          <w:rFonts w:ascii="Arial;Helvetica;sans-serif" w:hAnsi="Arial;Helvetica;sans-serif"/>
          <w:b/>
          <w:i w:val="false"/>
          <w:caps/>
          <w:color w:val="83AD40"/>
          <w:spacing w:val="-3"/>
          <w:sz w:val="32"/>
        </w:rPr>
        <w:t>BOARD STRUCTURE AND INDEPENDENCE</w:t>
      </w:r>
      <w:r>
        <w:rPr>
          <w:rFonts w:ascii="Arial;Helvetica;sans-serif" w:hAnsi="Arial;Helvetica;sans-serif"/>
          <w:b/>
          <w:i w:val="false"/>
          <w:caps w:val="false"/>
          <w:smallCaps w:val="false"/>
          <w:color w:val="000000"/>
          <w:spacing w:val="6"/>
          <w:sz w:val="32"/>
        </w:rPr>
        <w:t xml:space="preserve"> </w:t>
      </w:r>
    </w:p>
    <w:p>
      <w:pPr>
        <w:pStyle w:val="TextBody"/>
        <w:bidi w:val="0"/>
        <w:spacing w:lineRule="atLeast" w:line="300" w:before="320" w:after="283"/>
        <w:jc w:val="left"/>
        <w:rPr>
          <w:rFonts w:ascii="Arial;Helvetica;sans-serif" w:hAnsi="Arial;Helvetica;sans-serif"/>
          <w:b/>
          <w:i w:val="false"/>
          <w:caps w:val="false"/>
          <w:smallCaps w:val="false"/>
          <w:color w:val="1F2668"/>
          <w:sz w:val="26"/>
        </w:rPr>
      </w:pPr>
      <w:r>
        <w:rPr>
          <w:rFonts w:ascii="Arial;Helvetica;sans-serif" w:hAnsi="Arial;Helvetica;sans-serif"/>
          <w:b/>
          <w:i w:val="false"/>
          <w:caps w:val="false"/>
          <w:smallCaps w:val="false"/>
          <w:color w:val="1F2668"/>
          <w:spacing w:val="-3"/>
          <w:sz w:val="26"/>
        </w:rPr>
        <w:t>Board Leadership Structure</w:t>
      </w:r>
      <w:r>
        <w:rPr>
          <w:rFonts w:ascii="Arial;Helvetica;sans-serif" w:hAnsi="Arial;Helvetica;sans-serif"/>
          <w:b/>
          <w:i w:val="false"/>
          <w:caps w:val="false"/>
          <w:smallCaps w:val="false"/>
          <w:color w:val="000000"/>
          <w:spacing w:val="5"/>
          <w:sz w:val="26"/>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The Board currently consists of eight members. Marc Holliday serves as the Chairman of the Board and our Chief Executive Officer, John Alschuler serves as our Lead Independent Director, and independent directors serve as Chairs for the Audit Committee, Compensation Committee and Nominating and Corporate Governance Committee. With over 20 years of experience leading the Company, Mr. Holliday is uniquely qualified to serve as the Chairman of the Board. The Board believes that Mr. Holliday’s combined role as Chairman of the Board and Chief Executive Officer, together with the independent directors in its leadership structure, helps promote unified leadership and direction for the Company and the Board while also ensuring appropriate independent oversight of management by the Board.</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300" w:before="360" w:after="283"/>
        <w:jc w:val="left"/>
        <w:rPr>
          <w:rFonts w:ascii="Arial;Helvetica;sans-serif" w:hAnsi="Arial;Helvetica;sans-serif"/>
          <w:b/>
          <w:i w:val="false"/>
          <w:caps w:val="false"/>
          <w:smallCaps w:val="false"/>
          <w:color w:val="1F2668"/>
          <w:sz w:val="26"/>
        </w:rPr>
      </w:pPr>
      <w:r>
        <w:rPr>
          <w:rFonts w:ascii="Arial;Helvetica;sans-serif" w:hAnsi="Arial;Helvetica;sans-serif"/>
          <w:b/>
          <w:i w:val="false"/>
          <w:caps w:val="false"/>
          <w:smallCaps w:val="false"/>
          <w:color w:val="1F2668"/>
          <w:spacing w:val="-3"/>
          <w:sz w:val="26"/>
        </w:rPr>
        <w:t>Lead Independent Director</w:t>
      </w:r>
      <w:r>
        <w:rPr>
          <w:rFonts w:ascii="Arial;Helvetica;sans-serif" w:hAnsi="Arial;Helvetica;sans-serif"/>
          <w:b/>
          <w:i w:val="false"/>
          <w:caps w:val="false"/>
          <w:smallCaps w:val="false"/>
          <w:color w:val="000000"/>
          <w:spacing w:val="5"/>
          <w:sz w:val="26"/>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The Board believes that having a Lead Independent Director improves the overall functioning of the Board and strengthens the ability of the independent directors to effectively exercise independent oversight of management during periods when the Chairman of the Board is not an independent director. The Lead Independent Director is appointed by the independent directors on the Board, and has a number of responsibilities that help facilitate communication among our independent directors and between our independent directors and our Chief Executive Officer and Chairman, and ensure appropriate independent oversight of management by the Board.</w:t>
      </w:r>
      <w:r>
        <w:rPr>
          <w:rFonts w:ascii="Arial;Helvetica;sans-serif" w:hAnsi="Arial;Helvetica;sans-serif"/>
          <w:b w:val="false"/>
          <w:i w:val="false"/>
          <w:caps w:val="false"/>
          <w:smallCaps w:val="false"/>
          <w:color w:val="000000"/>
          <w:spacing w:val="4"/>
          <w:sz w:val="18"/>
        </w:rPr>
        <w:t xml:space="preserve"> </w:t>
      </w:r>
    </w:p>
    <w:p>
      <w:pPr>
        <w:pStyle w:val="TextBody"/>
        <w:bidi w:val="0"/>
        <w:spacing w:before="0" w:after="1119"/>
        <w:jc w:val="left"/>
        <w:rPr>
          <w:caps w:val="false"/>
          <w:smallCaps w:val="false"/>
          <w:color w:val="000000"/>
        </w:rPr>
      </w:pPr>
      <w:r>
        <w:rPr>
          <w:caps w:val="false"/>
          <w:smallCaps w:val="false"/>
          <w:color w:val="000000"/>
        </w:rPr>
        <w:t>​</w:t>
      </w:r>
      <w:r>
        <mc:AlternateContent>
          <mc:Choice Requires="wps">
            <w:drawing>
              <wp:anchor behindDoc="0" distT="0" distB="0" distL="571500" distR="0" simplePos="0" locked="0" layoutInCell="1" allowOverlap="1" relativeHeight="298">
                <wp:simplePos x="0" y="0"/>
                <wp:positionH relativeFrom="column">
                  <wp:align>left</wp:align>
                </wp:positionH>
                <wp:positionV relativeFrom="line">
                  <wp:posOffset>635</wp:posOffset>
                </wp:positionV>
                <wp:extent cx="1562100" cy="4093845"/>
                <wp:effectExtent l="0" t="0" r="0" b="0"/>
                <wp:wrapSquare wrapText="right"/>
                <wp:docPr id="476" name="Frame191"/>
                <a:graphic xmlns:a="http://schemas.openxmlformats.org/drawingml/2006/main">
                  <a:graphicData uri="http://schemas.microsoft.com/office/word/2010/wordprocessingShape">
                    <wps:wsp>
                      <wps:cNvSpPr txBox="1"/>
                      <wps:spPr>
                        <a:xfrm>
                          <a:off x="0" y="0"/>
                          <a:ext cx="1562100" cy="4093845"/>
                        </a:xfrm>
                        <a:prstGeom prst="rect"/>
                        <a:solidFill>
                          <a:srgbClr val="FFFFFF"/>
                        </a:solidFill>
                      </wps:spPr>
                      <wps:txbx>
                        <w:txbxContent>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2677" w:type="dxa"/>
                              <w:jc w:val="left"/>
                              <w:tblInd w:w="0" w:type="dxa"/>
                              <w:tblLayout w:type="fixed"/>
                              <w:tblCellMar>
                                <w:top w:w="0" w:type="dxa"/>
                                <w:left w:w="0" w:type="dxa"/>
                                <w:bottom w:w="0" w:type="dxa"/>
                                <w:right w:w="0" w:type="dxa"/>
                              </w:tblCellMar>
                            </w:tblPr>
                            <w:tblGrid>
                              <w:gridCol w:w="124"/>
                              <w:gridCol w:w="109"/>
                              <w:gridCol w:w="2181"/>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81" w:type="dxa"/>
                                  <w:tcBorders/>
                                  <w:shd w:fill="1F2668" w:val="clear"/>
                                  <w:vAlign w:val="center"/>
                                </w:tcPr>
                                <w:p>
                                  <w:pPr>
                                    <w:pStyle w:val="TableContents"/>
                                    <w:bidi w:val="0"/>
                                    <w:spacing w:before="0" w:after="0"/>
                                    <w:ind w:left="0" w:right="160" w:hanging="0"/>
                                    <w:jc w:val="left"/>
                                    <w:rPr/>
                                  </w:pPr>
                                  <w:r>
                                    <w:rPr/>
                                    <w:drawing>
                                      <wp:inline distT="0" distB="0" distL="0" distR="0">
                                        <wp:extent cx="1190625" cy="1447800"/>
                                        <wp:effectExtent l="0" t="0" r="0" b="0"/>
                                        <wp:docPr id="477" name="Image2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 name="Image206" descr=""/>
                                                <pic:cNvPicPr>
                                                  <a:picLocks noChangeAspect="1" noChangeArrowheads="1"/>
                                                </pic:cNvPicPr>
                                              </pic:nvPicPr>
                                              <pic:blipFill>
                                                <a:blip r:embed="rId293"/>
                                                <a:stretch>
                                                  <a:fillRect/>
                                                </a:stretch>
                                              </pic:blipFill>
                                              <pic:spPr bwMode="auto">
                                                <a:xfrm>
                                                  <a:off x="0" y="0"/>
                                                  <a:ext cx="1190625" cy="1447800"/>
                                                </a:xfrm>
                                                <a:prstGeom prst="rect">
                                                  <a:avLst/>
                                                </a:prstGeom>
                                              </pic:spPr>
                                            </pic:pic>
                                          </a:graphicData>
                                        </a:graphic>
                                      </wp:inline>
                                    </w:drawing>
                                  </w:r>
                                  <w:r>
                                    <w:rPr/>
                                    <w:t xml:space="preserve"> </w:t>
                                  </w:r>
                                </w:p>
                                <w:p>
                                  <w:pPr>
                                    <w:pStyle w:val="TableContents"/>
                                    <w:bidi w:val="0"/>
                                    <w:spacing w:lineRule="atLeast" w:line="280" w:before="192" w:after="283"/>
                                    <w:ind w:left="0" w:right="160" w:hanging="0"/>
                                    <w:jc w:val="left"/>
                                    <w:rPr>
                                      <w:sz w:val="24"/>
                                    </w:rPr>
                                  </w:pPr>
                                  <w:r>
                                    <w:rPr>
                                      <w:spacing w:val="-2"/>
                                      <w:sz w:val="24"/>
                                    </w:rPr>
                                    <w:t xml:space="preserve">JOHN H. </w:t>
                                    <w:br/>
                                    <w:t>ALSCHULER</w:t>
                                  </w:r>
                                  <w:r>
                                    <w:rPr>
                                      <w:sz w:val="24"/>
                                    </w:rPr>
                                    <w:t xml:space="preserve">​ </w:t>
                                  </w:r>
                                </w:p>
                                <w:p>
                                  <w:pPr>
                                    <w:pStyle w:val="TableContents"/>
                                    <w:bidi w:val="0"/>
                                    <w:spacing w:lineRule="atLeast" w:line="220" w:before="360" w:after="283"/>
                                    <w:ind w:left="0" w:right="160" w:hanging="0"/>
                                    <w:jc w:val="left"/>
                                    <w:rPr/>
                                  </w:pPr>
                                  <w:r>
                                    <w:rPr>
                                      <w:spacing w:val="-2"/>
                                    </w:rPr>
                                    <w:t>Lead Independent</w:t>
                                  </w:r>
                                  <w:r>
                                    <w:rPr/>
                                    <w:t xml:space="preserve"> </w:t>
                                  </w:r>
                                </w:p>
                                <w:p>
                                  <w:pPr>
                                    <w:pStyle w:val="TableContents"/>
                                    <w:bidi w:val="0"/>
                                    <w:spacing w:lineRule="atLeast" w:line="220" w:before="120" w:after="283"/>
                                    <w:ind w:left="0" w:right="160" w:hanging="0"/>
                                    <w:jc w:val="left"/>
                                    <w:rPr/>
                                  </w:pPr>
                                  <w:r>
                                    <w:rPr>
                                      <w:spacing w:val="-2"/>
                                    </w:rPr>
                                    <w:t>Director since 2010</w:t>
                                  </w:r>
                                  <w:r>
                                    <w:rPr/>
                                    <w:t xml:space="preserve"> </w:t>
                                  </w:r>
                                </w:p>
                              </w:tc>
                              <w:tc>
                                <w:tcPr>
                                  <w:tcW w:w="109" w:type="dxa"/>
                                  <w:tcBorders/>
                                  <w:vAlign w:val="center"/>
                                </w:tcPr>
                                <w:p>
                                  <w:pPr>
                                    <w:pStyle w:val="TableContents"/>
                                    <w:bidi w:val="0"/>
                                    <w:spacing w:before="0" w:after="283"/>
                                    <w:jc w:val="left"/>
                                    <w:rPr/>
                                  </w:pPr>
                                  <w:r>
                                    <w:rPr/>
                                    <w:t>​</w:t>
                                  </w:r>
                                </w:p>
                              </w:tc>
                              <w:tc>
                                <w:tcPr>
                                  <w:tcW w:w="154" w:type="dxa"/>
                                  <w:tcBorders/>
                                  <w:shd w:fill="1F2668" w:val="clear"/>
                                  <w:vAlign w:val="center"/>
                                </w:tcPr>
                                <w:p>
                                  <w:pPr>
                                    <w:pStyle w:val="TableContents"/>
                                    <w:bidi w:val="0"/>
                                    <w:spacing w:before="0" w:after="283"/>
                                    <w:jc w:val="left"/>
                                    <w:rPr/>
                                  </w:pPr>
                                  <w:r>
                                    <w:rPr/>
                                    <w:t>​</w:t>
                                  </w:r>
                                </w:p>
                              </w:tc>
                            </w:tr>
                          </w:tbl>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23pt;height:322.35pt;mso-wrap-distance-left:45pt;mso-wrap-distance-right:0pt;mso-wrap-distance-top:0pt;mso-wrap-distance-bottom:0pt;margin-top:0pt;mso-position-vertical:top;mso-position-vertical-relative:text;margin-left:45pt;mso-position-horizontal:left;mso-position-horizontal-relative:text">
                <v:textbox>
                  <w:txbxContent>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2677" w:type="dxa"/>
                        <w:jc w:val="left"/>
                        <w:tblInd w:w="0" w:type="dxa"/>
                        <w:tblLayout w:type="fixed"/>
                        <w:tblCellMar>
                          <w:top w:w="0" w:type="dxa"/>
                          <w:left w:w="0" w:type="dxa"/>
                          <w:bottom w:w="0" w:type="dxa"/>
                          <w:right w:w="0" w:type="dxa"/>
                        </w:tblCellMar>
                      </w:tblPr>
                      <w:tblGrid>
                        <w:gridCol w:w="124"/>
                        <w:gridCol w:w="109"/>
                        <w:gridCol w:w="2181"/>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81" w:type="dxa"/>
                            <w:tcBorders/>
                            <w:shd w:fill="1F2668" w:val="clear"/>
                            <w:vAlign w:val="center"/>
                          </w:tcPr>
                          <w:p>
                            <w:pPr>
                              <w:pStyle w:val="TableContents"/>
                              <w:bidi w:val="0"/>
                              <w:spacing w:before="0" w:after="0"/>
                              <w:ind w:left="0" w:right="160" w:hanging="0"/>
                              <w:jc w:val="left"/>
                              <w:rPr/>
                            </w:pPr>
                            <w:r>
                              <w:rPr/>
                              <w:drawing>
                                <wp:inline distT="0" distB="0" distL="0" distR="0">
                                  <wp:extent cx="1190625" cy="1447800"/>
                                  <wp:effectExtent l="0" t="0" r="0" b="0"/>
                                  <wp:docPr id="478" name="Image2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8" name="Image206" descr=""/>
                                          <pic:cNvPicPr>
                                            <a:picLocks noChangeAspect="1" noChangeArrowheads="1"/>
                                          </pic:cNvPicPr>
                                        </pic:nvPicPr>
                                        <pic:blipFill>
                                          <a:blip r:embed="rId294"/>
                                          <a:stretch>
                                            <a:fillRect/>
                                          </a:stretch>
                                        </pic:blipFill>
                                        <pic:spPr bwMode="auto">
                                          <a:xfrm>
                                            <a:off x="0" y="0"/>
                                            <a:ext cx="1190625" cy="1447800"/>
                                          </a:xfrm>
                                          <a:prstGeom prst="rect">
                                            <a:avLst/>
                                          </a:prstGeom>
                                        </pic:spPr>
                                      </pic:pic>
                                    </a:graphicData>
                                  </a:graphic>
                                </wp:inline>
                              </w:drawing>
                            </w:r>
                            <w:r>
                              <w:rPr/>
                              <w:t xml:space="preserve"> </w:t>
                            </w:r>
                          </w:p>
                          <w:p>
                            <w:pPr>
                              <w:pStyle w:val="TableContents"/>
                              <w:bidi w:val="0"/>
                              <w:spacing w:lineRule="atLeast" w:line="280" w:before="192" w:after="283"/>
                              <w:ind w:left="0" w:right="160" w:hanging="0"/>
                              <w:jc w:val="left"/>
                              <w:rPr>
                                <w:sz w:val="24"/>
                              </w:rPr>
                            </w:pPr>
                            <w:r>
                              <w:rPr>
                                <w:spacing w:val="-2"/>
                                <w:sz w:val="24"/>
                              </w:rPr>
                              <w:t xml:space="preserve">JOHN H. </w:t>
                              <w:br/>
                              <w:t>ALSCHULER</w:t>
                            </w:r>
                            <w:r>
                              <w:rPr>
                                <w:sz w:val="24"/>
                              </w:rPr>
                              <w:t xml:space="preserve">​ </w:t>
                            </w:r>
                          </w:p>
                          <w:p>
                            <w:pPr>
                              <w:pStyle w:val="TableContents"/>
                              <w:bidi w:val="0"/>
                              <w:spacing w:lineRule="atLeast" w:line="220" w:before="360" w:after="283"/>
                              <w:ind w:left="0" w:right="160" w:hanging="0"/>
                              <w:jc w:val="left"/>
                              <w:rPr/>
                            </w:pPr>
                            <w:r>
                              <w:rPr>
                                <w:spacing w:val="-2"/>
                              </w:rPr>
                              <w:t>Lead Independent</w:t>
                            </w:r>
                            <w:r>
                              <w:rPr/>
                              <w:t xml:space="preserve"> </w:t>
                            </w:r>
                          </w:p>
                          <w:p>
                            <w:pPr>
                              <w:pStyle w:val="TableContents"/>
                              <w:bidi w:val="0"/>
                              <w:spacing w:lineRule="atLeast" w:line="220" w:before="120" w:after="283"/>
                              <w:ind w:left="0" w:right="160" w:hanging="0"/>
                              <w:jc w:val="left"/>
                              <w:rPr/>
                            </w:pPr>
                            <w:r>
                              <w:rPr>
                                <w:spacing w:val="-2"/>
                              </w:rPr>
                              <w:t>Director since 2010</w:t>
                            </w:r>
                            <w:r>
                              <w:rPr/>
                              <w:t xml:space="preserve"> </w:t>
                            </w:r>
                          </w:p>
                        </w:tc>
                        <w:tc>
                          <w:tcPr>
                            <w:tcW w:w="109" w:type="dxa"/>
                            <w:tcBorders/>
                            <w:vAlign w:val="center"/>
                          </w:tcPr>
                          <w:p>
                            <w:pPr>
                              <w:pStyle w:val="TableContents"/>
                              <w:bidi w:val="0"/>
                              <w:spacing w:before="0" w:after="283"/>
                              <w:jc w:val="left"/>
                              <w:rPr/>
                            </w:pPr>
                            <w:r>
                              <w:rPr/>
                              <w:t>​</w:t>
                            </w:r>
                          </w:p>
                        </w:tc>
                        <w:tc>
                          <w:tcPr>
                            <w:tcW w:w="154" w:type="dxa"/>
                            <w:tcBorders/>
                            <w:shd w:fill="1F2668" w:val="clear"/>
                            <w:vAlign w:val="center"/>
                          </w:tcPr>
                          <w:p>
                            <w:pPr>
                              <w:pStyle w:val="TableContents"/>
                              <w:bidi w:val="0"/>
                              <w:spacing w:before="0" w:after="283"/>
                              <w:jc w:val="left"/>
                              <w:rPr/>
                            </w:pPr>
                            <w:r>
                              <w:rPr/>
                              <w:t>​</w:t>
                            </w:r>
                          </w:p>
                        </w:tc>
                      </w:tr>
                    </w:tbl>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254000" distR="0" simplePos="0" locked="0" layoutInCell="1" allowOverlap="1" relativeHeight="472">
                <wp:simplePos x="0" y="0"/>
                <wp:positionH relativeFrom="column">
                  <wp:align>left</wp:align>
                </wp:positionH>
                <wp:positionV relativeFrom="line">
                  <wp:posOffset>635</wp:posOffset>
                </wp:positionV>
                <wp:extent cx="4584700" cy="8315325"/>
                <wp:effectExtent l="0" t="0" r="0" b="0"/>
                <wp:wrapSquare wrapText="right"/>
                <wp:docPr id="479" name="Frame192"/>
                <a:graphic xmlns:a="http://schemas.openxmlformats.org/drawingml/2006/main">
                  <a:graphicData uri="http://schemas.microsoft.com/office/word/2010/wordprocessingShape">
                    <wps:wsp>
                      <wps:cNvSpPr txBox="1"/>
                      <wps:spPr>
                        <a:xfrm>
                          <a:off x="0" y="0"/>
                          <a:ext cx="4584700" cy="8315325"/>
                        </a:xfrm>
                        <a:prstGeom prst="rect"/>
                        <a:solidFill>
                          <a:srgbClr val="FFFFFF"/>
                        </a:solidFill>
                      </wps:spPr>
                      <wps:txbx>
                        <w:txbxContent>
                          <w:p>
                            <w:pPr>
                              <w:pStyle w:val="TextBody"/>
                              <w:bidi w:val="0"/>
                              <w:spacing w:lineRule="atLeast" w:line="260" w:before="0" w:after="0"/>
                              <w:jc w:val="left"/>
                              <w:rPr>
                                <w:b/>
                                <w:color w:val="83AD40"/>
                                <w:sz w:val="22"/>
                              </w:rPr>
                            </w:pPr>
                            <w:r>
                              <w:rPr>
                                <w:b/>
                                <w:color w:val="83AD40"/>
                                <w:spacing w:val="-2"/>
                                <w:sz w:val="22"/>
                              </w:rPr>
                              <w:t>Role of the Lead Independent Director</w:t>
                            </w:r>
                            <w:r>
                              <w:rPr>
                                <w:b/>
                                <w:color w:val="83AD40"/>
                                <w:sz w:val="22"/>
                              </w:rPr>
                              <w:t xml:space="preserve"> </w:t>
                            </w:r>
                          </w:p>
                          <w:p>
                            <w:pPr>
                              <w:pStyle w:val="TextBody"/>
                              <w:bidi w:val="0"/>
                              <w:spacing w:lineRule="atLeast" w:line="230" w:before="120" w:after="283"/>
                              <w:jc w:val="left"/>
                              <w:rPr/>
                            </w:pPr>
                            <w:r>
                              <w:rPr>
                                <w:spacing w:val="-2"/>
                              </w:rPr>
                              <w:t>In addition to presiding at executive sessions of independent directors, the Lead Independent Director has the responsibility to:</w:t>
                            </w:r>
                            <w:r>
                              <w:rPr/>
                              <w:t xml:space="preserve"> </w:t>
                            </w:r>
                          </w:p>
                          <w:p>
                            <w:pPr>
                              <w:pStyle w:val="TextBody"/>
                              <w:bidi w:val="0"/>
                              <w:spacing w:lineRule="atLeast" w:line="240" w:before="152" w:after="0"/>
                              <w:ind w:left="580" w:right="0" w:hanging="0"/>
                              <w:jc w:val="left"/>
                              <w:rPr/>
                            </w:pPr>
                            <w:r>
                              <w:rPr>
                                <w:spacing w:val="-2"/>
                              </w:rPr>
                              <w:t>consult with the Chairman of the Board and Chief Executive Officer as to an appropriate schedule and agenda for each Board meeting, seeking to ensure that the independent directors can perform their duties effectively and responsibly;</w:t>
                            </w:r>
                            <w:r>
                              <w:rPr/>
                              <w:t xml:space="preserve"> </w:t>
                            </w:r>
                          </w:p>
                          <w:p>
                            <w:pPr>
                              <w:pStyle w:val="TextBody"/>
                              <w:bidi w:val="0"/>
                              <w:spacing w:before="0" w:after="0"/>
                              <w:ind w:left="0" w:right="0" w:hanging="0"/>
                              <w:jc w:val="left"/>
                              <w:rPr/>
                            </w:pPr>
                            <w:r>
                              <w:rPr/>
                              <w:t>​</w:t>
                            </w:r>
                          </w:p>
                          <w:p>
                            <w:pPr>
                              <w:pStyle w:val="TextBody"/>
                              <w:bidi w:val="0"/>
                              <w:spacing w:lineRule="atLeast" w:line="240" w:before="52" w:after="0"/>
                              <w:ind w:left="580" w:right="0" w:hanging="0"/>
                              <w:jc w:val="left"/>
                              <w:rPr/>
                            </w:pPr>
                            <w:r>
                              <w:rPr>
                                <w:spacing w:val="-2"/>
                              </w:rPr>
                              <w:t>ensure that the independent directors have adequate resources, especially by way of full, timely and relevant information to support their decision making;</w:t>
                            </w:r>
                            <w:r>
                              <w:rPr/>
                              <w:t xml:space="preserve"> </w:t>
                            </w:r>
                          </w:p>
                          <w:p>
                            <w:pPr>
                              <w:pStyle w:val="TextBody"/>
                              <w:bidi w:val="0"/>
                              <w:spacing w:before="0" w:after="0"/>
                              <w:ind w:left="0" w:right="0" w:hanging="0"/>
                              <w:jc w:val="left"/>
                              <w:rPr/>
                            </w:pPr>
                            <w:r>
                              <w:rPr/>
                              <w:t>​</w:t>
                            </w:r>
                          </w:p>
                          <w:p>
                            <w:pPr>
                              <w:pStyle w:val="TextBody"/>
                              <w:bidi w:val="0"/>
                              <w:spacing w:lineRule="atLeast" w:line="240" w:before="52" w:after="0"/>
                              <w:ind w:left="580" w:right="0" w:hanging="0"/>
                              <w:jc w:val="left"/>
                              <w:rPr/>
                            </w:pPr>
                            <w:r>
                              <w:rPr>
                                <w:spacing w:val="-2"/>
                              </w:rPr>
                              <w:t>advise the Chief Executive Officer and Chairman as to the quality, quantity and timeliness of the information submitted by the Company’s management that is necessary or appropriate for the independent directors to effectively and responsibly perform their duties;</w:t>
                            </w:r>
                            <w:r>
                              <w:rPr/>
                              <w:t xml:space="preserve"> </w:t>
                            </w:r>
                          </w:p>
                          <w:p>
                            <w:pPr>
                              <w:pStyle w:val="TextBody"/>
                              <w:bidi w:val="0"/>
                              <w:spacing w:before="0" w:after="0"/>
                              <w:ind w:left="0" w:right="0" w:hanging="0"/>
                              <w:jc w:val="left"/>
                              <w:rPr/>
                            </w:pPr>
                            <w:r>
                              <w:rPr/>
                              <w:t>​</w:t>
                            </w:r>
                          </w:p>
                          <w:p>
                            <w:pPr>
                              <w:pStyle w:val="TextBody"/>
                              <w:bidi w:val="0"/>
                              <w:spacing w:lineRule="atLeast" w:line="240" w:before="52" w:after="0"/>
                              <w:ind w:left="580" w:right="0" w:hanging="0"/>
                              <w:jc w:val="left"/>
                              <w:rPr/>
                            </w:pPr>
                            <w:r>
                              <w:rPr>
                                <w:spacing w:val="-2"/>
                              </w:rPr>
                              <w:t>recommend to the Board and the Board Committees the retention of advisers and consultants who report directly to the Board;</w:t>
                            </w:r>
                            <w:r>
                              <w:rPr/>
                              <w:t xml:space="preserve"> </w:t>
                            </w:r>
                          </w:p>
                          <w:p>
                            <w:pPr>
                              <w:pStyle w:val="TextBody"/>
                              <w:bidi w:val="0"/>
                              <w:spacing w:before="0" w:after="0"/>
                              <w:ind w:left="0" w:right="0" w:hanging="0"/>
                              <w:jc w:val="left"/>
                              <w:rPr/>
                            </w:pPr>
                            <w:r>
                              <w:rPr/>
                              <w:t>​</w:t>
                            </w:r>
                          </w:p>
                          <w:p>
                            <w:pPr>
                              <w:pStyle w:val="TextBody"/>
                              <w:bidi w:val="0"/>
                              <w:spacing w:lineRule="atLeast" w:line="240" w:before="52" w:after="0"/>
                              <w:ind w:left="580" w:right="0" w:hanging="0"/>
                              <w:jc w:val="left"/>
                              <w:rPr/>
                            </w:pPr>
                            <w:r>
                              <w:rPr>
                                <w:spacing w:val="-2"/>
                              </w:rPr>
                              <w:t>ensure that independent directors have adequate opportunities to meet and discuss issues in sessions of the independent directors without management present and, as appropriate, call meetings of the Independent Directors;</w:t>
                            </w:r>
                            <w:r>
                              <w:rPr/>
                              <w:t xml:space="preserve"> </w:t>
                            </w:r>
                          </w:p>
                          <w:p>
                            <w:pPr>
                              <w:pStyle w:val="TextBody"/>
                              <w:bidi w:val="0"/>
                              <w:spacing w:before="0" w:after="0"/>
                              <w:ind w:left="0" w:right="0" w:hanging="0"/>
                              <w:jc w:val="left"/>
                              <w:rPr/>
                            </w:pPr>
                            <w:r>
                              <w:rPr/>
                              <w:t>​</w:t>
                            </w:r>
                          </w:p>
                          <w:p>
                            <w:pPr>
                              <w:pStyle w:val="TextBody"/>
                              <w:bidi w:val="0"/>
                              <w:spacing w:lineRule="atLeast" w:line="240" w:before="52" w:after="0"/>
                              <w:ind w:left="580" w:right="0" w:hanging="0"/>
                              <w:jc w:val="left"/>
                              <w:rPr/>
                            </w:pPr>
                            <w:r>
                              <w:rPr>
                                <w:spacing w:val="-2"/>
                              </w:rPr>
                              <w:t>serve as Chairman of the sessions of the independent directors;</w:t>
                            </w:r>
                            <w:r>
                              <w:rPr/>
                              <w:t xml:space="preserve"> </w:t>
                            </w:r>
                          </w:p>
                          <w:p>
                            <w:pPr>
                              <w:pStyle w:val="TextBody"/>
                              <w:bidi w:val="0"/>
                              <w:spacing w:before="0" w:after="0"/>
                              <w:ind w:left="0" w:right="0" w:hanging="0"/>
                              <w:jc w:val="left"/>
                              <w:rPr/>
                            </w:pPr>
                            <w:r>
                              <w:rPr/>
                              <w:t>​</w:t>
                            </w:r>
                          </w:p>
                          <w:p>
                            <w:pPr>
                              <w:pStyle w:val="TextBody"/>
                              <w:bidi w:val="0"/>
                              <w:spacing w:lineRule="atLeast" w:line="240" w:before="52" w:after="0"/>
                              <w:ind w:left="580" w:right="0" w:hanging="0"/>
                              <w:jc w:val="left"/>
                              <w:rPr/>
                            </w:pPr>
                            <w:r>
                              <w:rPr>
                                <w:spacing w:val="-2"/>
                              </w:rPr>
                              <w:t>serve as principal liaison between the independent directors and the Chief Executive Officer and Chairman of the Company and between the independent directors and senior management;</w:t>
                            </w:r>
                            <w:r>
                              <w:rPr/>
                              <w:t xml:space="preserve"> </w:t>
                            </w:r>
                          </w:p>
                          <w:p>
                            <w:pPr>
                              <w:pStyle w:val="TextBody"/>
                              <w:bidi w:val="0"/>
                              <w:spacing w:before="0" w:after="0"/>
                              <w:ind w:left="0" w:right="0" w:hanging="0"/>
                              <w:jc w:val="left"/>
                              <w:rPr/>
                            </w:pPr>
                            <w:r>
                              <w:rPr/>
                              <w:t>​</w:t>
                            </w:r>
                          </w:p>
                          <w:p>
                            <w:pPr>
                              <w:pStyle w:val="TextBody"/>
                              <w:bidi w:val="0"/>
                              <w:spacing w:lineRule="atLeast" w:line="240" w:before="54" w:after="0"/>
                              <w:ind w:left="580" w:right="0" w:hanging="0"/>
                              <w:jc w:val="left"/>
                              <w:rPr/>
                            </w:pPr>
                            <w:r>
                              <w:rPr>
                                <w:spacing w:val="-2"/>
                              </w:rPr>
                              <w:t>communicate to management, as appropriate, the results of private discussions among independent directors;</w:t>
                            </w:r>
                            <w:r>
                              <w:rPr/>
                              <w:t xml:space="preserve"> </w:t>
                            </w:r>
                          </w:p>
                          <w:p>
                            <w:pPr>
                              <w:pStyle w:val="TextBody"/>
                              <w:bidi w:val="0"/>
                              <w:spacing w:before="0" w:after="0"/>
                              <w:ind w:left="0" w:right="0" w:hanging="0"/>
                              <w:jc w:val="left"/>
                              <w:rPr/>
                            </w:pPr>
                            <w:r>
                              <w:rPr/>
                              <w:t>​</w:t>
                            </w:r>
                          </w:p>
                          <w:p>
                            <w:pPr>
                              <w:pStyle w:val="TextBody"/>
                              <w:bidi w:val="0"/>
                              <w:spacing w:lineRule="atLeast" w:line="240" w:before="54" w:after="0"/>
                              <w:ind w:left="580" w:right="0" w:hanging="0"/>
                              <w:jc w:val="left"/>
                              <w:rPr/>
                            </w:pPr>
                            <w:r>
                              <w:rPr>
                                <w:spacing w:val="-2"/>
                              </w:rPr>
                              <w:t>chair the meetings of the Board when the Chairman is not present;</w:t>
                            </w:r>
                            <w:r>
                              <w:rPr/>
                              <w:t xml:space="preserve"> </w:t>
                            </w:r>
                          </w:p>
                          <w:p>
                            <w:pPr>
                              <w:pStyle w:val="TextBody"/>
                              <w:bidi w:val="0"/>
                              <w:spacing w:before="0" w:after="0"/>
                              <w:ind w:left="0" w:right="0" w:hanging="0"/>
                              <w:jc w:val="left"/>
                              <w:rPr/>
                            </w:pPr>
                            <w:r>
                              <w:rPr/>
                              <w:t>​</w:t>
                            </w:r>
                          </w:p>
                          <w:p>
                            <w:pPr>
                              <w:pStyle w:val="TextBody"/>
                              <w:bidi w:val="0"/>
                              <w:spacing w:lineRule="atLeast" w:line="240" w:before="54" w:after="0"/>
                              <w:ind w:left="580" w:right="0" w:hanging="0"/>
                              <w:jc w:val="left"/>
                              <w:rPr/>
                            </w:pPr>
                            <w:r>
                              <w:rPr>
                                <w:spacing w:val="-2"/>
                              </w:rPr>
                              <w:t>with respect to questions and comments directed to the Lead Independent Director or to the independent directors as a group, determine the appropriate means of response, with such consultation with the Chief Executive Officer and Chairman and other directors as the Lead Independent Director may deem appropriate; and</w:t>
                            </w:r>
                            <w:r>
                              <w:rPr/>
                              <w:t xml:space="preserve"> </w:t>
                            </w:r>
                          </w:p>
                          <w:p>
                            <w:pPr>
                              <w:pStyle w:val="TextBody"/>
                              <w:bidi w:val="0"/>
                              <w:spacing w:before="0" w:after="0"/>
                              <w:ind w:left="0" w:right="0" w:hanging="0"/>
                              <w:jc w:val="left"/>
                              <w:rPr/>
                            </w:pPr>
                            <w:r>
                              <w:rPr/>
                              <w:t>​</w:t>
                            </w:r>
                          </w:p>
                          <w:p>
                            <w:pPr>
                              <w:pStyle w:val="TextBody"/>
                              <w:bidi w:val="0"/>
                              <w:spacing w:lineRule="atLeast" w:line="240" w:before="54" w:after="0"/>
                              <w:ind w:left="580" w:right="0" w:hanging="0"/>
                              <w:jc w:val="left"/>
                              <w:rPr/>
                            </w:pPr>
                            <w:r>
                              <w:rPr>
                                <w:spacing w:val="-2"/>
                              </w:rPr>
                              <w:t>perform such other duties as the Board from time to time may delegate.</w:t>
                            </w:r>
                            <w:r>
                              <w:rPr/>
                              <w:t xml:space="preserve"> </w:t>
                            </w:r>
                          </w:p>
                          <w:p>
                            <w:pPr>
                              <w:pStyle w:val="TextBody"/>
                              <w:bidi w:val="0"/>
                              <w:spacing w:before="0" w:after="0"/>
                              <w:ind w:left="0" w:right="0" w:hanging="0"/>
                              <w:jc w:val="left"/>
                              <w:rPr/>
                            </w:pPr>
                            <w:r>
                              <w:rPr/>
                              <w:t>​</w:t>
                            </w:r>
                          </w:p>
                        </w:txbxContent>
                      </wps:txbx>
                      <wps:bodyPr anchor="t" lIns="0" tIns="0" rIns="0" bIns="0">
                        <a:noAutofit/>
                      </wps:bodyPr>
                    </wps:wsp>
                  </a:graphicData>
                </a:graphic>
              </wp:anchor>
            </w:drawing>
          </mc:Choice>
          <mc:Fallback>
            <w:pict>
              <v:rect style="position:absolute;rotation:-0;width:361pt;height:654.75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60" w:before="0" w:after="0"/>
                        <w:jc w:val="left"/>
                        <w:rPr>
                          <w:b/>
                          <w:color w:val="83AD40"/>
                          <w:sz w:val="22"/>
                        </w:rPr>
                      </w:pPr>
                      <w:r>
                        <w:rPr>
                          <w:b/>
                          <w:color w:val="83AD40"/>
                          <w:spacing w:val="-2"/>
                          <w:sz w:val="22"/>
                        </w:rPr>
                        <w:t>Role of the Lead Independent Director</w:t>
                      </w:r>
                      <w:r>
                        <w:rPr>
                          <w:b/>
                          <w:color w:val="83AD40"/>
                          <w:sz w:val="22"/>
                        </w:rPr>
                        <w:t xml:space="preserve"> </w:t>
                      </w:r>
                    </w:p>
                    <w:p>
                      <w:pPr>
                        <w:pStyle w:val="TextBody"/>
                        <w:bidi w:val="0"/>
                        <w:spacing w:lineRule="atLeast" w:line="230" w:before="120" w:after="283"/>
                        <w:jc w:val="left"/>
                        <w:rPr/>
                      </w:pPr>
                      <w:r>
                        <w:rPr>
                          <w:spacing w:val="-2"/>
                        </w:rPr>
                        <w:t>In addition to presiding at executive sessions of independent directors, the Lead Independent Director has the responsibility to:</w:t>
                      </w:r>
                      <w:r>
                        <w:rPr/>
                        <w:t xml:space="preserve"> </w:t>
                      </w:r>
                    </w:p>
                    <w:p>
                      <w:pPr>
                        <w:pStyle w:val="TextBody"/>
                        <w:bidi w:val="0"/>
                        <w:spacing w:lineRule="atLeast" w:line="240" w:before="152" w:after="0"/>
                        <w:ind w:left="580" w:right="0" w:hanging="0"/>
                        <w:jc w:val="left"/>
                        <w:rPr/>
                      </w:pPr>
                      <w:r>
                        <w:rPr>
                          <w:spacing w:val="-2"/>
                        </w:rPr>
                        <w:t>consult with the Chairman of the Board and Chief Executive Officer as to an appropriate schedule and agenda for each Board meeting, seeking to ensure that the independent directors can perform their duties effectively and responsibly;</w:t>
                      </w:r>
                      <w:r>
                        <w:rPr/>
                        <w:t xml:space="preserve"> </w:t>
                      </w:r>
                    </w:p>
                    <w:p>
                      <w:pPr>
                        <w:pStyle w:val="TextBody"/>
                        <w:bidi w:val="0"/>
                        <w:spacing w:before="0" w:after="0"/>
                        <w:ind w:left="0" w:right="0" w:hanging="0"/>
                        <w:jc w:val="left"/>
                        <w:rPr/>
                      </w:pPr>
                      <w:r>
                        <w:rPr/>
                        <w:t>​</w:t>
                      </w:r>
                    </w:p>
                    <w:p>
                      <w:pPr>
                        <w:pStyle w:val="TextBody"/>
                        <w:bidi w:val="0"/>
                        <w:spacing w:lineRule="atLeast" w:line="240" w:before="52" w:after="0"/>
                        <w:ind w:left="580" w:right="0" w:hanging="0"/>
                        <w:jc w:val="left"/>
                        <w:rPr/>
                      </w:pPr>
                      <w:r>
                        <w:rPr>
                          <w:spacing w:val="-2"/>
                        </w:rPr>
                        <w:t>ensure that the independent directors have adequate resources, especially by way of full, timely and relevant information to support their decision making;</w:t>
                      </w:r>
                      <w:r>
                        <w:rPr/>
                        <w:t xml:space="preserve"> </w:t>
                      </w:r>
                    </w:p>
                    <w:p>
                      <w:pPr>
                        <w:pStyle w:val="TextBody"/>
                        <w:bidi w:val="0"/>
                        <w:spacing w:before="0" w:after="0"/>
                        <w:ind w:left="0" w:right="0" w:hanging="0"/>
                        <w:jc w:val="left"/>
                        <w:rPr/>
                      </w:pPr>
                      <w:r>
                        <w:rPr/>
                        <w:t>​</w:t>
                      </w:r>
                    </w:p>
                    <w:p>
                      <w:pPr>
                        <w:pStyle w:val="TextBody"/>
                        <w:bidi w:val="0"/>
                        <w:spacing w:lineRule="atLeast" w:line="240" w:before="52" w:after="0"/>
                        <w:ind w:left="580" w:right="0" w:hanging="0"/>
                        <w:jc w:val="left"/>
                        <w:rPr/>
                      </w:pPr>
                      <w:r>
                        <w:rPr>
                          <w:spacing w:val="-2"/>
                        </w:rPr>
                        <w:t>advise the Chief Executive Officer and Chairman as to the quality, quantity and timeliness of the information submitted by the Company’s management that is necessary or appropriate for the independent directors to effectively and responsibly perform their duties;</w:t>
                      </w:r>
                      <w:r>
                        <w:rPr/>
                        <w:t xml:space="preserve"> </w:t>
                      </w:r>
                    </w:p>
                    <w:p>
                      <w:pPr>
                        <w:pStyle w:val="TextBody"/>
                        <w:bidi w:val="0"/>
                        <w:spacing w:before="0" w:after="0"/>
                        <w:ind w:left="0" w:right="0" w:hanging="0"/>
                        <w:jc w:val="left"/>
                        <w:rPr/>
                      </w:pPr>
                      <w:r>
                        <w:rPr/>
                        <w:t>​</w:t>
                      </w:r>
                    </w:p>
                    <w:p>
                      <w:pPr>
                        <w:pStyle w:val="TextBody"/>
                        <w:bidi w:val="0"/>
                        <w:spacing w:lineRule="atLeast" w:line="240" w:before="52" w:after="0"/>
                        <w:ind w:left="580" w:right="0" w:hanging="0"/>
                        <w:jc w:val="left"/>
                        <w:rPr/>
                      </w:pPr>
                      <w:r>
                        <w:rPr>
                          <w:spacing w:val="-2"/>
                        </w:rPr>
                        <w:t>recommend to the Board and the Board Committees the retention of advisers and consultants who report directly to the Board;</w:t>
                      </w:r>
                      <w:r>
                        <w:rPr/>
                        <w:t xml:space="preserve"> </w:t>
                      </w:r>
                    </w:p>
                    <w:p>
                      <w:pPr>
                        <w:pStyle w:val="TextBody"/>
                        <w:bidi w:val="0"/>
                        <w:spacing w:before="0" w:after="0"/>
                        <w:ind w:left="0" w:right="0" w:hanging="0"/>
                        <w:jc w:val="left"/>
                        <w:rPr/>
                      </w:pPr>
                      <w:r>
                        <w:rPr/>
                        <w:t>​</w:t>
                      </w:r>
                    </w:p>
                    <w:p>
                      <w:pPr>
                        <w:pStyle w:val="TextBody"/>
                        <w:bidi w:val="0"/>
                        <w:spacing w:lineRule="atLeast" w:line="240" w:before="52" w:after="0"/>
                        <w:ind w:left="580" w:right="0" w:hanging="0"/>
                        <w:jc w:val="left"/>
                        <w:rPr/>
                      </w:pPr>
                      <w:r>
                        <w:rPr>
                          <w:spacing w:val="-2"/>
                        </w:rPr>
                        <w:t>ensure that independent directors have adequate opportunities to meet and discuss issues in sessions of the independent directors without management present and, as appropriate, call meetings of the Independent Directors;</w:t>
                      </w:r>
                      <w:r>
                        <w:rPr/>
                        <w:t xml:space="preserve"> </w:t>
                      </w:r>
                    </w:p>
                    <w:p>
                      <w:pPr>
                        <w:pStyle w:val="TextBody"/>
                        <w:bidi w:val="0"/>
                        <w:spacing w:before="0" w:after="0"/>
                        <w:ind w:left="0" w:right="0" w:hanging="0"/>
                        <w:jc w:val="left"/>
                        <w:rPr/>
                      </w:pPr>
                      <w:r>
                        <w:rPr/>
                        <w:t>​</w:t>
                      </w:r>
                    </w:p>
                    <w:p>
                      <w:pPr>
                        <w:pStyle w:val="TextBody"/>
                        <w:bidi w:val="0"/>
                        <w:spacing w:lineRule="atLeast" w:line="240" w:before="52" w:after="0"/>
                        <w:ind w:left="580" w:right="0" w:hanging="0"/>
                        <w:jc w:val="left"/>
                        <w:rPr/>
                      </w:pPr>
                      <w:r>
                        <w:rPr>
                          <w:spacing w:val="-2"/>
                        </w:rPr>
                        <w:t>serve as Chairman of the sessions of the independent directors;</w:t>
                      </w:r>
                      <w:r>
                        <w:rPr/>
                        <w:t xml:space="preserve"> </w:t>
                      </w:r>
                    </w:p>
                    <w:p>
                      <w:pPr>
                        <w:pStyle w:val="TextBody"/>
                        <w:bidi w:val="0"/>
                        <w:spacing w:before="0" w:after="0"/>
                        <w:ind w:left="0" w:right="0" w:hanging="0"/>
                        <w:jc w:val="left"/>
                        <w:rPr/>
                      </w:pPr>
                      <w:r>
                        <w:rPr/>
                        <w:t>​</w:t>
                      </w:r>
                    </w:p>
                    <w:p>
                      <w:pPr>
                        <w:pStyle w:val="TextBody"/>
                        <w:bidi w:val="0"/>
                        <w:spacing w:lineRule="atLeast" w:line="240" w:before="52" w:after="0"/>
                        <w:ind w:left="580" w:right="0" w:hanging="0"/>
                        <w:jc w:val="left"/>
                        <w:rPr/>
                      </w:pPr>
                      <w:r>
                        <w:rPr>
                          <w:spacing w:val="-2"/>
                        </w:rPr>
                        <w:t>serve as principal liaison between the independent directors and the Chief Executive Officer and Chairman of the Company and between the independent directors and senior management;</w:t>
                      </w:r>
                      <w:r>
                        <w:rPr/>
                        <w:t xml:space="preserve"> </w:t>
                      </w:r>
                    </w:p>
                    <w:p>
                      <w:pPr>
                        <w:pStyle w:val="TextBody"/>
                        <w:bidi w:val="0"/>
                        <w:spacing w:before="0" w:after="0"/>
                        <w:ind w:left="0" w:right="0" w:hanging="0"/>
                        <w:jc w:val="left"/>
                        <w:rPr/>
                      </w:pPr>
                      <w:r>
                        <w:rPr/>
                        <w:t>​</w:t>
                      </w:r>
                    </w:p>
                    <w:p>
                      <w:pPr>
                        <w:pStyle w:val="TextBody"/>
                        <w:bidi w:val="0"/>
                        <w:spacing w:lineRule="atLeast" w:line="240" w:before="54" w:after="0"/>
                        <w:ind w:left="580" w:right="0" w:hanging="0"/>
                        <w:jc w:val="left"/>
                        <w:rPr/>
                      </w:pPr>
                      <w:r>
                        <w:rPr>
                          <w:spacing w:val="-2"/>
                        </w:rPr>
                        <w:t>communicate to management, as appropriate, the results of private discussions among independent directors;</w:t>
                      </w:r>
                      <w:r>
                        <w:rPr/>
                        <w:t xml:space="preserve"> </w:t>
                      </w:r>
                    </w:p>
                    <w:p>
                      <w:pPr>
                        <w:pStyle w:val="TextBody"/>
                        <w:bidi w:val="0"/>
                        <w:spacing w:before="0" w:after="0"/>
                        <w:ind w:left="0" w:right="0" w:hanging="0"/>
                        <w:jc w:val="left"/>
                        <w:rPr/>
                      </w:pPr>
                      <w:r>
                        <w:rPr/>
                        <w:t>​</w:t>
                      </w:r>
                    </w:p>
                    <w:p>
                      <w:pPr>
                        <w:pStyle w:val="TextBody"/>
                        <w:bidi w:val="0"/>
                        <w:spacing w:lineRule="atLeast" w:line="240" w:before="54" w:after="0"/>
                        <w:ind w:left="580" w:right="0" w:hanging="0"/>
                        <w:jc w:val="left"/>
                        <w:rPr/>
                      </w:pPr>
                      <w:r>
                        <w:rPr>
                          <w:spacing w:val="-2"/>
                        </w:rPr>
                        <w:t>chair the meetings of the Board when the Chairman is not present;</w:t>
                      </w:r>
                      <w:r>
                        <w:rPr/>
                        <w:t xml:space="preserve"> </w:t>
                      </w:r>
                    </w:p>
                    <w:p>
                      <w:pPr>
                        <w:pStyle w:val="TextBody"/>
                        <w:bidi w:val="0"/>
                        <w:spacing w:before="0" w:after="0"/>
                        <w:ind w:left="0" w:right="0" w:hanging="0"/>
                        <w:jc w:val="left"/>
                        <w:rPr/>
                      </w:pPr>
                      <w:r>
                        <w:rPr/>
                        <w:t>​</w:t>
                      </w:r>
                    </w:p>
                    <w:p>
                      <w:pPr>
                        <w:pStyle w:val="TextBody"/>
                        <w:bidi w:val="0"/>
                        <w:spacing w:lineRule="atLeast" w:line="240" w:before="54" w:after="0"/>
                        <w:ind w:left="580" w:right="0" w:hanging="0"/>
                        <w:jc w:val="left"/>
                        <w:rPr/>
                      </w:pPr>
                      <w:r>
                        <w:rPr>
                          <w:spacing w:val="-2"/>
                        </w:rPr>
                        <w:t>with respect to questions and comments directed to the Lead Independent Director or to the independent directors as a group, determine the appropriate means of response, with such consultation with the Chief Executive Officer and Chairman and other directors as the Lead Independent Director may deem appropriate; and</w:t>
                      </w:r>
                      <w:r>
                        <w:rPr/>
                        <w:t xml:space="preserve"> </w:t>
                      </w:r>
                    </w:p>
                    <w:p>
                      <w:pPr>
                        <w:pStyle w:val="TextBody"/>
                        <w:bidi w:val="0"/>
                        <w:spacing w:before="0" w:after="0"/>
                        <w:ind w:left="0" w:right="0" w:hanging="0"/>
                        <w:jc w:val="left"/>
                        <w:rPr/>
                      </w:pPr>
                      <w:r>
                        <w:rPr/>
                        <w:t>​</w:t>
                      </w:r>
                    </w:p>
                    <w:p>
                      <w:pPr>
                        <w:pStyle w:val="TextBody"/>
                        <w:bidi w:val="0"/>
                        <w:spacing w:lineRule="atLeast" w:line="240" w:before="54" w:after="0"/>
                        <w:ind w:left="580" w:right="0" w:hanging="0"/>
                        <w:jc w:val="left"/>
                        <w:rPr/>
                      </w:pPr>
                      <w:r>
                        <w:rPr>
                          <w:spacing w:val="-2"/>
                        </w:rPr>
                        <w:t>perform such other duties as the Board from time to time may delegate.</w:t>
                      </w:r>
                      <w:r>
                        <w:rPr/>
                        <w:t xml:space="preserve"> </w:t>
                      </w:r>
                    </w:p>
                    <w:p>
                      <w:pPr>
                        <w:pStyle w:val="TextBody"/>
                        <w:bidi w:val="0"/>
                        <w:spacing w:before="0" w:after="0"/>
                        <w:ind w:left="0" w:right="0" w:hanging="0"/>
                        <w:jc w:val="left"/>
                        <w:rPr/>
                      </w:pPr>
                      <w:r>
                        <w:rPr/>
                        <w:t>​</w:t>
                      </w:r>
                    </w:p>
                  </w:txbxContent>
                </v:textbox>
                <w10:wrap type="square" side="right"/>
              </v:rect>
            </w:pict>
          </mc:Fallback>
        </mc:AlternateContent>
      </w:r>
      <w:r>
        <mc:AlternateContent>
          <mc:Choice Requires="wps">
            <w:drawing>
              <wp:anchor behindDoc="0" distT="96520" distB="0" distL="114300" distR="0" simplePos="0" locked="0" layoutInCell="1" allowOverlap="1" relativeHeight="473">
                <wp:simplePos x="0" y="0"/>
                <wp:positionH relativeFrom="column">
                  <wp:align>left</wp:align>
                </wp:positionH>
                <wp:positionV relativeFrom="line">
                  <wp:align>top</wp:align>
                </wp:positionV>
                <wp:extent cx="254000" cy="350520"/>
                <wp:effectExtent l="0" t="0" r="0" b="0"/>
                <wp:wrapSquare wrapText="right"/>
                <wp:docPr id="480" name="Frame19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9pt;mso-wrap-distance-right:0pt;mso-wrap-distance-top:7.6pt;mso-wrap-distance-bottom:0pt;margin-top:7.6pt;mso-position-vertical:top;mso-position-vertical-relative:text;margin-left:9pt;mso-position-horizontal:left;mso-position-horizontal-relative:text">
                <v:textbox>
                  <w:txbxContent>
                    <w:p>
                      <w:pPr>
                        <w:pStyle w:val="TextBody"/>
                        <w:bidi w:val="0"/>
                        <w:spacing w:lineRule="atLeast" w:line="240" w:before="0" w:after="283"/>
                        <w:jc w:val="left"/>
                        <w:rPr/>
                      </w:pPr>
                      <w:r>
                        <w:rPr>
                          <w:spacing w:val="-2"/>
                        </w:rPr>
                        <w:t>1.</w:t>
                      </w:r>
                      <w:r>
                        <w:rPr/>
                        <w:t xml:space="preserve"> </w:t>
                        <w:br/>
                      </w:r>
                    </w:p>
                  </w:txbxContent>
                </v:textbox>
                <w10:wrap type="square" side="right"/>
              </v:rect>
            </w:pict>
          </mc:Fallback>
        </mc:AlternateContent>
      </w:r>
      <w:r>
        <mc:AlternateContent>
          <mc:Choice Requires="wps">
            <w:drawing>
              <wp:anchor behindDoc="0" distT="33020" distB="0" distL="114300" distR="0" simplePos="0" locked="0" layoutInCell="1" allowOverlap="1" relativeHeight="474">
                <wp:simplePos x="0" y="0"/>
                <wp:positionH relativeFrom="column">
                  <wp:align>left</wp:align>
                </wp:positionH>
                <wp:positionV relativeFrom="line">
                  <wp:align>top</wp:align>
                </wp:positionV>
                <wp:extent cx="254000" cy="350520"/>
                <wp:effectExtent l="0" t="0" r="0" b="0"/>
                <wp:wrapSquare wrapText="right"/>
                <wp:docPr id="481" name="Frame19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9pt;mso-wrap-distance-right:0pt;mso-wrap-distance-top:2.6pt;mso-wrap-distance-bottom:0pt;margin-top:2.6pt;mso-position-vertical:top;mso-position-vertical-relative:text;margin-left:9pt;mso-position-horizontal:left;mso-position-horizontal-relative:text">
                <v:textbox>
                  <w:txbxContent>
                    <w:p>
                      <w:pPr>
                        <w:pStyle w:val="TextBody"/>
                        <w:bidi w:val="0"/>
                        <w:spacing w:lineRule="atLeast" w:line="240" w:before="0" w:after="283"/>
                        <w:jc w:val="left"/>
                        <w:rPr/>
                      </w:pPr>
                      <w:r>
                        <w:rPr>
                          <w:spacing w:val="-2"/>
                        </w:rPr>
                        <w:t>2.</w:t>
                      </w:r>
                      <w:r>
                        <w:rPr/>
                        <w:t xml:space="preserve"> </w:t>
                        <w:br/>
                      </w:r>
                    </w:p>
                  </w:txbxContent>
                </v:textbox>
                <w10:wrap type="square" side="right"/>
              </v:rect>
            </w:pict>
          </mc:Fallback>
        </mc:AlternateContent>
      </w:r>
      <w:r>
        <mc:AlternateContent>
          <mc:Choice Requires="wps">
            <w:drawing>
              <wp:anchor behindDoc="0" distT="33020" distB="0" distL="114300" distR="0" simplePos="0" locked="0" layoutInCell="1" allowOverlap="1" relativeHeight="475">
                <wp:simplePos x="0" y="0"/>
                <wp:positionH relativeFrom="column">
                  <wp:align>left</wp:align>
                </wp:positionH>
                <wp:positionV relativeFrom="line">
                  <wp:align>top</wp:align>
                </wp:positionV>
                <wp:extent cx="254000" cy="350520"/>
                <wp:effectExtent l="0" t="0" r="0" b="0"/>
                <wp:wrapSquare wrapText="right"/>
                <wp:docPr id="482" name="Frame19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9pt;mso-wrap-distance-right:0pt;mso-wrap-distance-top:2.6pt;mso-wrap-distance-bottom:0pt;margin-top:2.6pt;mso-position-vertical:top;mso-position-vertical-relative:text;margin-left:9pt;mso-position-horizontal:left;mso-position-horizontal-relative:text">
                <v:textbox>
                  <w:txbxContent>
                    <w:p>
                      <w:pPr>
                        <w:pStyle w:val="TextBody"/>
                        <w:bidi w:val="0"/>
                        <w:spacing w:lineRule="atLeast" w:line="240" w:before="0" w:after="283"/>
                        <w:jc w:val="left"/>
                        <w:rPr/>
                      </w:pPr>
                      <w:r>
                        <w:rPr>
                          <w:spacing w:val="-2"/>
                        </w:rPr>
                        <w:t>3.</w:t>
                      </w:r>
                      <w:r>
                        <w:rPr/>
                        <w:t xml:space="preserve"> </w:t>
                        <w:br/>
                      </w:r>
                    </w:p>
                  </w:txbxContent>
                </v:textbox>
                <w10:wrap type="square" side="right"/>
              </v:rect>
            </w:pict>
          </mc:Fallback>
        </mc:AlternateContent>
      </w:r>
      <w:r>
        <mc:AlternateContent>
          <mc:Choice Requires="wps">
            <w:drawing>
              <wp:anchor behindDoc="0" distT="33020" distB="0" distL="114300" distR="0" simplePos="0" locked="0" layoutInCell="1" allowOverlap="1" relativeHeight="476">
                <wp:simplePos x="0" y="0"/>
                <wp:positionH relativeFrom="column">
                  <wp:align>left</wp:align>
                </wp:positionH>
                <wp:positionV relativeFrom="line">
                  <wp:align>top</wp:align>
                </wp:positionV>
                <wp:extent cx="254000" cy="350520"/>
                <wp:effectExtent l="0" t="0" r="0" b="0"/>
                <wp:wrapSquare wrapText="right"/>
                <wp:docPr id="483" name="Frame19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9pt;mso-wrap-distance-right:0pt;mso-wrap-distance-top:2.6pt;mso-wrap-distance-bottom:0pt;margin-top:2.6pt;mso-position-vertical:top;mso-position-vertical-relative:text;margin-left:9pt;mso-position-horizontal:left;mso-position-horizontal-relative:text">
                <v:textbox>
                  <w:txbxContent>
                    <w:p>
                      <w:pPr>
                        <w:pStyle w:val="TextBody"/>
                        <w:bidi w:val="0"/>
                        <w:spacing w:lineRule="atLeast" w:line="240" w:before="0" w:after="283"/>
                        <w:jc w:val="left"/>
                        <w:rPr/>
                      </w:pPr>
                      <w:r>
                        <w:rPr>
                          <w:spacing w:val="-2"/>
                        </w:rPr>
                        <w:t>4.</w:t>
                      </w:r>
                      <w:r>
                        <w:rPr/>
                        <w:t xml:space="preserve"> </w:t>
                        <w:br/>
                      </w:r>
                    </w:p>
                  </w:txbxContent>
                </v:textbox>
                <w10:wrap type="square" side="right"/>
              </v:rect>
            </w:pict>
          </mc:Fallback>
        </mc:AlternateContent>
      </w:r>
      <w:r>
        <mc:AlternateContent>
          <mc:Choice Requires="wps">
            <w:drawing>
              <wp:anchor behindDoc="0" distT="33020" distB="0" distL="114300" distR="0" simplePos="0" locked="0" layoutInCell="1" allowOverlap="1" relativeHeight="477">
                <wp:simplePos x="0" y="0"/>
                <wp:positionH relativeFrom="column">
                  <wp:align>left</wp:align>
                </wp:positionH>
                <wp:positionV relativeFrom="line">
                  <wp:align>top</wp:align>
                </wp:positionV>
                <wp:extent cx="254000" cy="350520"/>
                <wp:effectExtent l="0" t="0" r="0" b="0"/>
                <wp:wrapSquare wrapText="right"/>
                <wp:docPr id="484" name="Frame19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9pt;mso-wrap-distance-right:0pt;mso-wrap-distance-top:2.6pt;mso-wrap-distance-bottom:0pt;margin-top:2.6pt;mso-position-vertical:top;mso-position-vertical-relative:text;margin-left:9pt;mso-position-horizontal:left;mso-position-horizontal-relative:text">
                <v:textbox>
                  <w:txbxContent>
                    <w:p>
                      <w:pPr>
                        <w:pStyle w:val="TextBody"/>
                        <w:bidi w:val="0"/>
                        <w:spacing w:lineRule="atLeast" w:line="240" w:before="0" w:after="283"/>
                        <w:jc w:val="left"/>
                        <w:rPr/>
                      </w:pPr>
                      <w:r>
                        <w:rPr>
                          <w:spacing w:val="-2"/>
                        </w:rPr>
                        <w:t>5.</w:t>
                      </w:r>
                      <w:r>
                        <w:rPr/>
                        <w:t xml:space="preserve"> </w:t>
                        <w:br/>
                      </w:r>
                    </w:p>
                  </w:txbxContent>
                </v:textbox>
                <w10:wrap type="square" side="right"/>
              </v:rect>
            </w:pict>
          </mc:Fallback>
        </mc:AlternateContent>
      </w:r>
      <w:r>
        <mc:AlternateContent>
          <mc:Choice Requires="wps">
            <w:drawing>
              <wp:anchor behindDoc="0" distT="33020" distB="0" distL="114300" distR="0" simplePos="0" locked="0" layoutInCell="1" allowOverlap="1" relativeHeight="478">
                <wp:simplePos x="0" y="0"/>
                <wp:positionH relativeFrom="column">
                  <wp:align>left</wp:align>
                </wp:positionH>
                <wp:positionV relativeFrom="line">
                  <wp:align>top</wp:align>
                </wp:positionV>
                <wp:extent cx="254000" cy="350520"/>
                <wp:effectExtent l="0" t="0" r="0" b="0"/>
                <wp:wrapSquare wrapText="right"/>
                <wp:docPr id="485" name="Frame19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9pt;mso-wrap-distance-right:0pt;mso-wrap-distance-top:2.6pt;mso-wrap-distance-bottom:0pt;margin-top:2.6pt;mso-position-vertical:top;mso-position-vertical-relative:text;margin-left:9pt;mso-position-horizontal:left;mso-position-horizontal-relative:text">
                <v:textbox>
                  <w:txbxContent>
                    <w:p>
                      <w:pPr>
                        <w:pStyle w:val="TextBody"/>
                        <w:bidi w:val="0"/>
                        <w:spacing w:lineRule="atLeast" w:line="240" w:before="0" w:after="283"/>
                        <w:jc w:val="left"/>
                        <w:rPr/>
                      </w:pPr>
                      <w:r>
                        <w:rPr>
                          <w:spacing w:val="-2"/>
                        </w:rPr>
                        <w:t>6.</w:t>
                      </w:r>
                      <w:r>
                        <w:rPr/>
                        <w:t xml:space="preserve"> </w:t>
                        <w:br/>
                      </w:r>
                    </w:p>
                  </w:txbxContent>
                </v:textbox>
                <w10:wrap type="square" side="right"/>
              </v:rect>
            </w:pict>
          </mc:Fallback>
        </mc:AlternateContent>
      </w:r>
      <w:r>
        <mc:AlternateContent>
          <mc:Choice Requires="wps">
            <w:drawing>
              <wp:anchor behindDoc="0" distT="33020" distB="0" distL="114300" distR="0" simplePos="0" locked="0" layoutInCell="1" allowOverlap="1" relativeHeight="479">
                <wp:simplePos x="0" y="0"/>
                <wp:positionH relativeFrom="column">
                  <wp:align>left</wp:align>
                </wp:positionH>
                <wp:positionV relativeFrom="line">
                  <wp:align>top</wp:align>
                </wp:positionV>
                <wp:extent cx="254000" cy="350520"/>
                <wp:effectExtent l="0" t="0" r="0" b="0"/>
                <wp:wrapSquare wrapText="right"/>
                <wp:docPr id="486" name="Frame19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9pt;mso-wrap-distance-right:0pt;mso-wrap-distance-top:2.6pt;mso-wrap-distance-bottom:0pt;margin-top:2.6pt;mso-position-vertical:top;mso-position-vertical-relative:text;margin-left:9pt;mso-position-horizontal:left;mso-position-horizontal-relative:text">
                <v:textbox>
                  <w:txbxContent>
                    <w:p>
                      <w:pPr>
                        <w:pStyle w:val="TextBody"/>
                        <w:bidi w:val="0"/>
                        <w:spacing w:lineRule="atLeast" w:line="240" w:before="0" w:after="283"/>
                        <w:jc w:val="left"/>
                        <w:rPr/>
                      </w:pPr>
                      <w:r>
                        <w:rPr>
                          <w:spacing w:val="-2"/>
                        </w:rPr>
                        <w:t>7.</w:t>
                      </w:r>
                      <w:r>
                        <w:rPr/>
                        <w:t xml:space="preserve"> </w:t>
                        <w:br/>
                      </w:r>
                    </w:p>
                  </w:txbxContent>
                </v:textbox>
                <w10:wrap type="square" side="right"/>
              </v:rect>
            </w:pict>
          </mc:Fallback>
        </mc:AlternateContent>
      </w:r>
      <w:r>
        <mc:AlternateContent>
          <mc:Choice Requires="wps">
            <w:drawing>
              <wp:anchor behindDoc="0" distT="34290" distB="0" distL="114300" distR="0" simplePos="0" locked="0" layoutInCell="1" allowOverlap="1" relativeHeight="480">
                <wp:simplePos x="0" y="0"/>
                <wp:positionH relativeFrom="column">
                  <wp:align>left</wp:align>
                </wp:positionH>
                <wp:positionV relativeFrom="line">
                  <wp:align>top</wp:align>
                </wp:positionV>
                <wp:extent cx="254000" cy="350520"/>
                <wp:effectExtent l="0" t="0" r="0" b="0"/>
                <wp:wrapSquare wrapText="right"/>
                <wp:docPr id="487" name="Frame20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9pt;mso-wrap-distance-right:0pt;mso-wrap-distance-top:2.7pt;mso-wrap-distance-bottom:0pt;margin-top:2.7pt;mso-position-vertical:top;mso-position-vertical-relative:text;margin-left:9pt;mso-position-horizontal:left;mso-position-horizontal-relative:text">
                <v:textbox>
                  <w:txbxContent>
                    <w:p>
                      <w:pPr>
                        <w:pStyle w:val="TextBody"/>
                        <w:bidi w:val="0"/>
                        <w:spacing w:lineRule="atLeast" w:line="240" w:before="0" w:after="283"/>
                        <w:jc w:val="left"/>
                        <w:rPr/>
                      </w:pPr>
                      <w:r>
                        <w:rPr>
                          <w:spacing w:val="-2"/>
                        </w:rPr>
                        <w:t>8.</w:t>
                      </w:r>
                      <w:r>
                        <w:rPr/>
                        <w:t xml:space="preserve"> </w:t>
                        <w:br/>
                      </w:r>
                    </w:p>
                  </w:txbxContent>
                </v:textbox>
                <w10:wrap type="square" side="right"/>
              </v:rect>
            </w:pict>
          </mc:Fallback>
        </mc:AlternateContent>
      </w:r>
      <w:r>
        <mc:AlternateContent>
          <mc:Choice Requires="wps">
            <w:drawing>
              <wp:anchor behindDoc="0" distT="34290" distB="0" distL="114300" distR="0" simplePos="0" locked="0" layoutInCell="1" allowOverlap="1" relativeHeight="481">
                <wp:simplePos x="0" y="0"/>
                <wp:positionH relativeFrom="column">
                  <wp:align>left</wp:align>
                </wp:positionH>
                <wp:positionV relativeFrom="line">
                  <wp:align>top</wp:align>
                </wp:positionV>
                <wp:extent cx="254000" cy="350520"/>
                <wp:effectExtent l="0" t="0" r="0" b="0"/>
                <wp:wrapSquare wrapText="right"/>
                <wp:docPr id="488" name="Frame20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9pt;mso-wrap-distance-right:0pt;mso-wrap-distance-top:2.7pt;mso-wrap-distance-bottom:0pt;margin-top:2.7pt;mso-position-vertical:top;mso-position-vertical-relative:text;margin-left:9pt;mso-position-horizontal:left;mso-position-horizontal-relative:text">
                <v:textbox>
                  <w:txbxContent>
                    <w:p>
                      <w:pPr>
                        <w:pStyle w:val="TextBody"/>
                        <w:bidi w:val="0"/>
                        <w:spacing w:lineRule="atLeast" w:line="240" w:before="0" w:after="283"/>
                        <w:jc w:val="left"/>
                        <w:rPr/>
                      </w:pPr>
                      <w:r>
                        <w:rPr>
                          <w:spacing w:val="-2"/>
                        </w:rPr>
                        <w:t>9.</w:t>
                      </w:r>
                      <w:r>
                        <w:rPr/>
                        <w:t xml:space="preserve"> </w:t>
                        <w:br/>
                      </w:r>
                    </w:p>
                  </w:txbxContent>
                </v:textbox>
                <w10:wrap type="square" side="right"/>
              </v:rect>
            </w:pict>
          </mc:Fallback>
        </mc:AlternateContent>
      </w:r>
      <w:r>
        <mc:AlternateContent>
          <mc:Choice Requires="wps">
            <w:drawing>
              <wp:anchor behindDoc="0" distT="34290" distB="0" distL="114300" distR="0" simplePos="0" locked="0" layoutInCell="1" allowOverlap="1" relativeHeight="482">
                <wp:simplePos x="0" y="0"/>
                <wp:positionH relativeFrom="column">
                  <wp:align>left</wp:align>
                </wp:positionH>
                <wp:positionV relativeFrom="line">
                  <wp:align>top</wp:align>
                </wp:positionV>
                <wp:extent cx="254000" cy="350520"/>
                <wp:effectExtent l="0" t="0" r="0" b="0"/>
                <wp:wrapSquare wrapText="right"/>
                <wp:docPr id="489" name="Frame20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10.</w:t>
                            </w:r>
                            <w:r>
                              <w:rPr/>
                              <w:t xml:space="preserve"> </w:t>
                              <w:br/>
                            </w:r>
                          </w:p>
                        </w:txbxContent>
                      </wps:txbx>
                      <wps:bodyPr anchor="t" lIns="0" tIns="0" rIns="0" bIns="0">
                        <a:noAutofit/>
                      </wps:bodyPr>
                    </wps:wsp>
                  </a:graphicData>
                </a:graphic>
              </wp:anchor>
            </w:drawing>
          </mc:Choice>
          <mc:Fallback>
            <w:pict>
              <v:rect style="position:absolute;rotation:-0;width:20pt;height:27.6pt;mso-wrap-distance-left:9pt;mso-wrap-distance-right:0pt;mso-wrap-distance-top:2.7pt;mso-wrap-distance-bottom:0pt;margin-top:2.7pt;mso-position-vertical:top;mso-position-vertical-relative:text;margin-left:9pt;mso-position-horizontal:left;mso-position-horizontal-relative:text">
                <v:textbox>
                  <w:txbxContent>
                    <w:p>
                      <w:pPr>
                        <w:pStyle w:val="TextBody"/>
                        <w:bidi w:val="0"/>
                        <w:spacing w:lineRule="atLeast" w:line="240" w:before="0" w:after="283"/>
                        <w:jc w:val="left"/>
                        <w:rPr/>
                      </w:pPr>
                      <w:r>
                        <w:rPr>
                          <w:spacing w:val="-2"/>
                        </w:rPr>
                        <w:t>10.</w:t>
                      </w:r>
                      <w:r>
                        <w:rPr/>
                        <w:t xml:space="preserve"> </w:t>
                        <w:br/>
                      </w:r>
                    </w:p>
                  </w:txbxContent>
                </v:textbox>
                <w10:wrap type="square" side="right"/>
              </v:rect>
            </w:pict>
          </mc:Fallback>
        </mc:AlternateContent>
      </w:r>
      <w:r>
        <mc:AlternateContent>
          <mc:Choice Requires="wps">
            <w:drawing>
              <wp:anchor behindDoc="0" distT="34290" distB="0" distL="114300" distR="0" simplePos="0" locked="0" layoutInCell="1" allowOverlap="1" relativeHeight="483">
                <wp:simplePos x="0" y="0"/>
                <wp:positionH relativeFrom="column">
                  <wp:align>left</wp:align>
                </wp:positionH>
                <wp:positionV relativeFrom="line">
                  <wp:align>top</wp:align>
                </wp:positionV>
                <wp:extent cx="254000" cy="350520"/>
                <wp:effectExtent l="0" t="0" r="0" b="0"/>
                <wp:wrapSquare wrapText="right"/>
                <wp:docPr id="490" name="Frame20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11.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9pt;mso-wrap-distance-right:0pt;mso-wrap-distance-top:2.7pt;mso-wrap-distance-bottom:0pt;margin-top:2.7pt;mso-position-vertical:top;mso-position-vertical-relative:text;margin-left:9pt;mso-position-horizontal:left;mso-position-horizontal-relative:text">
                <v:textbox>
                  <w:txbxContent>
                    <w:p>
                      <w:pPr>
                        <w:pStyle w:val="TextBody"/>
                        <w:bidi w:val="0"/>
                        <w:spacing w:lineRule="atLeast" w:line="240" w:before="0" w:after="283"/>
                        <w:jc w:val="left"/>
                        <w:rPr/>
                      </w:pPr>
                      <w:r>
                        <w:rPr>
                          <w:spacing w:val="-2"/>
                        </w:rPr>
                        <w:t>11.</w:t>
                      </w:r>
                      <w:r>
                        <w:rPr/>
                        <w:t xml:space="preserve"> </w:t>
                        <w:br/>
                      </w:r>
                    </w:p>
                  </w:txbxContent>
                </v:textbox>
                <w10:wrap type="square" side="right"/>
              </v:rect>
            </w:pict>
          </mc:Fallback>
        </mc:AlternateConten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225" w:type="dxa"/>
        <w:jc w:val="left"/>
        <w:tblInd w:w="900" w:type="dxa"/>
        <w:tblLayout w:type="fixed"/>
        <w:tblCellMar>
          <w:top w:w="0" w:type="dxa"/>
          <w:left w:w="0" w:type="dxa"/>
          <w:bottom w:w="0" w:type="dxa"/>
          <w:right w:w="0" w:type="dxa"/>
        </w:tblCellMar>
      </w:tblPr>
      <w:tblGrid>
        <w:gridCol w:w="124"/>
        <w:gridCol w:w="346"/>
        <w:gridCol w:w="109"/>
        <w:gridCol w:w="109"/>
        <w:gridCol w:w="4383"/>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24</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383" w:type="dxa"/>
            <w:tcBorders/>
            <w:vAlign w:val="center"/>
          </w:tcPr>
          <w:p>
            <w:pPr>
              <w:pStyle w:val="TableContents"/>
              <w:bidi w:val="0"/>
              <w:spacing w:lineRule="atLeast" w:line="200" w:before="0" w:after="0"/>
              <w:jc w:val="left"/>
              <w:rPr/>
            </w:pPr>
            <w:r>
              <w:rPr>
                <w:spacing w:val="-2"/>
              </w:rPr>
              <w:t>    </w:t>
            </w:r>
            <w:r>
              <w:rPr>
                <w:spacing w:val="-2"/>
                <w:sz w:val="16"/>
              </w:rPr>
              <w:t>SL GREEN REALTY CORP. 2026 PROXY STATEMENT</w:t>
            </w:r>
            <w:r>
              <w:rPr>
                <w:sz w:val="16"/>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300" w:before="560" w:after="154"/>
        <w:ind w:left="900" w:right="0" w:hanging="0"/>
        <w:jc w:val="left"/>
        <w:rPr>
          <w:rFonts w:ascii="Arial;Helvetica;sans-serif" w:hAnsi="Arial;Helvetica;sans-serif"/>
          <w:b/>
          <w:i w:val="false"/>
          <w:caps w:val="false"/>
          <w:smallCaps w:val="false"/>
          <w:color w:val="1F2668"/>
          <w:sz w:val="26"/>
        </w:rPr>
      </w:pPr>
      <w:r>
        <w:rPr>
          <w:rFonts w:ascii="Arial;Helvetica;sans-serif" w:hAnsi="Arial;Helvetica;sans-serif"/>
          <w:b/>
          <w:i w:val="false"/>
          <w:caps w:val="false"/>
          <w:smallCaps w:val="false"/>
          <w:color w:val="1F2668"/>
          <w:spacing w:val="-3"/>
          <w:sz w:val="26"/>
        </w:rPr>
        <w:t>Board and Committee Self-Evaluations</w:t>
      </w:r>
      <w:r>
        <w:rPr>
          <w:rFonts w:ascii="Arial;Helvetica;sans-serif" w:hAnsi="Arial;Helvetica;sans-serif"/>
          <w:b/>
          <w:i w:val="false"/>
          <w:caps w:val="false"/>
          <w:smallCaps w:val="false"/>
          <w:color w:val="000000"/>
          <w:spacing w:val="5"/>
          <w:sz w:val="26"/>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The Board believes that good governance can only be achieved through rigorous self-evaluation. Each year, our Nominating and Corporate Governance Committee establishes formal self-assessment procedures that are consistent with our Governance Principles, NYSE listing requirements and best practices identified during prior self-evaluations. The Board also engages with stockholders and third party advisers throughout the year to discuss corporate governance practices, and to ensure that the Board and its committees follow practices that are optimal for the Company and its stockholders while also delivering superior total return.</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60" w:before="240" w:after="283"/>
        <w:jc w:val="left"/>
        <w:rPr>
          <w:rFonts w:ascii="Arial;Helvetica;sans-serif" w:hAnsi="Arial;Helvetica;sans-serif"/>
          <w:b/>
          <w:i w:val="false"/>
          <w:caps w:val="false"/>
          <w:smallCaps w:val="false"/>
          <w:color w:val="83AD40"/>
          <w:sz w:val="22"/>
        </w:rPr>
      </w:pPr>
      <w:r>
        <w:rPr>
          <w:rFonts w:ascii="Arial;Helvetica;sans-serif" w:hAnsi="Arial;Helvetica;sans-serif"/>
          <w:b/>
          <w:i w:val="false"/>
          <w:caps w:val="false"/>
          <w:smallCaps w:val="false"/>
          <w:color w:val="83AD40"/>
          <w:spacing w:val="-2"/>
          <w:sz w:val="22"/>
        </w:rPr>
        <w:t>Board Evaluation Process</w:t>
      </w:r>
      <w:r>
        <w:rPr>
          <w:rFonts w:ascii="Arial;Helvetica;sans-serif" w:hAnsi="Arial;Helvetica;sans-serif"/>
          <w:b/>
          <w:i w:val="false"/>
          <w:caps w:val="false"/>
          <w:smallCaps w:val="false"/>
          <w:color w:val="000000"/>
          <w:spacing w:val="4"/>
          <w:sz w:val="22"/>
        </w:rPr>
        <w:t xml:space="preserve"> </w:t>
      </w:r>
    </w:p>
    <w:tbl>
      <w:tblPr>
        <w:tblW w:w="9305" w:type="dxa"/>
        <w:jc w:val="left"/>
        <w:tblInd w:w="900" w:type="dxa"/>
        <w:tblLayout w:type="fixed"/>
        <w:tblCellMar>
          <w:top w:w="0" w:type="dxa"/>
          <w:left w:w="0" w:type="dxa"/>
          <w:bottom w:w="0" w:type="dxa"/>
          <w:right w:w="0" w:type="dxa"/>
        </w:tblCellMar>
      </w:tblPr>
      <w:tblGrid>
        <w:gridCol w:w="124"/>
        <w:gridCol w:w="2644"/>
        <w:gridCol w:w="109"/>
        <w:gridCol w:w="109"/>
        <w:gridCol w:w="109"/>
        <w:gridCol w:w="3089"/>
        <w:gridCol w:w="109"/>
        <w:gridCol w:w="109"/>
        <w:gridCol w:w="109"/>
        <w:gridCol w:w="2639"/>
        <w:gridCol w:w="155"/>
      </w:tblGrid>
      <w:tr>
        <w:trPr/>
        <w:tc>
          <w:tcPr>
            <w:tcW w:w="124" w:type="dxa"/>
            <w:tcBorders/>
            <w:vAlign w:val="center"/>
          </w:tcPr>
          <w:p>
            <w:pPr>
              <w:pStyle w:val="TableContents"/>
              <w:bidi w:val="0"/>
              <w:spacing w:before="0" w:after="283"/>
              <w:jc w:val="left"/>
              <w:rPr/>
            </w:pPr>
            <w:r>
              <w:rPr/>
              <w:t>​</w:t>
            </w:r>
          </w:p>
        </w:tc>
        <w:tc>
          <w:tcPr>
            <w:tcW w:w="2644" w:type="dxa"/>
            <w:tcBorders/>
            <w:vAlign w:val="center"/>
          </w:tcPr>
          <w:p>
            <w:pPr>
              <w:pStyle w:val="TableContents"/>
              <w:bidi w:val="0"/>
              <w:spacing w:before="0" w:after="0"/>
              <w:jc w:val="left"/>
              <w:rPr/>
            </w:pPr>
            <w:r>
              <w:rPr/>
              <w:drawing>
                <wp:inline distT="0" distB="0" distL="0" distR="0">
                  <wp:extent cx="228600" cy="238125"/>
                  <wp:effectExtent l="0" t="0" r="0" b="0"/>
                  <wp:docPr id="491" name="Image2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 name="Image207" descr=""/>
                          <pic:cNvPicPr>
                            <a:picLocks noChangeAspect="1" noChangeArrowheads="1"/>
                          </pic:cNvPicPr>
                        </pic:nvPicPr>
                        <pic:blipFill>
                          <a:blip r:embed="rId295"/>
                          <a:stretch>
                            <a:fillRect/>
                          </a:stretch>
                        </pic:blipFill>
                        <pic:spPr bwMode="auto">
                          <a:xfrm>
                            <a:off x="0" y="0"/>
                            <a:ext cx="228600" cy="2381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3AD40"/>
            </w:tcBorders>
            <w:shd w:fill="83AD4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089" w:type="dxa"/>
            <w:tcBorders/>
            <w:vAlign w:val="center"/>
          </w:tcPr>
          <w:p>
            <w:pPr>
              <w:pStyle w:val="TableContents"/>
              <w:bidi w:val="0"/>
              <w:spacing w:before="0" w:after="0"/>
              <w:jc w:val="left"/>
              <w:rPr/>
            </w:pPr>
            <w:r>
              <w:rPr/>
              <w:drawing>
                <wp:inline distT="0" distB="0" distL="0" distR="0">
                  <wp:extent cx="228600" cy="238125"/>
                  <wp:effectExtent l="0" t="0" r="0" b="0"/>
                  <wp:docPr id="492" name="Image2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2" name="Image208" descr=""/>
                          <pic:cNvPicPr>
                            <a:picLocks noChangeAspect="1" noChangeArrowheads="1"/>
                          </pic:cNvPicPr>
                        </pic:nvPicPr>
                        <pic:blipFill>
                          <a:blip r:embed="rId296"/>
                          <a:stretch>
                            <a:fillRect/>
                          </a:stretch>
                        </pic:blipFill>
                        <pic:spPr bwMode="auto">
                          <a:xfrm>
                            <a:off x="0" y="0"/>
                            <a:ext cx="228600" cy="2381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3AD40"/>
            </w:tcBorders>
            <w:shd w:fill="83AD4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639" w:type="dxa"/>
            <w:tcBorders/>
            <w:vAlign w:val="center"/>
          </w:tcPr>
          <w:p>
            <w:pPr>
              <w:pStyle w:val="TableContents"/>
              <w:bidi w:val="0"/>
              <w:spacing w:before="0" w:after="0"/>
              <w:jc w:val="left"/>
              <w:rPr/>
            </w:pPr>
            <w:r>
              <w:rPr/>
              <w:drawing>
                <wp:inline distT="0" distB="0" distL="0" distR="0">
                  <wp:extent cx="228600" cy="238125"/>
                  <wp:effectExtent l="0" t="0" r="0" b="0"/>
                  <wp:docPr id="493" name="Image2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3" name="Image209" descr=""/>
                          <pic:cNvPicPr>
                            <a:picLocks noChangeAspect="1" noChangeArrowheads="1"/>
                          </pic:cNvPicPr>
                        </pic:nvPicPr>
                        <pic:blipFill>
                          <a:blip r:embed="rId297"/>
                          <a:stretch>
                            <a:fillRect/>
                          </a:stretch>
                        </pic:blipFill>
                        <pic:spPr bwMode="auto">
                          <a:xfrm>
                            <a:off x="0" y="0"/>
                            <a:ext cx="228600" cy="238125"/>
                          </a:xfrm>
                          <a:prstGeom prst="rect">
                            <a:avLst/>
                          </a:prstGeom>
                        </pic:spPr>
                      </pic:pic>
                    </a:graphicData>
                  </a:graphic>
                </wp:inline>
              </w:drawing>
            </w:r>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644" w:type="dxa"/>
            <w:tcBorders/>
            <w:vAlign w:val="center"/>
          </w:tcPr>
          <w:p>
            <w:pPr>
              <w:pStyle w:val="TableContents"/>
              <w:bidi w:val="0"/>
              <w:spacing w:before="0" w:after="283"/>
              <w:jc w:val="left"/>
              <w:rPr/>
            </w:pPr>
            <w:r>
              <w:rPr>
                <w:spacing w:val="-2"/>
              </w:rPr>
              <w:t>Initiate Process</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3AD40"/>
            </w:tcBorders>
            <w:shd w:fill="83AD4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089" w:type="dxa"/>
            <w:tcBorders/>
            <w:vAlign w:val="center"/>
          </w:tcPr>
          <w:p>
            <w:pPr>
              <w:pStyle w:val="TableContents"/>
              <w:bidi w:val="0"/>
              <w:spacing w:before="0" w:after="283"/>
              <w:jc w:val="left"/>
              <w:rPr/>
            </w:pPr>
            <w:r>
              <w:rPr>
                <w:spacing w:val="-2"/>
              </w:rPr>
              <w:t>Conduct Evaluation</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3AD40"/>
            </w:tcBorders>
            <w:shd w:fill="83AD4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639" w:type="dxa"/>
            <w:tcBorders/>
            <w:vAlign w:val="center"/>
          </w:tcPr>
          <w:p>
            <w:pPr>
              <w:pStyle w:val="TableContents"/>
              <w:bidi w:val="0"/>
              <w:spacing w:before="0" w:after="283"/>
              <w:jc w:val="left"/>
              <w:rPr/>
            </w:pPr>
            <w:r>
              <w:rPr>
                <w:spacing w:val="-2"/>
              </w:rPr>
              <w:t>Implement Conclusions</w:t>
            </w:r>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bottom w:val="single" w:sz="6" w:space="0" w:color="83AD40"/>
            </w:tcBorders>
            <w:tcMar>
              <w:bottom w:w="28" w:type="dxa"/>
            </w:tcMar>
            <w:vAlign w:val="center"/>
          </w:tcPr>
          <w:p>
            <w:pPr>
              <w:pStyle w:val="TableContents"/>
              <w:bidi w:val="0"/>
              <w:spacing w:before="0" w:after="283"/>
              <w:jc w:val="left"/>
              <w:rPr/>
            </w:pPr>
            <w:r>
              <w:rPr/>
              <w:t>​</w:t>
            </w:r>
          </w:p>
        </w:tc>
        <w:tc>
          <w:tcPr>
            <w:tcW w:w="2644" w:type="dxa"/>
            <w:tcBorders>
              <w:bottom w:val="single" w:sz="6" w:space="0" w:color="83AD40"/>
            </w:tcBorders>
            <w:tcMar>
              <w:bottom w:w="300" w:type="dxa"/>
            </w:tcMar>
            <w:vAlign w:val="center"/>
          </w:tcPr>
          <w:p>
            <w:pPr>
              <w:pStyle w:val="TableContents"/>
              <w:bidi w:val="0"/>
              <w:spacing w:before="0" w:after="283"/>
              <w:jc w:val="left"/>
              <w:rPr>
                <w:spacing w:val="-2"/>
              </w:rPr>
            </w:pPr>
            <w:r>
              <w:rPr>
                <w:spacing w:val="-2"/>
              </w:rPr>
              <w:t xml:space="preserve">NCGC establishes Board and committee self-evaluation process, including incorporation of process improvements from previous review cycles </w:t>
            </w:r>
          </w:p>
        </w:tc>
        <w:tc>
          <w:tcPr>
            <w:tcW w:w="109" w:type="dxa"/>
            <w:tcBorders>
              <w:bottom w:val="single" w:sz="6" w:space="0" w:color="83AD40"/>
            </w:tcBorders>
            <w:tcMar>
              <w:bottom w:w="28" w:type="dxa"/>
            </w:tcMar>
            <w:vAlign w:val="center"/>
          </w:tcPr>
          <w:p>
            <w:pPr>
              <w:pStyle w:val="TableContents"/>
              <w:bidi w:val="0"/>
              <w:spacing w:before="0" w:after="283"/>
              <w:jc w:val="left"/>
              <w:rPr/>
            </w:pPr>
            <w:r>
              <w:rPr/>
              <w:t>​</w:t>
            </w:r>
          </w:p>
        </w:tc>
        <w:tc>
          <w:tcPr>
            <w:tcW w:w="109" w:type="dxa"/>
            <w:tcBorders>
              <w:bottom w:val="single" w:sz="2" w:space="0" w:color="83AD40"/>
            </w:tcBorders>
            <w:shd w:fill="83AD40" w:val="clear"/>
            <w:tcMar>
              <w:bottom w:w="28" w:type="dxa"/>
            </w:tcMar>
            <w:vAlign w:val="center"/>
          </w:tcPr>
          <w:p>
            <w:pPr>
              <w:pStyle w:val="TableContents"/>
              <w:bidi w:val="0"/>
              <w:spacing w:before="0" w:after="283"/>
              <w:jc w:val="left"/>
              <w:rPr/>
            </w:pPr>
            <w:r>
              <w:rPr/>
              <w:t>​</w:t>
            </w:r>
          </w:p>
        </w:tc>
        <w:tc>
          <w:tcPr>
            <w:tcW w:w="109" w:type="dxa"/>
            <w:tcBorders>
              <w:bottom w:val="single" w:sz="6" w:space="0" w:color="83AD40"/>
            </w:tcBorders>
            <w:tcMar>
              <w:bottom w:w="28" w:type="dxa"/>
            </w:tcMar>
            <w:vAlign w:val="center"/>
          </w:tcPr>
          <w:p>
            <w:pPr>
              <w:pStyle w:val="TableContents"/>
              <w:bidi w:val="0"/>
              <w:spacing w:before="0" w:after="283"/>
              <w:jc w:val="left"/>
              <w:rPr/>
            </w:pPr>
            <w:r>
              <w:rPr/>
              <w:t>​</w:t>
            </w:r>
          </w:p>
        </w:tc>
        <w:tc>
          <w:tcPr>
            <w:tcW w:w="3089" w:type="dxa"/>
            <w:tcBorders>
              <w:bottom w:val="single" w:sz="6" w:space="0" w:color="83AD40"/>
            </w:tcBorders>
            <w:tcMar>
              <w:bottom w:w="300" w:type="dxa"/>
            </w:tcMar>
            <w:vAlign w:val="center"/>
          </w:tcPr>
          <w:p>
            <w:pPr>
              <w:pStyle w:val="TableContents"/>
              <w:bidi w:val="0"/>
              <w:spacing w:before="0" w:after="283"/>
              <w:jc w:val="left"/>
              <w:rPr>
                <w:spacing w:val="-2"/>
              </w:rPr>
            </w:pPr>
            <w:r>
              <w:rPr>
                <w:spacing w:val="-2"/>
              </w:rPr>
              <w:t xml:space="preserve">Directors meet to formally discuss the functioning of the Board and any committees on which they serve to identify areas for improvement. Independent directors meet separately with outside counsel </w:t>
            </w:r>
          </w:p>
        </w:tc>
        <w:tc>
          <w:tcPr>
            <w:tcW w:w="109" w:type="dxa"/>
            <w:tcBorders>
              <w:bottom w:val="single" w:sz="6" w:space="0" w:color="83AD40"/>
            </w:tcBorders>
            <w:tcMar>
              <w:bottom w:w="28" w:type="dxa"/>
            </w:tcMar>
            <w:vAlign w:val="center"/>
          </w:tcPr>
          <w:p>
            <w:pPr>
              <w:pStyle w:val="TableContents"/>
              <w:bidi w:val="0"/>
              <w:spacing w:before="0" w:after="283"/>
              <w:jc w:val="left"/>
              <w:rPr/>
            </w:pPr>
            <w:r>
              <w:rPr/>
              <w:t>​</w:t>
            </w:r>
          </w:p>
        </w:tc>
        <w:tc>
          <w:tcPr>
            <w:tcW w:w="109" w:type="dxa"/>
            <w:tcBorders>
              <w:bottom w:val="single" w:sz="2" w:space="0" w:color="83AD40"/>
            </w:tcBorders>
            <w:shd w:fill="83AD40" w:val="clear"/>
            <w:tcMar>
              <w:bottom w:w="28" w:type="dxa"/>
            </w:tcMar>
            <w:vAlign w:val="center"/>
          </w:tcPr>
          <w:p>
            <w:pPr>
              <w:pStyle w:val="TableContents"/>
              <w:bidi w:val="0"/>
              <w:spacing w:before="0" w:after="283"/>
              <w:jc w:val="left"/>
              <w:rPr/>
            </w:pPr>
            <w:r>
              <w:rPr/>
              <w:t>​</w:t>
            </w:r>
          </w:p>
        </w:tc>
        <w:tc>
          <w:tcPr>
            <w:tcW w:w="109" w:type="dxa"/>
            <w:tcBorders>
              <w:bottom w:val="single" w:sz="6" w:space="0" w:color="83AD40"/>
            </w:tcBorders>
            <w:tcMar>
              <w:bottom w:w="28" w:type="dxa"/>
            </w:tcMar>
            <w:vAlign w:val="center"/>
          </w:tcPr>
          <w:p>
            <w:pPr>
              <w:pStyle w:val="TableContents"/>
              <w:bidi w:val="0"/>
              <w:spacing w:before="0" w:after="283"/>
              <w:jc w:val="left"/>
              <w:rPr/>
            </w:pPr>
            <w:r>
              <w:rPr/>
              <w:t>​</w:t>
            </w:r>
          </w:p>
        </w:tc>
        <w:tc>
          <w:tcPr>
            <w:tcW w:w="2639" w:type="dxa"/>
            <w:tcBorders>
              <w:bottom w:val="single" w:sz="6" w:space="0" w:color="83AD40"/>
            </w:tcBorders>
            <w:tcMar>
              <w:bottom w:w="300" w:type="dxa"/>
            </w:tcMar>
            <w:vAlign w:val="center"/>
          </w:tcPr>
          <w:p>
            <w:pPr>
              <w:pStyle w:val="TableContents"/>
              <w:bidi w:val="0"/>
              <w:spacing w:before="0" w:after="283"/>
              <w:jc w:val="left"/>
              <w:rPr/>
            </w:pPr>
            <w:r>
              <w:rPr>
                <w:spacing w:val="-2"/>
              </w:rPr>
              <w:t>The Board and each committee implement proposed governance improvements with assistance of management and third party advisors, as needed</w:t>
            </w:r>
            <w:r>
              <w:rPr/>
              <w:t xml:space="preserve"> </w:t>
            </w:r>
          </w:p>
        </w:tc>
        <w:tc>
          <w:tcPr>
            <w:tcW w:w="155" w:type="dxa"/>
            <w:tcBorders>
              <w:bottom w:val="single" w:sz="6" w:space="0" w:color="83AD40"/>
            </w:tcBorders>
            <w:tcMar>
              <w:bottom w:w="28" w:type="dxa"/>
            </w:tcMar>
            <w:vAlign w:val="center"/>
          </w:tcPr>
          <w:p>
            <w:pPr>
              <w:pStyle w:val="TableContents"/>
              <w:bidi w:val="0"/>
              <w:spacing w:before="0" w:after="283"/>
              <w:jc w:val="left"/>
              <w:rPr/>
            </w:pPr>
            <w:r>
              <w:rPr/>
              <w:t>​</w:t>
            </w:r>
          </w:p>
        </w:tc>
      </w:tr>
    </w:tbl>
    <w:p>
      <w:pPr>
        <w:pStyle w:val="TextBody"/>
        <w:bidi w:val="0"/>
        <w:spacing w:lineRule="atLeast" w:line="300" w:before="350" w:after="283"/>
        <w:ind w:left="900" w:right="0" w:hanging="0"/>
        <w:jc w:val="left"/>
        <w:rPr>
          <w:rFonts w:ascii="Arial;Helvetica;sans-serif" w:hAnsi="Arial;Helvetica;sans-serif"/>
          <w:b/>
          <w:i w:val="false"/>
          <w:caps w:val="false"/>
          <w:smallCaps w:val="false"/>
          <w:color w:val="1F2668"/>
          <w:sz w:val="26"/>
        </w:rPr>
      </w:pPr>
      <w:r>
        <w:rPr>
          <w:rFonts w:ascii="Arial;Helvetica;sans-serif" w:hAnsi="Arial;Helvetica;sans-serif"/>
          <w:b/>
          <w:i w:val="false"/>
          <w:caps w:val="false"/>
          <w:smallCaps w:val="false"/>
          <w:color w:val="1F2668"/>
          <w:spacing w:val="-3"/>
          <w:sz w:val="26"/>
        </w:rPr>
        <w:t>Director Independence</w:t>
      </w:r>
      <w:r>
        <w:rPr>
          <w:rFonts w:ascii="Arial;Helvetica;sans-serif" w:hAnsi="Arial;Helvetica;sans-serif"/>
          <w:b/>
          <w:i w:val="false"/>
          <w:caps w:val="false"/>
          <w:smallCaps w:val="false"/>
          <w:color w:val="000000"/>
          <w:spacing w:val="5"/>
          <w:sz w:val="26"/>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Our Governance Principles provide that a majority of our directors serving on the Board must be independent as required by the listing standards of the NYSE. In addition, the Board adopted director independence standards that assist the Board in making its determinations with respect to the independence of directors. The Board has reviewed all relevant facts and circumstances and considered all applicable relationships of which the Board had knowledge, between or among the directors and the Company or our management (some of such relationships are described in the section of this proxy statement entitled “Certain Relationships and Related Party Transactions”). Based upon this review, the Board has determined that each of the following director nominees has no direct or indirect material relationship with us and is independent under the listing standards of the NYSE and our director independence standards: John H. Alschuler, Carol N. Brown, Lauren B. Dillard, Craig M. Hatkoff and Peggy Lamb. The Board has determined that Stephen L. Green, Marc Holliday and Andrew W. Mathias, our three other directors, are not independent.</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300" w:before="360" w:after="283"/>
        <w:jc w:val="left"/>
        <w:rPr>
          <w:rFonts w:ascii="Arial;Helvetica;sans-serif" w:hAnsi="Arial;Helvetica;sans-serif"/>
          <w:b/>
          <w:i w:val="false"/>
          <w:caps w:val="false"/>
          <w:smallCaps w:val="false"/>
          <w:color w:val="1F2668"/>
          <w:sz w:val="26"/>
        </w:rPr>
      </w:pPr>
      <w:r>
        <w:rPr>
          <w:rFonts w:ascii="Arial;Helvetica;sans-serif" w:hAnsi="Arial;Helvetica;sans-serif"/>
          <w:b/>
          <w:i w:val="false"/>
          <w:caps w:val="false"/>
          <w:smallCaps w:val="false"/>
          <w:color w:val="1F2668"/>
          <w:spacing w:val="-3"/>
          <w:sz w:val="26"/>
        </w:rPr>
        <w:t>Executive Sessions of Non-Management Directors</w:t>
      </w:r>
      <w:r>
        <w:rPr>
          <w:rFonts w:ascii="Arial;Helvetica;sans-serif" w:hAnsi="Arial;Helvetica;sans-serif"/>
          <w:b/>
          <w:i w:val="false"/>
          <w:caps w:val="false"/>
          <w:smallCaps w:val="false"/>
          <w:color w:val="000000"/>
          <w:spacing w:val="5"/>
          <w:sz w:val="26"/>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pacing w:val="-2"/>
          <w:sz w:val="18"/>
        </w:rPr>
      </w:pPr>
      <w:r>
        <w:rPr>
          <w:rFonts w:ascii="Arial;Helvetica;sans-serif" w:hAnsi="Arial;Helvetica;sans-serif"/>
          <w:b w:val="false"/>
          <w:i w:val="false"/>
          <w:caps w:val="false"/>
          <w:smallCaps w:val="false"/>
          <w:color w:val="000000"/>
          <w:spacing w:val="-2"/>
          <w:sz w:val="18"/>
        </w:rPr>
        <w:t xml:space="preserve">Our Governance Principles require the non-management directors serving on the Board to meet in an executive session at least annually without the presence of any directors or other persons who are part of our management. In accordance with such requirement, the independent directors meet in executive sessions from time to time on such a basis. The executive sessions are regularly chaired by our Lead Independent Director.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tBOCO"/>
      <w:bookmarkEnd w:id="12"/>
      <w:r>
        <w:rPr>
          <w:rFonts w:ascii="calibri;arial;sans-serif" w:hAnsi="calibri;arial;sans-serif"/>
          <w:b w:val="false"/>
          <w:i w:val="false"/>
          <w:caps w:val="false"/>
          <w:smallCaps w:val="false"/>
          <w:color w:val="000000"/>
          <w:sz w:val="16"/>
        </w:rPr>
        <w:t xml:space="preserve">​ </w:t>
      </w:r>
    </w:p>
    <w:tbl>
      <w:tblPr>
        <w:tblW w:w="8095" w:type="dxa"/>
        <w:jc w:val="left"/>
        <w:tblInd w:w="900" w:type="dxa"/>
        <w:tblLayout w:type="fixed"/>
        <w:tblCellMar>
          <w:top w:w="0" w:type="dxa"/>
          <w:left w:w="0" w:type="dxa"/>
          <w:bottom w:w="0" w:type="dxa"/>
          <w:right w:w="0" w:type="dxa"/>
        </w:tblCellMar>
      </w:tblPr>
      <w:tblGrid>
        <w:gridCol w:w="124"/>
        <w:gridCol w:w="7253"/>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7253" w:type="dxa"/>
            <w:tcBorders/>
            <w:vAlign w:val="center"/>
          </w:tcPr>
          <w:p>
            <w:pPr>
              <w:pStyle w:val="TableContents"/>
              <w:bidi w:val="0"/>
              <w:spacing w:lineRule="atLeast" w:line="200" w:before="0" w:after="0"/>
              <w:jc w:val="left"/>
              <w:rPr/>
            </w:pPr>
            <w:r>
              <w:rPr>
                <w:spacing w:val="-2"/>
              </w:rPr>
              <w:t>OUR BOARD OF DIRECTORS AND CORPORATE GOVERNANCE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color w:val="1F2668"/>
                <w:sz w:val="24"/>
              </w:rPr>
            </w:pPr>
            <w:r>
              <w:rPr>
                <w:color w:val="1F2668"/>
                <w:sz w:val="24"/>
              </w:rPr>
              <w:t>25</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300" w:before="560" w:after="154"/>
        <w:ind w:left="900" w:right="0" w:hanging="0"/>
        <w:jc w:val="left"/>
        <w:rPr>
          <w:rFonts w:ascii="Arial;Helvetica;sans-serif" w:hAnsi="Arial;Helvetica;sans-serif"/>
          <w:b/>
          <w:i w:val="false"/>
          <w:caps w:val="false"/>
          <w:smallCaps w:val="false"/>
          <w:color w:val="1F2668"/>
          <w:sz w:val="26"/>
        </w:rPr>
      </w:pPr>
      <w:r>
        <w:rPr>
          <w:rFonts w:ascii="Arial;Helvetica;sans-serif" w:hAnsi="Arial;Helvetica;sans-serif"/>
          <w:b/>
          <w:i w:val="false"/>
          <w:caps w:val="false"/>
          <w:smallCaps w:val="false"/>
          <w:color w:val="1F2668"/>
          <w:spacing w:val="-3"/>
          <w:sz w:val="26"/>
        </w:rPr>
        <w:t>Communications with the Board</w:t>
      </w:r>
      <w:r>
        <w:rPr>
          <w:rFonts w:ascii="Arial;Helvetica;sans-serif" w:hAnsi="Arial;Helvetica;sans-serif"/>
          <w:b/>
          <w:i w:val="false"/>
          <w:caps w:val="false"/>
          <w:smallCaps w:val="false"/>
          <w:color w:val="000000"/>
          <w:spacing w:val="5"/>
          <w:sz w:val="26"/>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We have a process by which stockholders and/or other parties may communicate with the Board, individual directors (including the independent directors) or independent directors as a group. Any such communications may be sent to the Board or any named individual director (including the independent directors), by U.S. mail or overnight delivery and should be directed to Andrew S. Levine, Secretary, at SL Green Realty Corp., One Vanderbilt Avenue, New York, New York 10017-3852. Mr. Levine will direct all such communications to the intended recipient or recipients. Any such communications may be made anonymously.</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300" w:before="360" w:after="283"/>
        <w:jc w:val="left"/>
        <w:rPr>
          <w:rFonts w:ascii="Arial;Helvetica;sans-serif" w:hAnsi="Arial;Helvetica;sans-serif"/>
          <w:b/>
          <w:i w:val="false"/>
          <w:caps w:val="false"/>
          <w:smallCaps w:val="false"/>
          <w:color w:val="1F2668"/>
          <w:sz w:val="26"/>
        </w:rPr>
      </w:pPr>
      <w:r>
        <w:rPr>
          <w:rFonts w:ascii="Arial;Helvetica;sans-serif" w:hAnsi="Arial;Helvetica;sans-serif"/>
          <w:b/>
          <w:i w:val="false"/>
          <w:caps w:val="false"/>
          <w:smallCaps w:val="false"/>
          <w:color w:val="1F2668"/>
          <w:spacing w:val="-3"/>
          <w:sz w:val="26"/>
        </w:rPr>
        <w:t>Director Attendance</w:t>
      </w:r>
      <w:r>
        <w:rPr>
          <w:rFonts w:ascii="Arial;Helvetica;sans-serif" w:hAnsi="Arial;Helvetica;sans-serif"/>
          <w:b/>
          <w:i w:val="false"/>
          <w:caps w:val="false"/>
          <w:smallCaps w:val="false"/>
          <w:color w:val="000000"/>
          <w:spacing w:val="5"/>
          <w:sz w:val="26"/>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The Board held eight meetings during fiscal year 2025, and all directors attended 75% or more of the Board meetings and meetings of the committees on which they served during the periods they served during fiscal year 2025. In addition to participating in formal meetings, our Board members regularly communicate with each other, members of management and advisors and take action by written consent.</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We encourage each member of the Board to attend each Annual Meeting of stockholders. One of our directors attended the Annual Meeting of stockholders held on June 3, 2025.</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360" w:before="400" w:after="283"/>
        <w:jc w:val="left"/>
        <w:rPr>
          <w:rFonts w:ascii="Arial;Helvetica;sans-serif" w:hAnsi="Arial;Helvetica;sans-serif"/>
          <w:b/>
          <w:i w:val="false"/>
          <w:caps w:val="false"/>
          <w:smallCaps w:val="false"/>
          <w:color w:val="83AD40"/>
          <w:sz w:val="32"/>
        </w:rPr>
      </w:pPr>
      <w:r>
        <w:rPr>
          <w:rFonts w:ascii="Arial;Helvetica;sans-serif" w:hAnsi="Arial;Helvetica;sans-serif"/>
          <w:b/>
          <w:i w:val="false"/>
          <w:caps/>
          <w:color w:val="83AD40"/>
          <w:spacing w:val="-3"/>
          <w:sz w:val="32"/>
        </w:rPr>
        <w:t>BOARD COMMITTEES</w:t>
      </w:r>
      <w:r>
        <w:rPr>
          <w:rFonts w:ascii="Arial;Helvetica;sans-serif" w:hAnsi="Arial;Helvetica;sans-serif"/>
          <w:b/>
          <w:i w:val="false"/>
          <w:caps w:val="false"/>
          <w:smallCaps w:val="false"/>
          <w:color w:val="000000"/>
          <w:spacing w:val="6"/>
          <w:sz w:val="32"/>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pacing w:val="-2"/>
          <w:sz w:val="18"/>
        </w:rPr>
      </w:pPr>
      <w:r>
        <w:rPr>
          <w:rFonts w:ascii="Arial;Helvetica;sans-serif" w:hAnsi="Arial;Helvetica;sans-serif"/>
          <w:b w:val="false"/>
          <w:i w:val="false"/>
          <w:caps w:val="false"/>
          <w:smallCaps w:val="false"/>
          <w:color w:val="000000"/>
          <w:spacing w:val="-2"/>
          <w:sz w:val="18"/>
        </w:rPr>
        <w:t xml:space="preserve">The Board has four standing committees: an Audit Committee, a Compensation Committee, a Nominating and Corporate Governance Committee and an Executive Committee. The current charters for each of the Audit Committee, Compensation Committee and Nominating and Corporate Governance Committee are available on our corporate website at www.slgreen.com under the “Investors—Corporate Governance” section. Further, we will provide a copy of these charters without charge to each stockholder upon written request. Requests for copies should be addressed to Andrew S. Levine, Secretary, at SL Green Realty Corp., One Vanderbilt Avenue, New York, New York 10017-3852. From time to time, the Board also may create additional committees for such purposes as the Board may determine. The information found on our website is not incorporated into, and does not form a part of, this proxy statement or any other report or document we file with, or furnish to, the SEC.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225" w:type="dxa"/>
        <w:jc w:val="left"/>
        <w:tblInd w:w="900" w:type="dxa"/>
        <w:tblLayout w:type="fixed"/>
        <w:tblCellMar>
          <w:top w:w="0" w:type="dxa"/>
          <w:left w:w="0" w:type="dxa"/>
          <w:bottom w:w="0" w:type="dxa"/>
          <w:right w:w="0" w:type="dxa"/>
        </w:tblCellMar>
      </w:tblPr>
      <w:tblGrid>
        <w:gridCol w:w="124"/>
        <w:gridCol w:w="346"/>
        <w:gridCol w:w="109"/>
        <w:gridCol w:w="109"/>
        <w:gridCol w:w="4383"/>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26</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383" w:type="dxa"/>
            <w:tcBorders/>
            <w:vAlign w:val="center"/>
          </w:tcPr>
          <w:p>
            <w:pPr>
              <w:pStyle w:val="TableContents"/>
              <w:bidi w:val="0"/>
              <w:spacing w:lineRule="atLeast" w:line="200" w:before="0" w:after="0"/>
              <w:jc w:val="left"/>
              <w:rPr/>
            </w:pPr>
            <w:r>
              <w:rPr>
                <w:spacing w:val="-2"/>
              </w:rPr>
              <w:t>    </w:t>
            </w:r>
            <w:r>
              <w:rPr>
                <w:spacing w:val="-2"/>
                <w:sz w:val="16"/>
              </w:rPr>
              <w:t>SL GREEN REALTY CORP. 2026 PROXY STATEMENT</w:t>
            </w:r>
            <w:r>
              <w:rPr>
                <w:sz w:val="16"/>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4153"/>
        <w:ind w:left="900" w:right="0" w:hanging="0"/>
        <w:jc w:val="left"/>
        <w:rPr>
          <w:caps w:val="false"/>
          <w:smallCaps w:val="false"/>
          <w:color w:val="000000"/>
        </w:rPr>
      </w:pPr>
      <w:r>
        <w:rPr>
          <w:caps w:val="false"/>
          <w:smallCaps w:val="false"/>
          <w:color w:val="000000"/>
        </w:rPr>
        <w:t>​</w:t>
      </w:r>
      <w:r>
        <mc:AlternateContent>
          <mc:Choice Requires="wps">
            <w:drawing>
              <wp:anchor behindDoc="0" distT="0" distB="0" distL="571500" distR="0" simplePos="0" locked="0" layoutInCell="1" allowOverlap="1" relativeHeight="484">
                <wp:simplePos x="0" y="0"/>
                <wp:positionH relativeFrom="column">
                  <wp:align>left</wp:align>
                </wp:positionH>
                <wp:positionV relativeFrom="line">
                  <wp:posOffset>635</wp:posOffset>
                </wp:positionV>
                <wp:extent cx="1943100" cy="4128770"/>
                <wp:effectExtent l="0" t="0" r="0" b="0"/>
                <wp:wrapSquare wrapText="right"/>
                <wp:docPr id="494" name="Frame204"/>
                <a:graphic xmlns:a="http://schemas.openxmlformats.org/drawingml/2006/main">
                  <a:graphicData uri="http://schemas.microsoft.com/office/word/2010/wordprocessingShape">
                    <wps:wsp>
                      <wps:cNvSpPr txBox="1"/>
                      <wps:spPr>
                        <a:xfrm>
                          <a:off x="0" y="0"/>
                          <a:ext cx="1943100" cy="4128770"/>
                        </a:xfrm>
                        <a:prstGeom prst="rect"/>
                        <a:solidFill>
                          <a:srgbClr val="FFFFFF"/>
                        </a:solidFill>
                      </wps:spPr>
                      <wps:txbx>
                        <w:txbxContent>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10205" w:type="dxa"/>
                              <w:jc w:val="left"/>
                              <w:tblInd w:w="0" w:type="dxa"/>
                              <w:tblLayout w:type="fixed"/>
                              <w:tblCellMar>
                                <w:top w:w="0" w:type="dxa"/>
                                <w:left w:w="0" w:type="dxa"/>
                                <w:bottom w:w="0" w:type="dxa"/>
                                <w:right w:w="0" w:type="dxa"/>
                              </w:tblCellMar>
                            </w:tblPr>
                            <w:tblGrid>
                              <w:gridCol w:w="124"/>
                              <w:gridCol w:w="109"/>
                              <w:gridCol w:w="97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709" w:type="dxa"/>
                                  <w:tcBorders/>
                                  <w:shd w:fill="1F2668" w:val="clear"/>
                                  <w:vAlign w:val="center"/>
                                </w:tcPr>
                                <w:p>
                                  <w:pPr>
                                    <w:pStyle w:val="TableContents"/>
                                    <w:bidi w:val="0"/>
                                    <w:spacing w:lineRule="atLeast" w:line="300" w:before="0" w:after="0"/>
                                    <w:ind w:left="0" w:right="160" w:hanging="0"/>
                                    <w:jc w:val="left"/>
                                    <w:rPr>
                                      <w:b/>
                                      <w:sz w:val="26"/>
                                    </w:rPr>
                                  </w:pPr>
                                  <w:r>
                                    <w:rPr>
                                      <w:b/>
                                      <w:spacing w:val="-3"/>
                                      <w:sz w:val="26"/>
                                    </w:rPr>
                                    <w:t xml:space="preserve">AUDIT </w:t>
                                    <w:br/>
                                    <w:t>COMMITTEE</w:t>
                                  </w:r>
                                  <w:r>
                                    <w:rPr>
                                      <w:b/>
                                      <w:sz w:val="26"/>
                                    </w:rPr>
                                    <w:t xml:space="preserve">​ </w:t>
                                  </w:r>
                                </w:p>
                                <w:p>
                                  <w:pPr>
                                    <w:pStyle w:val="TableContents"/>
                                    <w:bidi w:val="0"/>
                                    <w:spacing w:lineRule="atLeast" w:line="220" w:before="240" w:after="283"/>
                                    <w:ind w:left="0" w:right="160" w:hanging="0"/>
                                    <w:jc w:val="left"/>
                                    <w:rPr>
                                      <w:b/>
                                    </w:rPr>
                                  </w:pPr>
                                  <w:r>
                                    <w:rPr>
                                      <w:b/>
                                      <w:spacing w:val="-2"/>
                                    </w:rPr>
                                    <w:t>Members</w:t>
                                  </w:r>
                                  <w:r>
                                    <w:rPr>
                                      <w:b/>
                                    </w:rPr>
                                    <w:t xml:space="preserve"> </w:t>
                                  </w:r>
                                </w:p>
                                <w:p>
                                  <w:pPr>
                                    <w:pStyle w:val="TableContents"/>
                                    <w:bidi w:val="0"/>
                                    <w:spacing w:lineRule="atLeast" w:line="220" w:before="120" w:after="283"/>
                                    <w:ind w:left="0" w:right="160" w:hanging="0"/>
                                    <w:jc w:val="left"/>
                                    <w:rPr>
                                      <w:spacing w:val="-2"/>
                                    </w:rPr>
                                  </w:pPr>
                                  <w:r>
                                    <w:rPr>
                                      <w:spacing w:val="-2"/>
                                    </w:rPr>
                                    <w:t xml:space="preserve">Lauren B. Dillard (Chair) </w:t>
                                    <w:br/>
                                    <w:t xml:space="preserve">Carol N. Brown </w:t>
                                    <w:br/>
                                    <w:t xml:space="preserve">Craig M. Hatkoff </w:t>
                                  </w:r>
                                </w:p>
                                <w:p>
                                  <w:pPr>
                                    <w:pStyle w:val="TableContents"/>
                                    <w:bidi w:val="0"/>
                                    <w:spacing w:lineRule="atLeast" w:line="220" w:before="360" w:after="283"/>
                                    <w:ind w:left="0" w:right="160" w:hanging="0"/>
                                    <w:jc w:val="left"/>
                                    <w:rPr>
                                      <w:spacing w:val="-2"/>
                                    </w:rPr>
                                  </w:pPr>
                                  <w:r>
                                    <w:rPr>
                                      <w:spacing w:val="-2"/>
                                    </w:rPr>
                                    <w:t xml:space="preserve">Meetings in 2025: 12 </w:t>
                                  </w:r>
                                </w:p>
                                <w:p>
                                  <w:pPr>
                                    <w:pStyle w:val="TableContents"/>
                                    <w:bidi w:val="0"/>
                                    <w:spacing w:lineRule="atLeast" w:line="220" w:before="360" w:after="283"/>
                                    <w:ind w:left="0" w:right="160" w:hanging="0"/>
                                    <w:jc w:val="left"/>
                                    <w:rPr/>
                                  </w:pPr>
                                  <w:r>
                                    <w:rPr>
                                      <w:spacing w:val="-2"/>
                                    </w:rPr>
                                    <w:t>In addition to participating in formal meetings, our Audit Committee members regularly communicate with each other, members of management and advisors and take action by written consent.</w:t>
                                  </w:r>
                                  <w:r>
                                    <w:rPr/>
                                    <w:t xml:space="preserve"> </w:t>
                                  </w:r>
                                </w:p>
                              </w:tc>
                              <w:tc>
                                <w:tcPr>
                                  <w:tcW w:w="109" w:type="dxa"/>
                                  <w:tcBorders/>
                                  <w:vAlign w:val="center"/>
                                </w:tcPr>
                                <w:p>
                                  <w:pPr>
                                    <w:pStyle w:val="TableContents"/>
                                    <w:bidi w:val="0"/>
                                    <w:spacing w:before="0" w:after="283"/>
                                    <w:jc w:val="left"/>
                                    <w:rPr/>
                                  </w:pPr>
                                  <w:r>
                                    <w:rPr/>
                                    <w:t>​</w:t>
                                  </w:r>
                                </w:p>
                              </w:tc>
                              <w:tc>
                                <w:tcPr>
                                  <w:tcW w:w="154" w:type="dxa"/>
                                  <w:tcBorders/>
                                  <w:shd w:fill="1F2668" w:val="clear"/>
                                  <w:vAlign w:val="center"/>
                                </w:tcPr>
                                <w:p>
                                  <w:pPr>
                                    <w:pStyle w:val="TableContents"/>
                                    <w:bidi w:val="0"/>
                                    <w:spacing w:before="0" w:after="283"/>
                                    <w:jc w:val="left"/>
                                    <w:rPr/>
                                  </w:pPr>
                                  <w:r>
                                    <w:rPr/>
                                    <w:t>​</w:t>
                                  </w:r>
                                </w:p>
                              </w:tc>
                            </w:tr>
                          </w:tbl>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53pt;height:325.1pt;mso-wrap-distance-left:45pt;mso-wrap-distance-right:0pt;mso-wrap-distance-top:0pt;mso-wrap-distance-bottom:0pt;margin-top:0pt;mso-position-vertical:top;mso-position-vertical-relative:text;margin-left:45pt;mso-position-horizontal:left;mso-position-horizontal-relative:text">
                <v:textbox>
                  <w:txbxContent>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10205" w:type="dxa"/>
                        <w:jc w:val="left"/>
                        <w:tblInd w:w="0" w:type="dxa"/>
                        <w:tblLayout w:type="fixed"/>
                        <w:tblCellMar>
                          <w:top w:w="0" w:type="dxa"/>
                          <w:left w:w="0" w:type="dxa"/>
                          <w:bottom w:w="0" w:type="dxa"/>
                          <w:right w:w="0" w:type="dxa"/>
                        </w:tblCellMar>
                      </w:tblPr>
                      <w:tblGrid>
                        <w:gridCol w:w="124"/>
                        <w:gridCol w:w="109"/>
                        <w:gridCol w:w="97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709" w:type="dxa"/>
                            <w:tcBorders/>
                            <w:shd w:fill="1F2668" w:val="clear"/>
                            <w:vAlign w:val="center"/>
                          </w:tcPr>
                          <w:p>
                            <w:pPr>
                              <w:pStyle w:val="TableContents"/>
                              <w:bidi w:val="0"/>
                              <w:spacing w:lineRule="atLeast" w:line="300" w:before="0" w:after="0"/>
                              <w:ind w:left="0" w:right="160" w:hanging="0"/>
                              <w:jc w:val="left"/>
                              <w:rPr>
                                <w:b/>
                                <w:sz w:val="26"/>
                              </w:rPr>
                            </w:pPr>
                            <w:r>
                              <w:rPr>
                                <w:b/>
                                <w:spacing w:val="-3"/>
                                <w:sz w:val="26"/>
                              </w:rPr>
                              <w:t xml:space="preserve">AUDIT </w:t>
                              <w:br/>
                              <w:t>COMMITTEE</w:t>
                            </w:r>
                            <w:r>
                              <w:rPr>
                                <w:b/>
                                <w:sz w:val="26"/>
                              </w:rPr>
                              <w:t xml:space="preserve">​ </w:t>
                            </w:r>
                          </w:p>
                          <w:p>
                            <w:pPr>
                              <w:pStyle w:val="TableContents"/>
                              <w:bidi w:val="0"/>
                              <w:spacing w:lineRule="atLeast" w:line="220" w:before="240" w:after="283"/>
                              <w:ind w:left="0" w:right="160" w:hanging="0"/>
                              <w:jc w:val="left"/>
                              <w:rPr>
                                <w:b/>
                              </w:rPr>
                            </w:pPr>
                            <w:r>
                              <w:rPr>
                                <w:b/>
                                <w:spacing w:val="-2"/>
                              </w:rPr>
                              <w:t>Members</w:t>
                            </w:r>
                            <w:r>
                              <w:rPr>
                                <w:b/>
                              </w:rPr>
                              <w:t xml:space="preserve"> </w:t>
                            </w:r>
                          </w:p>
                          <w:p>
                            <w:pPr>
                              <w:pStyle w:val="TableContents"/>
                              <w:bidi w:val="0"/>
                              <w:spacing w:lineRule="atLeast" w:line="220" w:before="120" w:after="283"/>
                              <w:ind w:left="0" w:right="160" w:hanging="0"/>
                              <w:jc w:val="left"/>
                              <w:rPr>
                                <w:spacing w:val="-2"/>
                              </w:rPr>
                            </w:pPr>
                            <w:r>
                              <w:rPr>
                                <w:spacing w:val="-2"/>
                              </w:rPr>
                              <w:t xml:space="preserve">Lauren B. Dillard (Chair) </w:t>
                              <w:br/>
                              <w:t xml:space="preserve">Carol N. Brown </w:t>
                              <w:br/>
                              <w:t xml:space="preserve">Craig M. Hatkoff </w:t>
                            </w:r>
                          </w:p>
                          <w:p>
                            <w:pPr>
                              <w:pStyle w:val="TableContents"/>
                              <w:bidi w:val="0"/>
                              <w:spacing w:lineRule="atLeast" w:line="220" w:before="360" w:after="283"/>
                              <w:ind w:left="0" w:right="160" w:hanging="0"/>
                              <w:jc w:val="left"/>
                              <w:rPr>
                                <w:spacing w:val="-2"/>
                              </w:rPr>
                            </w:pPr>
                            <w:r>
                              <w:rPr>
                                <w:spacing w:val="-2"/>
                              </w:rPr>
                              <w:t xml:space="preserve">Meetings in 2025: 12 </w:t>
                            </w:r>
                          </w:p>
                          <w:p>
                            <w:pPr>
                              <w:pStyle w:val="TableContents"/>
                              <w:bidi w:val="0"/>
                              <w:spacing w:lineRule="atLeast" w:line="220" w:before="360" w:after="283"/>
                              <w:ind w:left="0" w:right="160" w:hanging="0"/>
                              <w:jc w:val="left"/>
                              <w:rPr/>
                            </w:pPr>
                            <w:r>
                              <w:rPr>
                                <w:spacing w:val="-2"/>
                              </w:rPr>
                              <w:t>In addition to participating in formal meetings, our Audit Committee members regularly communicate with each other, members of management and advisors and take action by written consent.</w:t>
                            </w:r>
                            <w:r>
                              <w:rPr/>
                              <w:t xml:space="preserve"> </w:t>
                            </w:r>
                          </w:p>
                        </w:tc>
                        <w:tc>
                          <w:tcPr>
                            <w:tcW w:w="109" w:type="dxa"/>
                            <w:tcBorders/>
                            <w:vAlign w:val="center"/>
                          </w:tcPr>
                          <w:p>
                            <w:pPr>
                              <w:pStyle w:val="TableContents"/>
                              <w:bidi w:val="0"/>
                              <w:spacing w:before="0" w:after="283"/>
                              <w:jc w:val="left"/>
                              <w:rPr/>
                            </w:pPr>
                            <w:r>
                              <w:rPr/>
                              <w:t>​</w:t>
                            </w:r>
                          </w:p>
                        </w:tc>
                        <w:tc>
                          <w:tcPr>
                            <w:tcW w:w="154" w:type="dxa"/>
                            <w:tcBorders/>
                            <w:shd w:fill="1F2668" w:val="clear"/>
                            <w:vAlign w:val="center"/>
                          </w:tcPr>
                          <w:p>
                            <w:pPr>
                              <w:pStyle w:val="TableContents"/>
                              <w:bidi w:val="0"/>
                              <w:spacing w:before="0" w:after="283"/>
                              <w:jc w:val="left"/>
                              <w:rPr/>
                            </w:pPr>
                            <w:r>
                              <w:rPr/>
                              <w:t>​</w:t>
                            </w:r>
                          </w:p>
                        </w:tc>
                      </w:tr>
                    </w:tbl>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254000" distR="0" simplePos="0" locked="0" layoutInCell="1" allowOverlap="1" relativeHeight="485">
                <wp:simplePos x="0" y="0"/>
                <wp:positionH relativeFrom="column">
                  <wp:align>left</wp:align>
                </wp:positionH>
                <wp:positionV relativeFrom="line">
                  <wp:posOffset>635</wp:posOffset>
                </wp:positionV>
                <wp:extent cx="4203700" cy="9972040"/>
                <wp:effectExtent l="0" t="0" r="0" b="0"/>
                <wp:wrapSquare wrapText="right"/>
                <wp:docPr id="495" name="Frame205"/>
                <a:graphic xmlns:a="http://schemas.openxmlformats.org/drawingml/2006/main">
                  <a:graphicData uri="http://schemas.microsoft.com/office/word/2010/wordprocessingShape">
                    <wps:wsp>
                      <wps:cNvSpPr txBox="1"/>
                      <wps:spPr>
                        <a:xfrm>
                          <a:off x="0" y="0"/>
                          <a:ext cx="4203700" cy="9972040"/>
                        </a:xfrm>
                        <a:prstGeom prst="rect"/>
                        <a:solidFill>
                          <a:srgbClr val="FFFFFF"/>
                        </a:solidFill>
                      </wps:spPr>
                      <wps:txbx>
                        <w:txbxContent>
                          <w:p>
                            <w:pPr>
                              <w:pStyle w:val="TextBody"/>
                              <w:bidi w:val="0"/>
                              <w:spacing w:lineRule="atLeast" w:line="260" w:before="0" w:after="0"/>
                              <w:jc w:val="left"/>
                              <w:rPr>
                                <w:b/>
                                <w:color w:val="83AD40"/>
                                <w:sz w:val="22"/>
                              </w:rPr>
                            </w:pPr>
                            <w:r>
                              <w:rPr>
                                <w:b/>
                                <w:color w:val="83AD40"/>
                                <w:spacing w:val="-2"/>
                                <w:sz w:val="22"/>
                              </w:rPr>
                              <w:t>Principal Responsibilities:</w:t>
                            </w:r>
                            <w:r>
                              <w:rPr>
                                <w:b/>
                                <w:color w:val="000000"/>
                                <w:spacing w:val="4"/>
                                <w:sz w:val="22"/>
                              </w:rPr>
                              <w:t xml:space="preserve"> </w:t>
                            </w:r>
                          </w:p>
                          <w:p>
                            <w:pPr>
                              <w:pStyle w:val="TextBody"/>
                              <w:bidi w:val="0"/>
                              <w:spacing w:lineRule="atLeast" w:line="240" w:before="120" w:after="283"/>
                              <w:jc w:val="left"/>
                              <w:rPr/>
                            </w:pPr>
                            <w:r>
                              <w:rPr>
                                <w:spacing w:val="-2"/>
                              </w:rPr>
                              <w:t>Our Audit Committee’s primary purposes are to:</w:t>
                            </w:r>
                            <w:r>
                              <w:rPr/>
                              <w:t xml:space="preserve"> </w:t>
                            </w:r>
                          </w:p>
                          <w:p>
                            <w:pPr>
                              <w:pStyle w:val="TextBody"/>
                              <w:bidi w:val="0"/>
                              <w:spacing w:lineRule="atLeast" w:line="220" w:before="196" w:after="0"/>
                              <w:ind w:left="200" w:right="0" w:hanging="0"/>
                              <w:jc w:val="left"/>
                              <w:rPr/>
                            </w:pPr>
                            <w:r>
                              <w:rPr>
                                <w:spacing w:val="-2"/>
                              </w:rPr>
                              <w:t>Select and appoint our independent registered public accounting firm</w:t>
                            </w:r>
                            <w:r>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Assist the Board in its oversight of the integrity of the Company’s financial statements; the Company’s compliance with legal and regulatory requirements; the qualifications and independence of the registered public accounting firm employed by the Company for the audit of the Company’s financial statements; the performance of the people responsible for the Company’s internal audit function; and the performance of the Company’s independent registered public accounting firm</w:t>
                            </w:r>
                            <w:r>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Prepare the report that is required to be included in this proxy statement by the rules of the SEC</w:t>
                            </w:r>
                            <w:r>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Provide an open avenue of communication among the Company’s independent registered public accounting firm, its internal auditors, its management and the Board</w:t>
                            </w:r>
                            <w:r>
                              <w:rPr/>
                              <w:t xml:space="preserve"> </w:t>
                            </w:r>
                          </w:p>
                          <w:p>
                            <w:pPr>
                              <w:pStyle w:val="TextBody"/>
                              <w:bidi w:val="0"/>
                              <w:spacing w:before="0" w:after="0"/>
                              <w:ind w:left="0" w:right="0" w:hanging="0"/>
                              <w:jc w:val="left"/>
                              <w:rPr/>
                            </w:pPr>
                            <w:r>
                              <w:rPr/>
                              <w:t>​</w:t>
                            </w:r>
                          </w:p>
                          <w:p>
                            <w:pPr>
                              <w:pStyle w:val="TextBody"/>
                              <w:bidi w:val="0"/>
                              <w:spacing w:lineRule="atLeast" w:line="230" w:before="193" w:after="283"/>
                              <w:jc w:val="left"/>
                              <w:rPr/>
                            </w:pPr>
                            <w:r>
                              <w:rPr>
                                <w:spacing w:val="-2"/>
                              </w:rPr>
                              <w:t>Each member of the Audit Committee is independent within the meaning of the rules of the NYSE and the SEC and each of them meets the financial literacy standard required by the rules of the NYSE.</w:t>
                            </w:r>
                            <w:r>
                              <w:rPr/>
                              <w:t xml:space="preserve"> </w:t>
                            </w:r>
                          </w:p>
                          <w:p>
                            <w:pPr>
                              <w:pStyle w:val="TextBody"/>
                              <w:bidi w:val="0"/>
                              <w:spacing w:lineRule="atLeast" w:line="230" w:before="234" w:after="283"/>
                              <w:jc w:val="left"/>
                              <w:rPr/>
                            </w:pPr>
                            <w:r>
                              <w:rPr>
                                <w:spacing w:val="-2"/>
                              </w:rPr>
                              <w:t>Additional information regarding the functions performed by our Audit Committee is set forth in the “Audit Committee Report” included in this annual proxy statement.</w:t>
                            </w:r>
                            <w:r>
                              <w:rPr/>
                              <w:t xml:space="preserve"> </w:t>
                            </w:r>
                          </w:p>
                          <w:p>
                            <w:pPr>
                              <w:pStyle w:val="TextBody"/>
                              <w:bidi w:val="0"/>
                              <w:spacing w:lineRule="atLeast" w:line="260" w:before="280" w:after="283"/>
                              <w:jc w:val="left"/>
                              <w:rPr>
                                <w:b/>
                                <w:color w:val="83AD40"/>
                                <w:sz w:val="22"/>
                              </w:rPr>
                            </w:pPr>
                            <w:r>
                              <w:rPr>
                                <w:b/>
                                <w:color w:val="83AD40"/>
                                <w:spacing w:val="-2"/>
                                <w:sz w:val="22"/>
                              </w:rPr>
                              <w:t>Audit Committee Financial Expert:</w:t>
                            </w:r>
                            <w:r>
                              <w:rPr>
                                <w:b/>
                                <w:color w:val="83AD40"/>
                                <w:sz w:val="22"/>
                              </w:rPr>
                              <w:t xml:space="preserve"> </w:t>
                            </w:r>
                          </w:p>
                          <w:p>
                            <w:pPr>
                              <w:pStyle w:val="TextBody"/>
                              <w:bidi w:val="0"/>
                              <w:spacing w:lineRule="atLeast" w:line="230" w:before="120" w:after="283"/>
                              <w:jc w:val="left"/>
                              <w:rPr/>
                            </w:pPr>
                            <w:r>
                              <w:rPr>
                                <w:spacing w:val="-2"/>
                              </w:rPr>
                              <w:t>The Board determined that Lauren B. Dillard qualifies as an “audit committee financial expert,” as defined in Item 407(d) of SEC Regulation S-K.</w:t>
                            </w:r>
                            <w:r>
                              <w:rPr/>
                              <w:t xml:space="preserve"> </w:t>
                            </w:r>
                          </w:p>
                          <w:p>
                            <w:pPr>
                              <w:pStyle w:val="TextBody"/>
                              <w:bidi w:val="0"/>
                              <w:spacing w:before="0" w:after="283"/>
                              <w:ind w:left="0" w:right="0" w:hanging="0"/>
                              <w:jc w:val="left"/>
                              <w:rPr>
                                <w:bdr w:val="single" w:sz="8" w:space="1" w:color="83AD40"/>
                              </w:rPr>
                            </w:pPr>
                            <w:r>
                              <w:rPr>
                                <w:bdr w:val="single" w:sz="8" w:space="1" w:color="83AD40"/>
                              </w:rPr>
                              <w:t>​</w:t>
                            </w:r>
                          </w:p>
                          <w:p>
                            <w:pPr>
                              <w:pStyle w:val="TextBody"/>
                              <w:bidi w:val="0"/>
                              <w:spacing w:lineRule="atLeast" w:line="230" w:before="419" w:after="283"/>
                              <w:jc w:val="left"/>
                              <w:rPr/>
                            </w:pPr>
                            <w:r>
                              <w:rPr>
                                <w:spacing w:val="-2"/>
                              </w:rPr>
                              <w:t>Our management is responsible for the preparation, presentation and integrity of our financial statements and for the effectiveness of internal control over financial reporting. Management is responsible for maintaining appropriate accounting and financial reporting principles and policies and internal controls and procedures that provide for compliance with accounting standards and applicable laws and regulations.</w:t>
                            </w:r>
                            <w:r>
                              <w:rPr/>
                              <w:t xml:space="preserve"> </w:t>
                            </w:r>
                          </w:p>
                          <w:p>
                            <w:pPr>
                              <w:pStyle w:val="TextBody"/>
                              <w:bidi w:val="0"/>
                              <w:spacing w:lineRule="atLeast" w:line="230" w:before="234" w:after="283"/>
                              <w:jc w:val="left"/>
                              <w:rPr>
                                <w:spacing w:val="-2"/>
                              </w:rPr>
                            </w:pPr>
                            <w:r>
                              <w:rPr>
                                <w:spacing w:val="-2"/>
                              </w:rPr>
                              <w:t xml:space="preserve">Our independent registered public accounting firm is responsible for planning and carrying out a proper audit of our annual financial statements prior to the filing of our Annual Report on Form 10-K, reviewing our quarterly financial statements prior to the filing of each Quarterly Report on Form 10-Q and annually auditing the effectiveness of our internal control over financial reporting and other procedures. </w:t>
                            </w:r>
                          </w:p>
                        </w:txbxContent>
                      </wps:txbx>
                      <wps:bodyPr anchor="t" lIns="0" tIns="0" rIns="0" bIns="0">
                        <a:noAutofit/>
                      </wps:bodyPr>
                    </wps:wsp>
                  </a:graphicData>
                </a:graphic>
              </wp:anchor>
            </w:drawing>
          </mc:Choice>
          <mc:Fallback>
            <w:pict>
              <v:rect style="position:absolute;rotation:-0;width:331pt;height:785.2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60" w:before="0" w:after="0"/>
                        <w:jc w:val="left"/>
                        <w:rPr>
                          <w:b/>
                          <w:color w:val="83AD40"/>
                          <w:sz w:val="22"/>
                        </w:rPr>
                      </w:pPr>
                      <w:r>
                        <w:rPr>
                          <w:b/>
                          <w:color w:val="83AD40"/>
                          <w:spacing w:val="-2"/>
                          <w:sz w:val="22"/>
                        </w:rPr>
                        <w:t>Principal Responsibilities:</w:t>
                      </w:r>
                      <w:r>
                        <w:rPr>
                          <w:b/>
                          <w:color w:val="000000"/>
                          <w:spacing w:val="4"/>
                          <w:sz w:val="22"/>
                        </w:rPr>
                        <w:t xml:space="preserve"> </w:t>
                      </w:r>
                    </w:p>
                    <w:p>
                      <w:pPr>
                        <w:pStyle w:val="TextBody"/>
                        <w:bidi w:val="0"/>
                        <w:spacing w:lineRule="atLeast" w:line="240" w:before="120" w:after="283"/>
                        <w:jc w:val="left"/>
                        <w:rPr/>
                      </w:pPr>
                      <w:r>
                        <w:rPr>
                          <w:spacing w:val="-2"/>
                        </w:rPr>
                        <w:t>Our Audit Committee’s primary purposes are to:</w:t>
                      </w:r>
                      <w:r>
                        <w:rPr/>
                        <w:t xml:space="preserve"> </w:t>
                      </w:r>
                    </w:p>
                    <w:p>
                      <w:pPr>
                        <w:pStyle w:val="TextBody"/>
                        <w:bidi w:val="0"/>
                        <w:spacing w:lineRule="atLeast" w:line="220" w:before="196" w:after="0"/>
                        <w:ind w:left="200" w:right="0" w:hanging="0"/>
                        <w:jc w:val="left"/>
                        <w:rPr/>
                      </w:pPr>
                      <w:r>
                        <w:rPr>
                          <w:spacing w:val="-2"/>
                        </w:rPr>
                        <w:t>Select and appoint our independent registered public accounting firm</w:t>
                      </w:r>
                      <w:r>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Assist the Board in its oversight of the integrity of the Company’s financial statements; the Company’s compliance with legal and regulatory requirements; the qualifications and independence of the registered public accounting firm employed by the Company for the audit of the Company’s financial statements; the performance of the people responsible for the Company’s internal audit function; and the performance of the Company’s independent registered public accounting firm</w:t>
                      </w:r>
                      <w:r>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Prepare the report that is required to be included in this proxy statement by the rules of the SEC</w:t>
                      </w:r>
                      <w:r>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Provide an open avenue of communication among the Company’s independent registered public accounting firm, its internal auditors, its management and the Board</w:t>
                      </w:r>
                      <w:r>
                        <w:rPr/>
                        <w:t xml:space="preserve"> </w:t>
                      </w:r>
                    </w:p>
                    <w:p>
                      <w:pPr>
                        <w:pStyle w:val="TextBody"/>
                        <w:bidi w:val="0"/>
                        <w:spacing w:before="0" w:after="0"/>
                        <w:ind w:left="0" w:right="0" w:hanging="0"/>
                        <w:jc w:val="left"/>
                        <w:rPr/>
                      </w:pPr>
                      <w:r>
                        <w:rPr/>
                        <w:t>​</w:t>
                      </w:r>
                    </w:p>
                    <w:p>
                      <w:pPr>
                        <w:pStyle w:val="TextBody"/>
                        <w:bidi w:val="0"/>
                        <w:spacing w:lineRule="atLeast" w:line="230" w:before="193" w:after="283"/>
                        <w:jc w:val="left"/>
                        <w:rPr/>
                      </w:pPr>
                      <w:r>
                        <w:rPr>
                          <w:spacing w:val="-2"/>
                        </w:rPr>
                        <w:t>Each member of the Audit Committee is independent within the meaning of the rules of the NYSE and the SEC and each of them meets the financial literacy standard required by the rules of the NYSE.</w:t>
                      </w:r>
                      <w:r>
                        <w:rPr/>
                        <w:t xml:space="preserve"> </w:t>
                      </w:r>
                    </w:p>
                    <w:p>
                      <w:pPr>
                        <w:pStyle w:val="TextBody"/>
                        <w:bidi w:val="0"/>
                        <w:spacing w:lineRule="atLeast" w:line="230" w:before="234" w:after="283"/>
                        <w:jc w:val="left"/>
                        <w:rPr/>
                      </w:pPr>
                      <w:r>
                        <w:rPr>
                          <w:spacing w:val="-2"/>
                        </w:rPr>
                        <w:t>Additional information regarding the functions performed by our Audit Committee is set forth in the “Audit Committee Report” included in this annual proxy statement.</w:t>
                      </w:r>
                      <w:r>
                        <w:rPr/>
                        <w:t xml:space="preserve"> </w:t>
                      </w:r>
                    </w:p>
                    <w:p>
                      <w:pPr>
                        <w:pStyle w:val="TextBody"/>
                        <w:bidi w:val="0"/>
                        <w:spacing w:lineRule="atLeast" w:line="260" w:before="280" w:after="283"/>
                        <w:jc w:val="left"/>
                        <w:rPr>
                          <w:b/>
                          <w:color w:val="83AD40"/>
                          <w:sz w:val="22"/>
                        </w:rPr>
                      </w:pPr>
                      <w:r>
                        <w:rPr>
                          <w:b/>
                          <w:color w:val="83AD40"/>
                          <w:spacing w:val="-2"/>
                          <w:sz w:val="22"/>
                        </w:rPr>
                        <w:t>Audit Committee Financial Expert:</w:t>
                      </w:r>
                      <w:r>
                        <w:rPr>
                          <w:b/>
                          <w:color w:val="83AD40"/>
                          <w:sz w:val="22"/>
                        </w:rPr>
                        <w:t xml:space="preserve"> </w:t>
                      </w:r>
                    </w:p>
                    <w:p>
                      <w:pPr>
                        <w:pStyle w:val="TextBody"/>
                        <w:bidi w:val="0"/>
                        <w:spacing w:lineRule="atLeast" w:line="230" w:before="120" w:after="283"/>
                        <w:jc w:val="left"/>
                        <w:rPr/>
                      </w:pPr>
                      <w:r>
                        <w:rPr>
                          <w:spacing w:val="-2"/>
                        </w:rPr>
                        <w:t>The Board determined that Lauren B. Dillard qualifies as an “audit committee financial expert,” as defined in Item 407(d) of SEC Regulation S-K.</w:t>
                      </w:r>
                      <w:r>
                        <w:rPr/>
                        <w:t xml:space="preserve"> </w:t>
                      </w:r>
                    </w:p>
                    <w:p>
                      <w:pPr>
                        <w:pStyle w:val="TextBody"/>
                        <w:bidi w:val="0"/>
                        <w:spacing w:before="0" w:after="283"/>
                        <w:ind w:left="0" w:right="0" w:hanging="0"/>
                        <w:jc w:val="left"/>
                        <w:rPr>
                          <w:bdr w:val="single" w:sz="8" w:space="1" w:color="83AD40"/>
                        </w:rPr>
                      </w:pPr>
                      <w:r>
                        <w:rPr>
                          <w:bdr w:val="single" w:sz="8" w:space="1" w:color="83AD40"/>
                        </w:rPr>
                        <w:t>​</w:t>
                      </w:r>
                    </w:p>
                    <w:p>
                      <w:pPr>
                        <w:pStyle w:val="TextBody"/>
                        <w:bidi w:val="0"/>
                        <w:spacing w:lineRule="atLeast" w:line="230" w:before="419" w:after="283"/>
                        <w:jc w:val="left"/>
                        <w:rPr/>
                      </w:pPr>
                      <w:r>
                        <w:rPr>
                          <w:spacing w:val="-2"/>
                        </w:rPr>
                        <w:t>Our management is responsible for the preparation, presentation and integrity of our financial statements and for the effectiveness of internal control over financial reporting. Management is responsible for maintaining appropriate accounting and financial reporting principles and policies and internal controls and procedures that provide for compliance with accounting standards and applicable laws and regulations.</w:t>
                      </w:r>
                      <w:r>
                        <w:rPr/>
                        <w:t xml:space="preserve"> </w:t>
                      </w:r>
                    </w:p>
                    <w:p>
                      <w:pPr>
                        <w:pStyle w:val="TextBody"/>
                        <w:bidi w:val="0"/>
                        <w:spacing w:lineRule="atLeast" w:line="230" w:before="234" w:after="283"/>
                        <w:jc w:val="left"/>
                        <w:rPr>
                          <w:spacing w:val="-2"/>
                        </w:rPr>
                      </w:pPr>
                      <w:r>
                        <w:rPr>
                          <w:spacing w:val="-2"/>
                        </w:rPr>
                        <w:t xml:space="preserve">Our independent registered public accounting firm is responsible for planning and carrying out a proper audit of our annual financial statements prior to the filing of our Annual Report on Form 10-K, reviewing our quarterly financial statements prior to the filing of each Quarterly Report on Form 10-Q and annually auditing the effectiveness of our internal control over financial reporting and other procedures. </w:t>
                      </w:r>
                    </w:p>
                  </w:txbxContent>
                </v:textbox>
                <w10:wrap type="square" side="right"/>
              </v:rect>
            </w:pict>
          </mc:Fallback>
        </mc:AlternateContent>
      </w:r>
      <w:r>
        <mc:AlternateContent>
          <mc:Choice Requires="wps">
            <w:drawing>
              <wp:anchor behindDoc="0" distT="124460" distB="0" distL="0" distR="0" simplePos="0" locked="0" layoutInCell="1" allowOverlap="1" relativeHeight="486">
                <wp:simplePos x="0" y="0"/>
                <wp:positionH relativeFrom="column">
                  <wp:align>left</wp:align>
                </wp:positionH>
                <wp:positionV relativeFrom="line">
                  <wp:align>top</wp:align>
                </wp:positionV>
                <wp:extent cx="127000" cy="350520"/>
                <wp:effectExtent l="0" t="0" r="0" b="0"/>
                <wp:wrapSquare wrapText="right"/>
                <wp:docPr id="496" name="Frame2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9.8pt;mso-wrap-distance-bottom:0pt;margin-top:9.8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24130" distB="0" distL="0" distR="0" simplePos="0" locked="0" layoutInCell="1" allowOverlap="1" relativeHeight="487">
                <wp:simplePos x="0" y="0"/>
                <wp:positionH relativeFrom="column">
                  <wp:align>left</wp:align>
                </wp:positionH>
                <wp:positionV relativeFrom="line">
                  <wp:align>top</wp:align>
                </wp:positionV>
                <wp:extent cx="127000" cy="350520"/>
                <wp:effectExtent l="0" t="0" r="0" b="0"/>
                <wp:wrapSquare wrapText="right"/>
                <wp:docPr id="497" name="Frame2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24130" distB="0" distL="0" distR="0" simplePos="0" locked="0" layoutInCell="1" allowOverlap="1" relativeHeight="488">
                <wp:simplePos x="0" y="0"/>
                <wp:positionH relativeFrom="column">
                  <wp:align>left</wp:align>
                </wp:positionH>
                <wp:positionV relativeFrom="line">
                  <wp:align>top</wp:align>
                </wp:positionV>
                <wp:extent cx="127000" cy="350520"/>
                <wp:effectExtent l="0" t="0" r="0" b="0"/>
                <wp:wrapSquare wrapText="right"/>
                <wp:docPr id="498" name="Frame2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24130" distB="0" distL="0" distR="0" simplePos="0" locked="0" layoutInCell="1" allowOverlap="1" relativeHeight="489">
                <wp:simplePos x="0" y="0"/>
                <wp:positionH relativeFrom="column">
                  <wp:align>left</wp:align>
                </wp:positionH>
                <wp:positionV relativeFrom="line">
                  <wp:align>top</wp:align>
                </wp:positionV>
                <wp:extent cx="127000" cy="350520"/>
                <wp:effectExtent l="0" t="0" r="0" b="0"/>
                <wp:wrapSquare wrapText="right"/>
                <wp:docPr id="499" name="Frame2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8095" w:type="dxa"/>
        <w:jc w:val="left"/>
        <w:tblInd w:w="900" w:type="dxa"/>
        <w:tblLayout w:type="fixed"/>
        <w:tblCellMar>
          <w:top w:w="0" w:type="dxa"/>
          <w:left w:w="0" w:type="dxa"/>
          <w:bottom w:w="0" w:type="dxa"/>
          <w:right w:w="0" w:type="dxa"/>
        </w:tblCellMar>
      </w:tblPr>
      <w:tblGrid>
        <w:gridCol w:w="124"/>
        <w:gridCol w:w="7253"/>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7253" w:type="dxa"/>
            <w:tcBorders/>
            <w:vAlign w:val="center"/>
          </w:tcPr>
          <w:p>
            <w:pPr>
              <w:pStyle w:val="TableContents"/>
              <w:bidi w:val="0"/>
              <w:spacing w:lineRule="atLeast" w:line="200" w:before="0" w:after="0"/>
              <w:jc w:val="left"/>
              <w:rPr/>
            </w:pPr>
            <w:r>
              <w:rPr>
                <w:spacing w:val="-2"/>
              </w:rPr>
              <w:t>OUR BOARD OF DIRECTORS AND CORPORATE GOVERNANCE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color w:val="1F2668"/>
                <w:sz w:val="24"/>
              </w:rPr>
            </w:pPr>
            <w:r>
              <w:rPr>
                <w:color w:val="1F2668"/>
                <w:sz w:val="24"/>
              </w:rPr>
              <w:t>27</w:t>
            </w:r>
          </w:p>
        </w:tc>
        <w:tc>
          <w:tcPr>
            <w:tcW w:w="154" w:type="dxa"/>
            <w:tcBorders/>
            <w:vAlign w:val="center"/>
          </w:tcPr>
          <w:p>
            <w:pPr>
              <w:pStyle w:val="TableContents"/>
              <w:bidi w:val="0"/>
              <w:spacing w:before="0" w:after="283"/>
              <w:jc w:val="left"/>
              <w:rPr/>
            </w:pPr>
            <w:r>
              <w:rPr/>
              <w:t>​</w:t>
            </w:r>
          </w:p>
        </w:tc>
      </w:tr>
    </w:tbl>
    <w:p>
      <w:pPr>
        <w:pStyle w:val="TextBody"/>
        <w:bidi w:val="0"/>
        <w:spacing w:before="0" w:after="7063"/>
        <w:ind w:left="900" w:right="0" w:hanging="0"/>
        <w:jc w:val="left"/>
        <w:rPr>
          <w:caps w:val="false"/>
          <w:smallCaps w:val="false"/>
          <w:color w:val="000000"/>
        </w:rPr>
      </w:pPr>
      <w:r>
        <w:rPr>
          <w:caps w:val="false"/>
          <w:smallCaps w:val="false"/>
          <w:color w:val="000000"/>
        </w:rPr>
        <w:t>​</w:t>
      </w:r>
      <w:r>
        <mc:AlternateContent>
          <mc:Choice Requires="wps">
            <w:drawing>
              <wp:anchor behindDoc="0" distT="0" distB="0" distL="571500" distR="0" simplePos="0" locked="0" layoutInCell="1" allowOverlap="1" relativeHeight="490">
                <wp:simplePos x="0" y="0"/>
                <wp:positionH relativeFrom="column">
                  <wp:align>left</wp:align>
                </wp:positionH>
                <wp:positionV relativeFrom="line">
                  <wp:posOffset>635</wp:posOffset>
                </wp:positionV>
                <wp:extent cx="1943100" cy="4128770"/>
                <wp:effectExtent l="0" t="0" r="0" b="0"/>
                <wp:wrapSquare wrapText="right"/>
                <wp:docPr id="500" name="Frame210"/>
                <a:graphic xmlns:a="http://schemas.openxmlformats.org/drawingml/2006/main">
                  <a:graphicData uri="http://schemas.microsoft.com/office/word/2010/wordprocessingShape">
                    <wps:wsp>
                      <wps:cNvSpPr txBox="1"/>
                      <wps:spPr>
                        <a:xfrm>
                          <a:off x="0" y="0"/>
                          <a:ext cx="1943100" cy="4128770"/>
                        </a:xfrm>
                        <a:prstGeom prst="rect"/>
                        <a:solidFill>
                          <a:srgbClr val="FFFFFF"/>
                        </a:solidFill>
                      </wps:spPr>
                      <wps:txbx>
                        <w:txbxContent>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10205" w:type="dxa"/>
                              <w:jc w:val="left"/>
                              <w:tblInd w:w="0" w:type="dxa"/>
                              <w:tblLayout w:type="fixed"/>
                              <w:tblCellMar>
                                <w:top w:w="0" w:type="dxa"/>
                                <w:left w:w="0" w:type="dxa"/>
                                <w:bottom w:w="0" w:type="dxa"/>
                                <w:right w:w="0" w:type="dxa"/>
                              </w:tblCellMar>
                            </w:tblPr>
                            <w:tblGrid>
                              <w:gridCol w:w="124"/>
                              <w:gridCol w:w="109"/>
                              <w:gridCol w:w="97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709" w:type="dxa"/>
                                  <w:tcBorders/>
                                  <w:shd w:fill="1F2668" w:val="clear"/>
                                  <w:vAlign w:val="center"/>
                                </w:tcPr>
                                <w:p>
                                  <w:pPr>
                                    <w:pStyle w:val="TableContents"/>
                                    <w:bidi w:val="0"/>
                                    <w:spacing w:lineRule="atLeast" w:line="300" w:before="0" w:after="0"/>
                                    <w:ind w:left="0" w:right="160" w:hanging="0"/>
                                    <w:jc w:val="left"/>
                                    <w:rPr>
                                      <w:b/>
                                      <w:sz w:val="26"/>
                                    </w:rPr>
                                  </w:pPr>
                                  <w:r>
                                    <w:rPr>
                                      <w:b/>
                                      <w:spacing w:val="-3"/>
                                      <w:sz w:val="26"/>
                                    </w:rPr>
                                    <w:t xml:space="preserve">COMPENSATION </w:t>
                                    <w:br/>
                                    <w:t>COMMITTEE</w:t>
                                  </w:r>
                                  <w:r>
                                    <w:rPr>
                                      <w:b/>
                                      <w:sz w:val="26"/>
                                    </w:rPr>
                                    <w:t xml:space="preserve">​ </w:t>
                                  </w:r>
                                </w:p>
                                <w:p>
                                  <w:pPr>
                                    <w:pStyle w:val="TableContents"/>
                                    <w:bidi w:val="0"/>
                                    <w:spacing w:lineRule="atLeast" w:line="220" w:before="240" w:after="283"/>
                                    <w:ind w:left="0" w:right="160" w:hanging="0"/>
                                    <w:jc w:val="left"/>
                                    <w:rPr>
                                      <w:b/>
                                    </w:rPr>
                                  </w:pPr>
                                  <w:r>
                                    <w:rPr>
                                      <w:b/>
                                      <w:spacing w:val="-2"/>
                                    </w:rPr>
                                    <w:t>Members</w:t>
                                  </w:r>
                                  <w:r>
                                    <w:rPr>
                                      <w:b/>
                                    </w:rPr>
                                    <w:t xml:space="preserve"> </w:t>
                                  </w:r>
                                </w:p>
                                <w:p>
                                  <w:pPr>
                                    <w:pStyle w:val="TableContents"/>
                                    <w:bidi w:val="0"/>
                                    <w:spacing w:lineRule="atLeast" w:line="220" w:before="120" w:after="283"/>
                                    <w:ind w:left="0" w:right="160" w:hanging="0"/>
                                    <w:jc w:val="left"/>
                                    <w:rPr>
                                      <w:spacing w:val="-2"/>
                                    </w:rPr>
                                  </w:pPr>
                                  <w:r>
                                    <w:rPr>
                                      <w:spacing w:val="-2"/>
                                    </w:rPr>
                                    <w:t xml:space="preserve">Peggy Lamb (Chair) </w:t>
                                    <w:br/>
                                    <w:t xml:space="preserve">John H. Alschuler </w:t>
                                    <w:br/>
                                    <w:t xml:space="preserve">Lauren Dillard </w:t>
                                  </w:r>
                                </w:p>
                                <w:p>
                                  <w:pPr>
                                    <w:pStyle w:val="TableContents"/>
                                    <w:bidi w:val="0"/>
                                    <w:spacing w:lineRule="atLeast" w:line="220" w:before="360" w:after="283"/>
                                    <w:ind w:left="0" w:right="160" w:hanging="0"/>
                                    <w:jc w:val="left"/>
                                    <w:rPr>
                                      <w:spacing w:val="-2"/>
                                    </w:rPr>
                                  </w:pPr>
                                  <w:r>
                                    <w:rPr>
                                      <w:spacing w:val="-2"/>
                                    </w:rPr>
                                    <w:t xml:space="preserve">Meetings in 2025: 5 </w:t>
                                  </w:r>
                                </w:p>
                                <w:p>
                                  <w:pPr>
                                    <w:pStyle w:val="TableContents"/>
                                    <w:bidi w:val="0"/>
                                    <w:spacing w:lineRule="atLeast" w:line="220" w:before="360" w:after="283"/>
                                    <w:ind w:left="0" w:right="160" w:hanging="0"/>
                                    <w:jc w:val="left"/>
                                    <w:rPr/>
                                  </w:pPr>
                                  <w:r>
                                    <w:rPr>
                                      <w:spacing w:val="-2"/>
                                    </w:rPr>
                                    <w:t>In addition to participating in formal meetings, our Compensation Committee members regularly communicate with each other, members of management and advisors and take action by written consent.</w:t>
                                  </w:r>
                                  <w:r>
                                    <w:rPr/>
                                    <w:t xml:space="preserve"> </w:t>
                                  </w:r>
                                </w:p>
                              </w:tc>
                              <w:tc>
                                <w:tcPr>
                                  <w:tcW w:w="109" w:type="dxa"/>
                                  <w:tcBorders/>
                                  <w:vAlign w:val="center"/>
                                </w:tcPr>
                                <w:p>
                                  <w:pPr>
                                    <w:pStyle w:val="TableContents"/>
                                    <w:bidi w:val="0"/>
                                    <w:spacing w:before="0" w:after="283"/>
                                    <w:jc w:val="left"/>
                                    <w:rPr/>
                                  </w:pPr>
                                  <w:r>
                                    <w:rPr/>
                                    <w:t>​</w:t>
                                  </w:r>
                                </w:p>
                              </w:tc>
                              <w:tc>
                                <w:tcPr>
                                  <w:tcW w:w="154" w:type="dxa"/>
                                  <w:tcBorders/>
                                  <w:shd w:fill="1F2668" w:val="clear"/>
                                  <w:vAlign w:val="center"/>
                                </w:tcPr>
                                <w:p>
                                  <w:pPr>
                                    <w:pStyle w:val="TableContents"/>
                                    <w:bidi w:val="0"/>
                                    <w:spacing w:before="0" w:after="283"/>
                                    <w:jc w:val="left"/>
                                    <w:rPr/>
                                  </w:pPr>
                                  <w:r>
                                    <w:rPr/>
                                    <w:t>​</w:t>
                                  </w:r>
                                </w:p>
                              </w:tc>
                            </w:tr>
                          </w:tbl>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53pt;height:325.1pt;mso-wrap-distance-left:45pt;mso-wrap-distance-right:0pt;mso-wrap-distance-top:0pt;mso-wrap-distance-bottom:0pt;margin-top:0pt;mso-position-vertical:top;mso-position-vertical-relative:text;margin-left:45pt;mso-position-horizontal:left;mso-position-horizontal-relative:text">
                <v:textbox>
                  <w:txbxContent>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10205" w:type="dxa"/>
                        <w:jc w:val="left"/>
                        <w:tblInd w:w="0" w:type="dxa"/>
                        <w:tblLayout w:type="fixed"/>
                        <w:tblCellMar>
                          <w:top w:w="0" w:type="dxa"/>
                          <w:left w:w="0" w:type="dxa"/>
                          <w:bottom w:w="0" w:type="dxa"/>
                          <w:right w:w="0" w:type="dxa"/>
                        </w:tblCellMar>
                      </w:tblPr>
                      <w:tblGrid>
                        <w:gridCol w:w="124"/>
                        <w:gridCol w:w="109"/>
                        <w:gridCol w:w="97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709" w:type="dxa"/>
                            <w:tcBorders/>
                            <w:shd w:fill="1F2668" w:val="clear"/>
                            <w:vAlign w:val="center"/>
                          </w:tcPr>
                          <w:p>
                            <w:pPr>
                              <w:pStyle w:val="TableContents"/>
                              <w:bidi w:val="0"/>
                              <w:spacing w:lineRule="atLeast" w:line="300" w:before="0" w:after="0"/>
                              <w:ind w:left="0" w:right="160" w:hanging="0"/>
                              <w:jc w:val="left"/>
                              <w:rPr>
                                <w:b/>
                                <w:sz w:val="26"/>
                              </w:rPr>
                            </w:pPr>
                            <w:r>
                              <w:rPr>
                                <w:b/>
                                <w:spacing w:val="-3"/>
                                <w:sz w:val="26"/>
                              </w:rPr>
                              <w:t xml:space="preserve">COMPENSATION </w:t>
                              <w:br/>
                              <w:t>COMMITTEE</w:t>
                            </w:r>
                            <w:r>
                              <w:rPr>
                                <w:b/>
                                <w:sz w:val="26"/>
                              </w:rPr>
                              <w:t xml:space="preserve">​ </w:t>
                            </w:r>
                          </w:p>
                          <w:p>
                            <w:pPr>
                              <w:pStyle w:val="TableContents"/>
                              <w:bidi w:val="0"/>
                              <w:spacing w:lineRule="atLeast" w:line="220" w:before="240" w:after="283"/>
                              <w:ind w:left="0" w:right="160" w:hanging="0"/>
                              <w:jc w:val="left"/>
                              <w:rPr>
                                <w:b/>
                              </w:rPr>
                            </w:pPr>
                            <w:r>
                              <w:rPr>
                                <w:b/>
                                <w:spacing w:val="-2"/>
                              </w:rPr>
                              <w:t>Members</w:t>
                            </w:r>
                            <w:r>
                              <w:rPr>
                                <w:b/>
                              </w:rPr>
                              <w:t xml:space="preserve"> </w:t>
                            </w:r>
                          </w:p>
                          <w:p>
                            <w:pPr>
                              <w:pStyle w:val="TableContents"/>
                              <w:bidi w:val="0"/>
                              <w:spacing w:lineRule="atLeast" w:line="220" w:before="120" w:after="283"/>
                              <w:ind w:left="0" w:right="160" w:hanging="0"/>
                              <w:jc w:val="left"/>
                              <w:rPr>
                                <w:spacing w:val="-2"/>
                              </w:rPr>
                            </w:pPr>
                            <w:r>
                              <w:rPr>
                                <w:spacing w:val="-2"/>
                              </w:rPr>
                              <w:t xml:space="preserve">Peggy Lamb (Chair) </w:t>
                              <w:br/>
                              <w:t xml:space="preserve">John H. Alschuler </w:t>
                              <w:br/>
                              <w:t xml:space="preserve">Lauren Dillard </w:t>
                            </w:r>
                          </w:p>
                          <w:p>
                            <w:pPr>
                              <w:pStyle w:val="TableContents"/>
                              <w:bidi w:val="0"/>
                              <w:spacing w:lineRule="atLeast" w:line="220" w:before="360" w:after="283"/>
                              <w:ind w:left="0" w:right="160" w:hanging="0"/>
                              <w:jc w:val="left"/>
                              <w:rPr>
                                <w:spacing w:val="-2"/>
                              </w:rPr>
                            </w:pPr>
                            <w:r>
                              <w:rPr>
                                <w:spacing w:val="-2"/>
                              </w:rPr>
                              <w:t xml:space="preserve">Meetings in 2025: 5 </w:t>
                            </w:r>
                          </w:p>
                          <w:p>
                            <w:pPr>
                              <w:pStyle w:val="TableContents"/>
                              <w:bidi w:val="0"/>
                              <w:spacing w:lineRule="atLeast" w:line="220" w:before="360" w:after="283"/>
                              <w:ind w:left="0" w:right="160" w:hanging="0"/>
                              <w:jc w:val="left"/>
                              <w:rPr/>
                            </w:pPr>
                            <w:r>
                              <w:rPr>
                                <w:spacing w:val="-2"/>
                              </w:rPr>
                              <w:t>In addition to participating in formal meetings, our Compensation Committee members regularly communicate with each other, members of management and advisors and take action by written consent.</w:t>
                            </w:r>
                            <w:r>
                              <w:rPr/>
                              <w:t xml:space="preserve"> </w:t>
                            </w:r>
                          </w:p>
                        </w:tc>
                        <w:tc>
                          <w:tcPr>
                            <w:tcW w:w="109" w:type="dxa"/>
                            <w:tcBorders/>
                            <w:vAlign w:val="center"/>
                          </w:tcPr>
                          <w:p>
                            <w:pPr>
                              <w:pStyle w:val="TableContents"/>
                              <w:bidi w:val="0"/>
                              <w:spacing w:before="0" w:after="283"/>
                              <w:jc w:val="left"/>
                              <w:rPr/>
                            </w:pPr>
                            <w:r>
                              <w:rPr/>
                              <w:t>​</w:t>
                            </w:r>
                          </w:p>
                        </w:tc>
                        <w:tc>
                          <w:tcPr>
                            <w:tcW w:w="154" w:type="dxa"/>
                            <w:tcBorders/>
                            <w:shd w:fill="1F2668" w:val="clear"/>
                            <w:vAlign w:val="center"/>
                          </w:tcPr>
                          <w:p>
                            <w:pPr>
                              <w:pStyle w:val="TableContents"/>
                              <w:bidi w:val="0"/>
                              <w:spacing w:before="0" w:after="283"/>
                              <w:jc w:val="left"/>
                              <w:rPr/>
                            </w:pPr>
                            <w:r>
                              <w:rPr/>
                              <w:t>​</w:t>
                            </w:r>
                          </w:p>
                        </w:tc>
                      </w:tr>
                    </w:tbl>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254000" distR="0" simplePos="0" locked="0" layoutInCell="1" allowOverlap="1" relativeHeight="491">
                <wp:simplePos x="0" y="0"/>
                <wp:positionH relativeFrom="column">
                  <wp:align>left</wp:align>
                </wp:positionH>
                <wp:positionV relativeFrom="line">
                  <wp:posOffset>635</wp:posOffset>
                </wp:positionV>
                <wp:extent cx="4203700" cy="6745605"/>
                <wp:effectExtent l="0" t="0" r="0" b="0"/>
                <wp:wrapSquare wrapText="right"/>
                <wp:docPr id="501" name="Frame211"/>
                <a:graphic xmlns:a="http://schemas.openxmlformats.org/drawingml/2006/main">
                  <a:graphicData uri="http://schemas.microsoft.com/office/word/2010/wordprocessingShape">
                    <wps:wsp>
                      <wps:cNvSpPr txBox="1"/>
                      <wps:spPr>
                        <a:xfrm>
                          <a:off x="0" y="0"/>
                          <a:ext cx="4203700" cy="6745605"/>
                        </a:xfrm>
                        <a:prstGeom prst="rect"/>
                        <a:solidFill>
                          <a:srgbClr val="FFFFFF"/>
                        </a:solidFill>
                      </wps:spPr>
                      <wps:txbx>
                        <w:txbxContent>
                          <w:p>
                            <w:pPr>
                              <w:pStyle w:val="TextBody"/>
                              <w:bidi w:val="0"/>
                              <w:spacing w:lineRule="atLeast" w:line="260" w:before="0" w:after="0"/>
                              <w:jc w:val="left"/>
                              <w:rPr>
                                <w:b/>
                                <w:color w:val="83AD40"/>
                                <w:sz w:val="22"/>
                              </w:rPr>
                            </w:pPr>
                            <w:r>
                              <w:rPr>
                                <w:b/>
                                <w:color w:val="83AD40"/>
                                <w:spacing w:val="-2"/>
                                <w:sz w:val="22"/>
                              </w:rPr>
                              <w:t>Principal Responsibilities:</w:t>
                            </w:r>
                            <w:r>
                              <w:rPr>
                                <w:b/>
                                <w:color w:val="000000"/>
                                <w:spacing w:val="4"/>
                                <w:sz w:val="22"/>
                              </w:rPr>
                              <w:t xml:space="preserve"> </w:t>
                            </w:r>
                          </w:p>
                          <w:p>
                            <w:pPr>
                              <w:pStyle w:val="TextBody"/>
                              <w:bidi w:val="0"/>
                              <w:spacing w:lineRule="atLeast" w:line="240" w:before="120" w:after="283"/>
                              <w:jc w:val="left"/>
                              <w:rPr/>
                            </w:pPr>
                            <w:r>
                              <w:rPr>
                                <w:spacing w:val="-2"/>
                              </w:rPr>
                              <w:t>Our Compensation Committee’s primary purposes are to:</w:t>
                            </w:r>
                            <w:r>
                              <w:rPr/>
                              <w:t xml:space="preserve"> </w:t>
                            </w:r>
                          </w:p>
                          <w:p>
                            <w:pPr>
                              <w:pStyle w:val="TextBody"/>
                              <w:bidi w:val="0"/>
                              <w:spacing w:lineRule="atLeast" w:line="220" w:before="214" w:after="0"/>
                              <w:ind w:left="200" w:right="0" w:hanging="0"/>
                              <w:jc w:val="left"/>
                              <w:rPr/>
                            </w:pPr>
                            <w:r>
                              <w:rPr>
                                <w:spacing w:val="-2"/>
                              </w:rPr>
                              <w:t>Determine how the Company’s Chief Executive Officer should be compensated</w:t>
                            </w:r>
                            <w:r>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Administer the Company’s employee benefit plans and executive compensation programs</w:t>
                            </w:r>
                            <w:r>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Determine compensation of our executive officers other than our Chief Executive Officer</w:t>
                            </w:r>
                            <w:r>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Produce the report on executive compensation that is required to be included in this proxy statement</w:t>
                            </w:r>
                            <w:r>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Set policies, and review Chief Executive Officer recommendations regarding compensation of the Company’s executive officers (other than the Chief Executive Officer) and review his recommendations in terms of total compensation and the allocation of such compensation among base salary, annual bonus amounts and other long-term incentive compensation as well as the allocation of such items between cash and equity compensation</w:t>
                            </w:r>
                            <w:r>
                              <w:rPr/>
                              <w:t xml:space="preserve"> </w:t>
                            </w:r>
                          </w:p>
                          <w:p>
                            <w:pPr>
                              <w:pStyle w:val="TextBody"/>
                              <w:bidi w:val="0"/>
                              <w:spacing w:before="0" w:after="0"/>
                              <w:ind w:left="0" w:right="0" w:hanging="0"/>
                              <w:jc w:val="left"/>
                              <w:rPr/>
                            </w:pPr>
                            <w:r>
                              <w:rPr/>
                              <w:t>​</w:t>
                            </w:r>
                          </w:p>
                          <w:p>
                            <w:pPr>
                              <w:pStyle w:val="TextBody"/>
                              <w:bidi w:val="0"/>
                              <w:spacing w:lineRule="atLeast" w:line="230" w:before="193" w:after="283"/>
                              <w:jc w:val="left"/>
                              <w:rPr/>
                            </w:pPr>
                            <w:r>
                              <w:rPr>
                                <w:spacing w:val="-2"/>
                              </w:rPr>
                              <w:t>Each member of the Compensation Committee is independent within the meaning of the rules of the NYSE and the SEC.</w:t>
                            </w:r>
                            <w:r>
                              <w:rPr/>
                              <w:t xml:space="preserve"> </w:t>
                            </w:r>
                          </w:p>
                          <w:p>
                            <w:pPr>
                              <w:pStyle w:val="TextBody"/>
                              <w:bidi w:val="0"/>
                              <w:spacing w:before="0" w:after="283"/>
                              <w:ind w:left="0" w:right="0" w:hanging="0"/>
                              <w:jc w:val="left"/>
                              <w:rPr>
                                <w:bdr w:val="single" w:sz="8" w:space="1" w:color="83AD40"/>
                              </w:rPr>
                            </w:pPr>
                            <w:r>
                              <w:rPr>
                                <w:bdr w:val="single" w:sz="8" w:space="1" w:color="83AD40"/>
                              </w:rPr>
                              <w:t>​</w:t>
                            </w:r>
                          </w:p>
                          <w:p>
                            <w:pPr>
                              <w:pStyle w:val="TextBody"/>
                              <w:bidi w:val="0"/>
                              <w:spacing w:lineRule="atLeast" w:line="230" w:before="455" w:after="283"/>
                              <w:jc w:val="left"/>
                              <w:rPr/>
                            </w:pPr>
                            <w:r>
                              <w:rPr>
                                <w:spacing w:val="-2"/>
                              </w:rPr>
                              <w:t>Our Compensation Committee has the authority to retain independent compensation consultants and other advisors as it deems appropriate. During 2025, the Compensation Committee retained Ferguson Partners, an independent outside compensation consulting firm that provided relevant data concerning the marketplace, our peer group and its own independent analysis and recommendations in connection with the negotiation and structuring of NEO compensation for 2025 and subsequent years. See “Executive Compensation—</w:t>
                            </w:r>
                            <w:r>
                              <w:rPr/>
                              <w:t>​</w:t>
                            </w:r>
                            <w:r>
                              <w:rPr>
                                <w:spacing w:val="-2"/>
                              </w:rPr>
                              <w:t>Compensation Discussion and Analysis.”</w:t>
                            </w:r>
                          </w:p>
                        </w:txbxContent>
                      </wps:txbx>
                      <wps:bodyPr anchor="t" lIns="0" tIns="0" rIns="0" bIns="0">
                        <a:noAutofit/>
                      </wps:bodyPr>
                    </wps:wsp>
                  </a:graphicData>
                </a:graphic>
              </wp:anchor>
            </w:drawing>
          </mc:Choice>
          <mc:Fallback>
            <w:pict>
              <v:rect style="position:absolute;rotation:-0;width:331pt;height:531.15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60" w:before="0" w:after="0"/>
                        <w:jc w:val="left"/>
                        <w:rPr>
                          <w:b/>
                          <w:color w:val="83AD40"/>
                          <w:sz w:val="22"/>
                        </w:rPr>
                      </w:pPr>
                      <w:r>
                        <w:rPr>
                          <w:b/>
                          <w:color w:val="83AD40"/>
                          <w:spacing w:val="-2"/>
                          <w:sz w:val="22"/>
                        </w:rPr>
                        <w:t>Principal Responsibilities:</w:t>
                      </w:r>
                      <w:r>
                        <w:rPr>
                          <w:b/>
                          <w:color w:val="000000"/>
                          <w:spacing w:val="4"/>
                          <w:sz w:val="22"/>
                        </w:rPr>
                        <w:t xml:space="preserve"> </w:t>
                      </w:r>
                    </w:p>
                    <w:p>
                      <w:pPr>
                        <w:pStyle w:val="TextBody"/>
                        <w:bidi w:val="0"/>
                        <w:spacing w:lineRule="atLeast" w:line="240" w:before="120" w:after="283"/>
                        <w:jc w:val="left"/>
                        <w:rPr/>
                      </w:pPr>
                      <w:r>
                        <w:rPr>
                          <w:spacing w:val="-2"/>
                        </w:rPr>
                        <w:t>Our Compensation Committee’s primary purposes are to:</w:t>
                      </w:r>
                      <w:r>
                        <w:rPr/>
                        <w:t xml:space="preserve"> </w:t>
                      </w:r>
                    </w:p>
                    <w:p>
                      <w:pPr>
                        <w:pStyle w:val="TextBody"/>
                        <w:bidi w:val="0"/>
                        <w:spacing w:lineRule="atLeast" w:line="220" w:before="214" w:after="0"/>
                        <w:ind w:left="200" w:right="0" w:hanging="0"/>
                        <w:jc w:val="left"/>
                        <w:rPr/>
                      </w:pPr>
                      <w:r>
                        <w:rPr>
                          <w:spacing w:val="-2"/>
                        </w:rPr>
                        <w:t>Determine how the Company’s Chief Executive Officer should be compensated</w:t>
                      </w:r>
                      <w:r>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Administer the Company’s employee benefit plans and executive compensation programs</w:t>
                      </w:r>
                      <w:r>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Determine compensation of our executive officers other than our Chief Executive Officer</w:t>
                      </w:r>
                      <w:r>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Produce the report on executive compensation that is required to be included in this proxy statement</w:t>
                      </w:r>
                      <w:r>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Set policies, and review Chief Executive Officer recommendations regarding compensation of the Company’s executive officers (other than the Chief Executive Officer) and review his recommendations in terms of total compensation and the allocation of such compensation among base salary, annual bonus amounts and other long-term incentive compensation as well as the allocation of such items between cash and equity compensation</w:t>
                      </w:r>
                      <w:r>
                        <w:rPr/>
                        <w:t xml:space="preserve"> </w:t>
                      </w:r>
                    </w:p>
                    <w:p>
                      <w:pPr>
                        <w:pStyle w:val="TextBody"/>
                        <w:bidi w:val="0"/>
                        <w:spacing w:before="0" w:after="0"/>
                        <w:ind w:left="0" w:right="0" w:hanging="0"/>
                        <w:jc w:val="left"/>
                        <w:rPr/>
                      </w:pPr>
                      <w:r>
                        <w:rPr/>
                        <w:t>​</w:t>
                      </w:r>
                    </w:p>
                    <w:p>
                      <w:pPr>
                        <w:pStyle w:val="TextBody"/>
                        <w:bidi w:val="0"/>
                        <w:spacing w:lineRule="atLeast" w:line="230" w:before="193" w:after="283"/>
                        <w:jc w:val="left"/>
                        <w:rPr/>
                      </w:pPr>
                      <w:r>
                        <w:rPr>
                          <w:spacing w:val="-2"/>
                        </w:rPr>
                        <w:t>Each member of the Compensation Committee is independent within the meaning of the rules of the NYSE and the SEC.</w:t>
                      </w:r>
                      <w:r>
                        <w:rPr/>
                        <w:t xml:space="preserve"> </w:t>
                      </w:r>
                    </w:p>
                    <w:p>
                      <w:pPr>
                        <w:pStyle w:val="TextBody"/>
                        <w:bidi w:val="0"/>
                        <w:spacing w:before="0" w:after="283"/>
                        <w:ind w:left="0" w:right="0" w:hanging="0"/>
                        <w:jc w:val="left"/>
                        <w:rPr>
                          <w:bdr w:val="single" w:sz="8" w:space="1" w:color="83AD40"/>
                        </w:rPr>
                      </w:pPr>
                      <w:r>
                        <w:rPr>
                          <w:bdr w:val="single" w:sz="8" w:space="1" w:color="83AD40"/>
                        </w:rPr>
                        <w:t>​</w:t>
                      </w:r>
                    </w:p>
                    <w:p>
                      <w:pPr>
                        <w:pStyle w:val="TextBody"/>
                        <w:bidi w:val="0"/>
                        <w:spacing w:lineRule="atLeast" w:line="230" w:before="455" w:after="283"/>
                        <w:jc w:val="left"/>
                        <w:rPr/>
                      </w:pPr>
                      <w:r>
                        <w:rPr>
                          <w:spacing w:val="-2"/>
                        </w:rPr>
                        <w:t>Our Compensation Committee has the authority to retain independent compensation consultants and other advisors as it deems appropriate. During 2025, the Compensation Committee retained Ferguson Partners, an independent outside compensation consulting firm that provided relevant data concerning the marketplace, our peer group and its own independent analysis and recommendations in connection with the negotiation and structuring of NEO compensation for 2025 and subsequent years. See “Executive Compensation—</w:t>
                      </w:r>
                      <w:r>
                        <w:rPr/>
                        <w:t>​</w:t>
                      </w:r>
                      <w:r>
                        <w:rPr>
                          <w:spacing w:val="-2"/>
                        </w:rPr>
                        <w:t>Compensation Discussion and Analysis.”</w:t>
                      </w:r>
                    </w:p>
                  </w:txbxContent>
                </v:textbox>
                <w10:wrap type="square" side="right"/>
              </v:rect>
            </w:pict>
          </mc:Fallback>
        </mc:AlternateContent>
      </w:r>
      <w:r>
        <mc:AlternateContent>
          <mc:Choice Requires="wps">
            <w:drawing>
              <wp:anchor behindDoc="0" distT="135890" distB="0" distL="0" distR="0" simplePos="0" locked="0" layoutInCell="1" allowOverlap="1" relativeHeight="492">
                <wp:simplePos x="0" y="0"/>
                <wp:positionH relativeFrom="column">
                  <wp:align>left</wp:align>
                </wp:positionH>
                <wp:positionV relativeFrom="line">
                  <wp:align>top</wp:align>
                </wp:positionV>
                <wp:extent cx="127000" cy="350520"/>
                <wp:effectExtent l="0" t="0" r="0" b="0"/>
                <wp:wrapSquare wrapText="right"/>
                <wp:docPr id="502" name="Frame2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10.7pt;mso-wrap-distance-bottom:0pt;margin-top:10.7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24130" distB="0" distL="0" distR="0" simplePos="0" locked="0" layoutInCell="1" allowOverlap="1" relativeHeight="493">
                <wp:simplePos x="0" y="0"/>
                <wp:positionH relativeFrom="column">
                  <wp:align>left</wp:align>
                </wp:positionH>
                <wp:positionV relativeFrom="line">
                  <wp:align>top</wp:align>
                </wp:positionV>
                <wp:extent cx="127000" cy="350520"/>
                <wp:effectExtent l="0" t="0" r="0" b="0"/>
                <wp:wrapSquare wrapText="right"/>
                <wp:docPr id="503" name="Frame2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24130" distB="0" distL="0" distR="0" simplePos="0" locked="0" layoutInCell="1" allowOverlap="1" relativeHeight="494">
                <wp:simplePos x="0" y="0"/>
                <wp:positionH relativeFrom="column">
                  <wp:align>left</wp:align>
                </wp:positionH>
                <wp:positionV relativeFrom="line">
                  <wp:align>top</wp:align>
                </wp:positionV>
                <wp:extent cx="127000" cy="350520"/>
                <wp:effectExtent l="0" t="0" r="0" b="0"/>
                <wp:wrapSquare wrapText="right"/>
                <wp:docPr id="504" name="Frame2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24130" distB="0" distL="0" distR="0" simplePos="0" locked="0" layoutInCell="1" allowOverlap="1" relativeHeight="495">
                <wp:simplePos x="0" y="0"/>
                <wp:positionH relativeFrom="column">
                  <wp:align>left</wp:align>
                </wp:positionH>
                <wp:positionV relativeFrom="line">
                  <wp:align>top</wp:align>
                </wp:positionV>
                <wp:extent cx="127000" cy="350520"/>
                <wp:effectExtent l="0" t="0" r="0" b="0"/>
                <wp:wrapSquare wrapText="right"/>
                <wp:docPr id="505" name="Frame2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24130" distB="0" distL="0" distR="0" simplePos="0" locked="0" layoutInCell="1" allowOverlap="1" relativeHeight="496">
                <wp:simplePos x="0" y="0"/>
                <wp:positionH relativeFrom="column">
                  <wp:align>left</wp:align>
                </wp:positionH>
                <wp:positionV relativeFrom="line">
                  <wp:align>top</wp:align>
                </wp:positionV>
                <wp:extent cx="127000" cy="350520"/>
                <wp:effectExtent l="0" t="0" r="0" b="0"/>
                <wp:wrapSquare wrapText="right"/>
                <wp:docPr id="506" name="Frame2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FFFFFF"/>
          <w:sz w:val="16"/>
        </w:rPr>
        <w:t xml:space="preserve"> </w:t>
      </w:r>
    </w:p>
    <w:tbl>
      <w:tblPr>
        <w:tblW w:w="5225" w:type="dxa"/>
        <w:jc w:val="left"/>
        <w:tblInd w:w="900" w:type="dxa"/>
        <w:tblLayout w:type="fixed"/>
        <w:tblCellMar>
          <w:top w:w="0" w:type="dxa"/>
          <w:left w:w="0" w:type="dxa"/>
          <w:bottom w:w="0" w:type="dxa"/>
          <w:right w:w="0" w:type="dxa"/>
        </w:tblCellMar>
      </w:tblPr>
      <w:tblGrid>
        <w:gridCol w:w="124"/>
        <w:gridCol w:w="346"/>
        <w:gridCol w:w="109"/>
        <w:gridCol w:w="109"/>
        <w:gridCol w:w="4383"/>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28</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383" w:type="dxa"/>
            <w:tcBorders/>
            <w:vAlign w:val="center"/>
          </w:tcPr>
          <w:p>
            <w:pPr>
              <w:pStyle w:val="TableContents"/>
              <w:bidi w:val="0"/>
              <w:spacing w:lineRule="atLeast" w:line="200" w:before="0" w:after="0"/>
              <w:jc w:val="left"/>
              <w:rPr/>
            </w:pPr>
            <w:r>
              <w:rPr>
                <w:spacing w:val="-2"/>
              </w:rPr>
              <w:t>    </w:t>
            </w:r>
            <w:r>
              <w:rPr>
                <w:spacing w:val="-2"/>
                <w:sz w:val="16"/>
              </w:rPr>
              <w:t>SL GREEN REALTY CORP. 2026 PROXY STATEMENT</w:t>
            </w:r>
            <w:r>
              <w:rPr>
                <w:sz w:val="16"/>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0"/>
        <w:ind w:left="900" w:right="0" w:hanging="0"/>
        <w:jc w:val="left"/>
        <w:rPr>
          <w:caps w:val="false"/>
          <w:smallCaps w:val="false"/>
          <w:color w:val="FFFFFF"/>
        </w:rPr>
      </w:pPr>
      <w:r>
        <w:rPr>
          <w:caps w:val="false"/>
          <w:smallCaps w:val="false"/>
          <w:color w:val="FFFFFF"/>
        </w:rPr>
        <w:t>​</w:t>
      </w:r>
      <w:r>
        <mc:AlternateContent>
          <mc:Choice Requires="wps">
            <w:drawing>
              <wp:anchor behindDoc="0" distT="0" distB="0" distL="571500" distR="0" simplePos="0" locked="0" layoutInCell="1" allowOverlap="1" relativeHeight="497">
                <wp:simplePos x="0" y="0"/>
                <wp:positionH relativeFrom="column">
                  <wp:align>left</wp:align>
                </wp:positionH>
                <wp:positionV relativeFrom="line">
                  <wp:posOffset>635</wp:posOffset>
                </wp:positionV>
                <wp:extent cx="1943100" cy="4509770"/>
                <wp:effectExtent l="0" t="0" r="0" b="0"/>
                <wp:wrapSquare wrapText="right"/>
                <wp:docPr id="507" name="Frame217"/>
                <a:graphic xmlns:a="http://schemas.openxmlformats.org/drawingml/2006/main">
                  <a:graphicData uri="http://schemas.microsoft.com/office/word/2010/wordprocessingShape">
                    <wps:wsp>
                      <wps:cNvSpPr txBox="1"/>
                      <wps:spPr>
                        <a:xfrm>
                          <a:off x="0" y="0"/>
                          <a:ext cx="1943100" cy="4509770"/>
                        </a:xfrm>
                        <a:prstGeom prst="rect"/>
                        <a:solidFill>
                          <a:srgbClr val="FFFFFF"/>
                        </a:solidFill>
                      </wps:spPr>
                      <wps:txbx>
                        <w:txbxContent>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10205" w:type="dxa"/>
                              <w:jc w:val="left"/>
                              <w:tblInd w:w="0" w:type="dxa"/>
                              <w:tblLayout w:type="fixed"/>
                              <w:tblCellMar>
                                <w:top w:w="0" w:type="dxa"/>
                                <w:left w:w="0" w:type="dxa"/>
                                <w:bottom w:w="0" w:type="dxa"/>
                                <w:right w:w="0" w:type="dxa"/>
                              </w:tblCellMar>
                            </w:tblPr>
                            <w:tblGrid>
                              <w:gridCol w:w="124"/>
                              <w:gridCol w:w="109"/>
                              <w:gridCol w:w="97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709" w:type="dxa"/>
                                  <w:tcBorders/>
                                  <w:shd w:fill="1F2668" w:val="clear"/>
                                  <w:vAlign w:val="center"/>
                                </w:tcPr>
                                <w:p>
                                  <w:pPr>
                                    <w:pStyle w:val="TableContents"/>
                                    <w:bidi w:val="0"/>
                                    <w:spacing w:lineRule="atLeast" w:line="300" w:before="0" w:after="0"/>
                                    <w:ind w:left="0" w:right="160" w:hanging="0"/>
                                    <w:jc w:val="left"/>
                                    <w:rPr>
                                      <w:b/>
                                      <w:sz w:val="26"/>
                                    </w:rPr>
                                  </w:pPr>
                                  <w:r>
                                    <w:rPr>
                                      <w:b/>
                                      <w:spacing w:val="-3"/>
                                      <w:sz w:val="26"/>
                                    </w:rPr>
                                    <w:t xml:space="preserve">NOMINATING </w:t>
                                    <w:br/>
                                    <w:t xml:space="preserve">AND </w:t>
                                    <w:br/>
                                    <w:t xml:space="preserve">CORPORATE </w:t>
                                    <w:br/>
                                    <w:t xml:space="preserve">GOVERNANCE </w:t>
                                    <w:br/>
                                    <w:t>COMMITTEE</w:t>
                                  </w:r>
                                  <w:r>
                                    <w:rPr>
                                      <w:b/>
                                      <w:sz w:val="26"/>
                                    </w:rPr>
                                    <w:t xml:space="preserve"> </w:t>
                                  </w:r>
                                </w:p>
                                <w:p>
                                  <w:pPr>
                                    <w:pStyle w:val="TableContents"/>
                                    <w:bidi w:val="0"/>
                                    <w:spacing w:lineRule="atLeast" w:line="220" w:before="180" w:after="283"/>
                                    <w:ind w:left="0" w:right="160" w:hanging="0"/>
                                    <w:jc w:val="left"/>
                                    <w:rPr>
                                      <w:b/>
                                    </w:rPr>
                                  </w:pPr>
                                  <w:r>
                                    <w:rPr>
                                      <w:b/>
                                      <w:spacing w:val="-2"/>
                                    </w:rPr>
                                    <w:t>Members</w:t>
                                  </w:r>
                                  <w:r>
                                    <w:rPr>
                                      <w:b/>
                                    </w:rPr>
                                    <w:t xml:space="preserve"> </w:t>
                                  </w:r>
                                </w:p>
                                <w:p>
                                  <w:pPr>
                                    <w:pStyle w:val="TableContents"/>
                                    <w:bidi w:val="0"/>
                                    <w:spacing w:lineRule="atLeast" w:line="220" w:before="120" w:after="283"/>
                                    <w:ind w:left="0" w:right="160" w:hanging="0"/>
                                    <w:jc w:val="left"/>
                                    <w:rPr/>
                                  </w:pPr>
                                  <w:r>
                                    <w:rPr>
                                      <w:spacing w:val="-2"/>
                                    </w:rPr>
                                    <w:t xml:space="preserve">Craig M. Hatkoff (Chair) </w:t>
                                    <w:br/>
                                    <w:t xml:space="preserve">John H. Alschuler </w:t>
                                    <w:br/>
                                    <w:t>Carol N. Brown</w:t>
                                  </w:r>
                                  <w:r>
                                    <w:rPr/>
                                    <w:t xml:space="preserve"> </w:t>
                                  </w:r>
                                </w:p>
                                <w:p>
                                  <w:pPr>
                                    <w:pStyle w:val="TableContents"/>
                                    <w:bidi w:val="0"/>
                                    <w:spacing w:lineRule="atLeast" w:line="220" w:before="240" w:after="283"/>
                                    <w:ind w:left="0" w:right="160" w:hanging="0"/>
                                    <w:jc w:val="left"/>
                                    <w:rPr>
                                      <w:spacing w:val="-2"/>
                                    </w:rPr>
                                  </w:pPr>
                                  <w:r>
                                    <w:rPr>
                                      <w:spacing w:val="-2"/>
                                    </w:rPr>
                                    <w:t xml:space="preserve">Meetings in 2025: 1 </w:t>
                                  </w:r>
                                </w:p>
                                <w:p>
                                  <w:pPr>
                                    <w:pStyle w:val="TableContents"/>
                                    <w:bidi w:val="0"/>
                                    <w:spacing w:lineRule="atLeast" w:line="220" w:before="240" w:after="283"/>
                                    <w:ind w:left="0" w:right="160" w:hanging="0"/>
                                    <w:jc w:val="left"/>
                                    <w:rPr/>
                                  </w:pPr>
                                  <w:r>
                                    <w:rPr>
                                      <w:spacing w:val="-2"/>
                                    </w:rPr>
                                    <w:t>In addition to participating in formal meetings, our Nominating and Corporate Governance Committee members regularly communicate with each other, members of management and advisors and take action by written consent.</w:t>
                                  </w:r>
                                  <w:r>
                                    <w:rPr/>
                                    <w:t xml:space="preserve"> </w:t>
                                  </w:r>
                                </w:p>
                              </w:tc>
                              <w:tc>
                                <w:tcPr>
                                  <w:tcW w:w="109" w:type="dxa"/>
                                  <w:tcBorders/>
                                  <w:vAlign w:val="center"/>
                                </w:tcPr>
                                <w:p>
                                  <w:pPr>
                                    <w:pStyle w:val="TableContents"/>
                                    <w:bidi w:val="0"/>
                                    <w:spacing w:before="0" w:after="283"/>
                                    <w:jc w:val="left"/>
                                    <w:rPr/>
                                  </w:pPr>
                                  <w:r>
                                    <w:rPr/>
                                    <w:t>​</w:t>
                                  </w:r>
                                </w:p>
                              </w:tc>
                              <w:tc>
                                <w:tcPr>
                                  <w:tcW w:w="154" w:type="dxa"/>
                                  <w:tcBorders/>
                                  <w:shd w:fill="1F2668" w:val="clear"/>
                                  <w:vAlign w:val="center"/>
                                </w:tcPr>
                                <w:p>
                                  <w:pPr>
                                    <w:pStyle w:val="TableContents"/>
                                    <w:bidi w:val="0"/>
                                    <w:spacing w:before="0" w:after="283"/>
                                    <w:jc w:val="left"/>
                                    <w:rPr/>
                                  </w:pPr>
                                  <w:r>
                                    <w:rPr/>
                                    <w:t>​</w:t>
                                  </w:r>
                                </w:p>
                              </w:tc>
                            </w:tr>
                          </w:tbl>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53pt;height:355.1pt;mso-wrap-distance-left:45pt;mso-wrap-distance-right:0pt;mso-wrap-distance-top:0pt;mso-wrap-distance-bottom:0pt;margin-top:0pt;mso-position-vertical:top;mso-position-vertical-relative:text;margin-left:45pt;mso-position-horizontal:left;mso-position-horizontal-relative:text">
                <v:textbox>
                  <w:txbxContent>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10205" w:type="dxa"/>
                        <w:jc w:val="left"/>
                        <w:tblInd w:w="0" w:type="dxa"/>
                        <w:tblLayout w:type="fixed"/>
                        <w:tblCellMar>
                          <w:top w:w="0" w:type="dxa"/>
                          <w:left w:w="0" w:type="dxa"/>
                          <w:bottom w:w="0" w:type="dxa"/>
                          <w:right w:w="0" w:type="dxa"/>
                        </w:tblCellMar>
                      </w:tblPr>
                      <w:tblGrid>
                        <w:gridCol w:w="124"/>
                        <w:gridCol w:w="109"/>
                        <w:gridCol w:w="97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709" w:type="dxa"/>
                            <w:tcBorders/>
                            <w:shd w:fill="1F2668" w:val="clear"/>
                            <w:vAlign w:val="center"/>
                          </w:tcPr>
                          <w:p>
                            <w:pPr>
                              <w:pStyle w:val="TableContents"/>
                              <w:bidi w:val="0"/>
                              <w:spacing w:lineRule="atLeast" w:line="300" w:before="0" w:after="0"/>
                              <w:ind w:left="0" w:right="160" w:hanging="0"/>
                              <w:jc w:val="left"/>
                              <w:rPr>
                                <w:b/>
                                <w:sz w:val="26"/>
                              </w:rPr>
                            </w:pPr>
                            <w:r>
                              <w:rPr>
                                <w:b/>
                                <w:spacing w:val="-3"/>
                                <w:sz w:val="26"/>
                              </w:rPr>
                              <w:t xml:space="preserve">NOMINATING </w:t>
                              <w:br/>
                              <w:t xml:space="preserve">AND </w:t>
                              <w:br/>
                              <w:t xml:space="preserve">CORPORATE </w:t>
                              <w:br/>
                              <w:t xml:space="preserve">GOVERNANCE </w:t>
                              <w:br/>
                              <w:t>COMMITTEE</w:t>
                            </w:r>
                            <w:r>
                              <w:rPr>
                                <w:b/>
                                <w:sz w:val="26"/>
                              </w:rPr>
                              <w:t xml:space="preserve"> </w:t>
                            </w:r>
                          </w:p>
                          <w:p>
                            <w:pPr>
                              <w:pStyle w:val="TableContents"/>
                              <w:bidi w:val="0"/>
                              <w:spacing w:lineRule="atLeast" w:line="220" w:before="180" w:after="283"/>
                              <w:ind w:left="0" w:right="160" w:hanging="0"/>
                              <w:jc w:val="left"/>
                              <w:rPr>
                                <w:b/>
                              </w:rPr>
                            </w:pPr>
                            <w:r>
                              <w:rPr>
                                <w:b/>
                                <w:spacing w:val="-2"/>
                              </w:rPr>
                              <w:t>Members</w:t>
                            </w:r>
                            <w:r>
                              <w:rPr>
                                <w:b/>
                              </w:rPr>
                              <w:t xml:space="preserve"> </w:t>
                            </w:r>
                          </w:p>
                          <w:p>
                            <w:pPr>
                              <w:pStyle w:val="TableContents"/>
                              <w:bidi w:val="0"/>
                              <w:spacing w:lineRule="atLeast" w:line="220" w:before="120" w:after="283"/>
                              <w:ind w:left="0" w:right="160" w:hanging="0"/>
                              <w:jc w:val="left"/>
                              <w:rPr/>
                            </w:pPr>
                            <w:r>
                              <w:rPr>
                                <w:spacing w:val="-2"/>
                              </w:rPr>
                              <w:t xml:space="preserve">Craig M. Hatkoff (Chair) </w:t>
                              <w:br/>
                              <w:t xml:space="preserve">John H. Alschuler </w:t>
                              <w:br/>
                              <w:t>Carol N. Brown</w:t>
                            </w:r>
                            <w:r>
                              <w:rPr/>
                              <w:t xml:space="preserve"> </w:t>
                            </w:r>
                          </w:p>
                          <w:p>
                            <w:pPr>
                              <w:pStyle w:val="TableContents"/>
                              <w:bidi w:val="0"/>
                              <w:spacing w:lineRule="atLeast" w:line="220" w:before="240" w:after="283"/>
                              <w:ind w:left="0" w:right="160" w:hanging="0"/>
                              <w:jc w:val="left"/>
                              <w:rPr>
                                <w:spacing w:val="-2"/>
                              </w:rPr>
                            </w:pPr>
                            <w:r>
                              <w:rPr>
                                <w:spacing w:val="-2"/>
                              </w:rPr>
                              <w:t xml:space="preserve">Meetings in 2025: 1 </w:t>
                            </w:r>
                          </w:p>
                          <w:p>
                            <w:pPr>
                              <w:pStyle w:val="TableContents"/>
                              <w:bidi w:val="0"/>
                              <w:spacing w:lineRule="atLeast" w:line="220" w:before="240" w:after="283"/>
                              <w:ind w:left="0" w:right="160" w:hanging="0"/>
                              <w:jc w:val="left"/>
                              <w:rPr/>
                            </w:pPr>
                            <w:r>
                              <w:rPr>
                                <w:spacing w:val="-2"/>
                              </w:rPr>
                              <w:t>In addition to participating in formal meetings, our Nominating and Corporate Governance Committee members regularly communicate with each other, members of management and advisors and take action by written consent.</w:t>
                            </w:r>
                            <w:r>
                              <w:rPr/>
                              <w:t xml:space="preserve"> </w:t>
                            </w:r>
                          </w:p>
                        </w:tc>
                        <w:tc>
                          <w:tcPr>
                            <w:tcW w:w="109" w:type="dxa"/>
                            <w:tcBorders/>
                            <w:vAlign w:val="center"/>
                          </w:tcPr>
                          <w:p>
                            <w:pPr>
                              <w:pStyle w:val="TableContents"/>
                              <w:bidi w:val="0"/>
                              <w:spacing w:before="0" w:after="283"/>
                              <w:jc w:val="left"/>
                              <w:rPr/>
                            </w:pPr>
                            <w:r>
                              <w:rPr/>
                              <w:t>​</w:t>
                            </w:r>
                          </w:p>
                        </w:tc>
                        <w:tc>
                          <w:tcPr>
                            <w:tcW w:w="154" w:type="dxa"/>
                            <w:tcBorders/>
                            <w:shd w:fill="1F2668" w:val="clear"/>
                            <w:vAlign w:val="center"/>
                          </w:tcPr>
                          <w:p>
                            <w:pPr>
                              <w:pStyle w:val="TableContents"/>
                              <w:bidi w:val="0"/>
                              <w:spacing w:before="0" w:after="283"/>
                              <w:jc w:val="left"/>
                              <w:rPr/>
                            </w:pPr>
                            <w:r>
                              <w:rPr/>
                              <w:t>​</w:t>
                            </w:r>
                          </w:p>
                        </w:tc>
                      </w:tr>
                    </w:tbl>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254000" distR="0" simplePos="0" locked="0" layoutInCell="1" allowOverlap="1" relativeHeight="498">
                <wp:simplePos x="0" y="0"/>
                <wp:positionH relativeFrom="column">
                  <wp:align>left</wp:align>
                </wp:positionH>
                <wp:positionV relativeFrom="line">
                  <wp:posOffset>635</wp:posOffset>
                </wp:positionV>
                <wp:extent cx="4203700" cy="4073525"/>
                <wp:effectExtent l="0" t="0" r="0" b="0"/>
                <wp:wrapSquare wrapText="right"/>
                <wp:docPr id="508" name="Frame218"/>
                <a:graphic xmlns:a="http://schemas.openxmlformats.org/drawingml/2006/main">
                  <a:graphicData uri="http://schemas.microsoft.com/office/word/2010/wordprocessingShape">
                    <wps:wsp>
                      <wps:cNvSpPr txBox="1"/>
                      <wps:spPr>
                        <a:xfrm>
                          <a:off x="0" y="0"/>
                          <a:ext cx="4203700" cy="4073525"/>
                        </a:xfrm>
                        <a:prstGeom prst="rect"/>
                        <a:solidFill>
                          <a:srgbClr val="FFFFFF"/>
                        </a:solidFill>
                      </wps:spPr>
                      <wps:txbx>
                        <w:txbxContent>
                          <w:p>
                            <w:pPr>
                              <w:pStyle w:val="TextBody"/>
                              <w:bidi w:val="0"/>
                              <w:spacing w:lineRule="atLeast" w:line="260" w:before="0" w:after="0"/>
                              <w:jc w:val="left"/>
                              <w:rPr>
                                <w:b/>
                                <w:color w:val="83AD40"/>
                                <w:sz w:val="22"/>
                              </w:rPr>
                            </w:pPr>
                            <w:r>
                              <w:rPr>
                                <w:b/>
                                <w:color w:val="83AD40"/>
                                <w:spacing w:val="-2"/>
                                <w:sz w:val="22"/>
                              </w:rPr>
                              <w:t>Principal Responsibilities:</w:t>
                            </w:r>
                            <w:r>
                              <w:rPr>
                                <w:b/>
                                <w:color w:val="000000"/>
                                <w:spacing w:val="4"/>
                                <w:sz w:val="22"/>
                              </w:rPr>
                              <w:t xml:space="preserve"> </w:t>
                            </w:r>
                          </w:p>
                          <w:p>
                            <w:pPr>
                              <w:pStyle w:val="TextBody"/>
                              <w:bidi w:val="0"/>
                              <w:spacing w:lineRule="atLeast" w:line="240" w:before="120" w:after="283"/>
                              <w:jc w:val="left"/>
                              <w:rPr>
                                <w:color w:val="000000"/>
                              </w:rPr>
                            </w:pPr>
                            <w:r>
                              <w:rPr>
                                <w:color w:val="000000"/>
                                <w:spacing w:val="-2"/>
                              </w:rPr>
                              <w:t>Our Nominating and Corporate Governance Committee’s primary purposes are to:</w:t>
                            </w:r>
                            <w:r>
                              <w:rPr>
                                <w:color w:val="000000"/>
                              </w:rPr>
                              <w:t xml:space="preserve"> </w:t>
                            </w:r>
                          </w:p>
                          <w:p>
                            <w:pPr>
                              <w:pStyle w:val="TextBody"/>
                              <w:bidi w:val="0"/>
                              <w:spacing w:lineRule="atLeast" w:line="220" w:before="260" w:after="0"/>
                              <w:ind w:left="200" w:right="0" w:hanging="0"/>
                              <w:jc w:val="left"/>
                              <w:rPr>
                                <w:color w:val="000000"/>
                              </w:rPr>
                            </w:pPr>
                            <w:r>
                              <w:rPr>
                                <w:color w:val="000000"/>
                                <w:spacing w:val="-2"/>
                              </w:rPr>
                              <w:t>Identify individuals qualified to fill vacancies or newly-created positions on the Board</w:t>
                            </w:r>
                            <w:r>
                              <w:rPr>
                                <w:color w:val="000000"/>
                              </w:rPr>
                              <w:t xml:space="preserve"> </w:t>
                            </w:r>
                          </w:p>
                          <w:p>
                            <w:pPr>
                              <w:pStyle w:val="TextBody"/>
                              <w:bidi w:val="0"/>
                              <w:spacing w:before="0" w:after="0"/>
                              <w:ind w:left="0" w:right="0" w:hanging="0"/>
                              <w:jc w:val="left"/>
                              <w:rPr/>
                            </w:pPr>
                            <w:r>
                              <w:rPr/>
                              <w:t>​</w:t>
                            </w:r>
                          </w:p>
                          <w:p>
                            <w:pPr>
                              <w:pStyle w:val="TextBody"/>
                              <w:bidi w:val="0"/>
                              <w:spacing w:lineRule="atLeast" w:line="220" w:before="60" w:after="0"/>
                              <w:ind w:left="200" w:right="0" w:hanging="0"/>
                              <w:jc w:val="left"/>
                              <w:rPr>
                                <w:color w:val="000000"/>
                              </w:rPr>
                            </w:pPr>
                            <w:r>
                              <w:rPr>
                                <w:color w:val="000000"/>
                                <w:spacing w:val="-2"/>
                              </w:rPr>
                              <w:t>Recommend to the Board the persons it should nominate for election as directors at annual meetings of the Company’s stockholders</w:t>
                            </w:r>
                            <w:r>
                              <w:rPr>
                                <w:color w:val="000000"/>
                              </w:rPr>
                              <w:t xml:space="preserve"> </w:t>
                            </w:r>
                          </w:p>
                          <w:p>
                            <w:pPr>
                              <w:pStyle w:val="TextBody"/>
                              <w:bidi w:val="0"/>
                              <w:spacing w:before="0" w:after="0"/>
                              <w:ind w:left="0" w:right="0" w:hanging="0"/>
                              <w:jc w:val="left"/>
                              <w:rPr/>
                            </w:pPr>
                            <w:r>
                              <w:rPr/>
                              <w:t>​</w:t>
                            </w:r>
                          </w:p>
                          <w:p>
                            <w:pPr>
                              <w:pStyle w:val="TextBody"/>
                              <w:bidi w:val="0"/>
                              <w:spacing w:lineRule="atLeast" w:line="220" w:before="60" w:after="0"/>
                              <w:ind w:left="200" w:right="0" w:hanging="0"/>
                              <w:jc w:val="left"/>
                              <w:rPr>
                                <w:color w:val="000000"/>
                              </w:rPr>
                            </w:pPr>
                            <w:r>
                              <w:rPr>
                                <w:color w:val="000000"/>
                                <w:spacing w:val="-2"/>
                              </w:rPr>
                              <w:t>Recommend directors to serve on all committees of the Board</w:t>
                            </w:r>
                            <w:r>
                              <w:rPr>
                                <w:color w:val="000000"/>
                              </w:rPr>
                              <w:t xml:space="preserve"> </w:t>
                            </w:r>
                          </w:p>
                          <w:p>
                            <w:pPr>
                              <w:pStyle w:val="TextBody"/>
                              <w:bidi w:val="0"/>
                              <w:spacing w:before="0" w:after="0"/>
                              <w:ind w:left="0" w:right="0" w:hanging="0"/>
                              <w:jc w:val="left"/>
                              <w:rPr/>
                            </w:pPr>
                            <w:r>
                              <w:rPr/>
                              <w:t>​</w:t>
                            </w:r>
                          </w:p>
                          <w:p>
                            <w:pPr>
                              <w:pStyle w:val="TextBody"/>
                              <w:bidi w:val="0"/>
                              <w:spacing w:lineRule="atLeast" w:line="220" w:before="60" w:after="0"/>
                              <w:ind w:left="200" w:right="0" w:hanging="0"/>
                              <w:jc w:val="left"/>
                              <w:rPr>
                                <w:color w:val="000000"/>
                              </w:rPr>
                            </w:pPr>
                            <w:r>
                              <w:rPr>
                                <w:color w:val="000000"/>
                                <w:spacing w:val="-2"/>
                              </w:rPr>
                              <w:t>Develop and recommend to the Board governance principles applicable to the Company</w:t>
                            </w:r>
                            <w:r>
                              <w:rPr>
                                <w:color w:val="000000"/>
                              </w:rPr>
                              <w:t xml:space="preserve"> </w:t>
                            </w:r>
                          </w:p>
                          <w:p>
                            <w:pPr>
                              <w:pStyle w:val="TextBody"/>
                              <w:bidi w:val="0"/>
                              <w:spacing w:before="0" w:after="0"/>
                              <w:ind w:left="0" w:right="0" w:hanging="0"/>
                              <w:jc w:val="left"/>
                              <w:rPr/>
                            </w:pPr>
                            <w:r>
                              <w:rPr/>
                              <w:t>​</w:t>
                            </w:r>
                          </w:p>
                          <w:p>
                            <w:pPr>
                              <w:pStyle w:val="TextBody"/>
                              <w:bidi w:val="0"/>
                              <w:spacing w:lineRule="atLeast" w:line="220" w:before="60" w:after="0"/>
                              <w:ind w:left="200" w:right="0" w:hanging="0"/>
                              <w:jc w:val="left"/>
                              <w:rPr>
                                <w:color w:val="000000"/>
                              </w:rPr>
                            </w:pPr>
                            <w:r>
                              <w:rPr>
                                <w:color w:val="000000"/>
                                <w:spacing w:val="-2"/>
                              </w:rPr>
                              <w:t>Oversee ESG matters, including related risk and strategy</w:t>
                            </w:r>
                            <w:r>
                              <w:rPr>
                                <w:color w:val="000000"/>
                              </w:rPr>
                              <w:t xml:space="preserve"> </w:t>
                            </w:r>
                          </w:p>
                          <w:p>
                            <w:pPr>
                              <w:pStyle w:val="TextBody"/>
                              <w:bidi w:val="0"/>
                              <w:spacing w:before="0" w:after="0"/>
                              <w:ind w:left="0" w:right="0" w:hanging="0"/>
                              <w:jc w:val="left"/>
                              <w:rPr/>
                            </w:pPr>
                            <w:r>
                              <w:rPr/>
                              <w:t>​</w:t>
                            </w:r>
                          </w:p>
                          <w:p>
                            <w:pPr>
                              <w:pStyle w:val="TextBody"/>
                              <w:bidi w:val="0"/>
                              <w:spacing w:lineRule="atLeast" w:line="250" w:before="240" w:after="283"/>
                              <w:jc w:val="left"/>
                              <w:rPr>
                                <w:color w:val="000000"/>
                              </w:rPr>
                            </w:pPr>
                            <w:r>
                              <w:rPr>
                                <w:color w:val="000000"/>
                                <w:spacing w:val="-2"/>
                              </w:rPr>
                              <w:t>Each member of the Nominating and Corporate Governance Committee is independent within the meaning of the rules of the NYSE.</w:t>
                            </w:r>
                            <w:r>
                              <w:rPr>
                                <w:color w:val="000000"/>
                              </w:rPr>
                              <w:t xml:space="preserve"> </w:t>
                            </w:r>
                          </w:p>
                        </w:txbxContent>
                      </wps:txbx>
                      <wps:bodyPr anchor="t" lIns="0" tIns="0" rIns="0" bIns="0">
                        <a:noAutofit/>
                      </wps:bodyPr>
                    </wps:wsp>
                  </a:graphicData>
                </a:graphic>
              </wp:anchor>
            </w:drawing>
          </mc:Choice>
          <mc:Fallback>
            <w:pict>
              <v:rect style="position:absolute;rotation:-0;width:331pt;height:320.75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60" w:before="0" w:after="0"/>
                        <w:jc w:val="left"/>
                        <w:rPr>
                          <w:b/>
                          <w:color w:val="83AD40"/>
                          <w:sz w:val="22"/>
                        </w:rPr>
                      </w:pPr>
                      <w:r>
                        <w:rPr>
                          <w:b/>
                          <w:color w:val="83AD40"/>
                          <w:spacing w:val="-2"/>
                          <w:sz w:val="22"/>
                        </w:rPr>
                        <w:t>Principal Responsibilities:</w:t>
                      </w:r>
                      <w:r>
                        <w:rPr>
                          <w:b/>
                          <w:color w:val="000000"/>
                          <w:spacing w:val="4"/>
                          <w:sz w:val="22"/>
                        </w:rPr>
                        <w:t xml:space="preserve"> </w:t>
                      </w:r>
                    </w:p>
                    <w:p>
                      <w:pPr>
                        <w:pStyle w:val="TextBody"/>
                        <w:bidi w:val="0"/>
                        <w:spacing w:lineRule="atLeast" w:line="240" w:before="120" w:after="283"/>
                        <w:jc w:val="left"/>
                        <w:rPr>
                          <w:color w:val="000000"/>
                        </w:rPr>
                      </w:pPr>
                      <w:r>
                        <w:rPr>
                          <w:color w:val="000000"/>
                          <w:spacing w:val="-2"/>
                        </w:rPr>
                        <w:t>Our Nominating and Corporate Governance Committee’s primary purposes are to:</w:t>
                      </w:r>
                      <w:r>
                        <w:rPr>
                          <w:color w:val="000000"/>
                        </w:rPr>
                        <w:t xml:space="preserve"> </w:t>
                      </w:r>
                    </w:p>
                    <w:p>
                      <w:pPr>
                        <w:pStyle w:val="TextBody"/>
                        <w:bidi w:val="0"/>
                        <w:spacing w:lineRule="atLeast" w:line="220" w:before="260" w:after="0"/>
                        <w:ind w:left="200" w:right="0" w:hanging="0"/>
                        <w:jc w:val="left"/>
                        <w:rPr>
                          <w:color w:val="000000"/>
                        </w:rPr>
                      </w:pPr>
                      <w:r>
                        <w:rPr>
                          <w:color w:val="000000"/>
                          <w:spacing w:val="-2"/>
                        </w:rPr>
                        <w:t>Identify individuals qualified to fill vacancies or newly-created positions on the Board</w:t>
                      </w:r>
                      <w:r>
                        <w:rPr>
                          <w:color w:val="000000"/>
                        </w:rPr>
                        <w:t xml:space="preserve"> </w:t>
                      </w:r>
                    </w:p>
                    <w:p>
                      <w:pPr>
                        <w:pStyle w:val="TextBody"/>
                        <w:bidi w:val="0"/>
                        <w:spacing w:before="0" w:after="0"/>
                        <w:ind w:left="0" w:right="0" w:hanging="0"/>
                        <w:jc w:val="left"/>
                        <w:rPr/>
                      </w:pPr>
                      <w:r>
                        <w:rPr/>
                        <w:t>​</w:t>
                      </w:r>
                    </w:p>
                    <w:p>
                      <w:pPr>
                        <w:pStyle w:val="TextBody"/>
                        <w:bidi w:val="0"/>
                        <w:spacing w:lineRule="atLeast" w:line="220" w:before="60" w:after="0"/>
                        <w:ind w:left="200" w:right="0" w:hanging="0"/>
                        <w:jc w:val="left"/>
                        <w:rPr>
                          <w:color w:val="000000"/>
                        </w:rPr>
                      </w:pPr>
                      <w:r>
                        <w:rPr>
                          <w:color w:val="000000"/>
                          <w:spacing w:val="-2"/>
                        </w:rPr>
                        <w:t>Recommend to the Board the persons it should nominate for election as directors at annual meetings of the Company’s stockholders</w:t>
                      </w:r>
                      <w:r>
                        <w:rPr>
                          <w:color w:val="000000"/>
                        </w:rPr>
                        <w:t xml:space="preserve"> </w:t>
                      </w:r>
                    </w:p>
                    <w:p>
                      <w:pPr>
                        <w:pStyle w:val="TextBody"/>
                        <w:bidi w:val="0"/>
                        <w:spacing w:before="0" w:after="0"/>
                        <w:ind w:left="0" w:right="0" w:hanging="0"/>
                        <w:jc w:val="left"/>
                        <w:rPr/>
                      </w:pPr>
                      <w:r>
                        <w:rPr/>
                        <w:t>​</w:t>
                      </w:r>
                    </w:p>
                    <w:p>
                      <w:pPr>
                        <w:pStyle w:val="TextBody"/>
                        <w:bidi w:val="0"/>
                        <w:spacing w:lineRule="atLeast" w:line="220" w:before="60" w:after="0"/>
                        <w:ind w:left="200" w:right="0" w:hanging="0"/>
                        <w:jc w:val="left"/>
                        <w:rPr>
                          <w:color w:val="000000"/>
                        </w:rPr>
                      </w:pPr>
                      <w:r>
                        <w:rPr>
                          <w:color w:val="000000"/>
                          <w:spacing w:val="-2"/>
                        </w:rPr>
                        <w:t>Recommend directors to serve on all committees of the Board</w:t>
                      </w:r>
                      <w:r>
                        <w:rPr>
                          <w:color w:val="000000"/>
                        </w:rPr>
                        <w:t xml:space="preserve"> </w:t>
                      </w:r>
                    </w:p>
                    <w:p>
                      <w:pPr>
                        <w:pStyle w:val="TextBody"/>
                        <w:bidi w:val="0"/>
                        <w:spacing w:before="0" w:after="0"/>
                        <w:ind w:left="0" w:right="0" w:hanging="0"/>
                        <w:jc w:val="left"/>
                        <w:rPr/>
                      </w:pPr>
                      <w:r>
                        <w:rPr/>
                        <w:t>​</w:t>
                      </w:r>
                    </w:p>
                    <w:p>
                      <w:pPr>
                        <w:pStyle w:val="TextBody"/>
                        <w:bidi w:val="0"/>
                        <w:spacing w:lineRule="atLeast" w:line="220" w:before="60" w:after="0"/>
                        <w:ind w:left="200" w:right="0" w:hanging="0"/>
                        <w:jc w:val="left"/>
                        <w:rPr>
                          <w:color w:val="000000"/>
                        </w:rPr>
                      </w:pPr>
                      <w:r>
                        <w:rPr>
                          <w:color w:val="000000"/>
                          <w:spacing w:val="-2"/>
                        </w:rPr>
                        <w:t>Develop and recommend to the Board governance principles applicable to the Company</w:t>
                      </w:r>
                      <w:r>
                        <w:rPr>
                          <w:color w:val="000000"/>
                        </w:rPr>
                        <w:t xml:space="preserve"> </w:t>
                      </w:r>
                    </w:p>
                    <w:p>
                      <w:pPr>
                        <w:pStyle w:val="TextBody"/>
                        <w:bidi w:val="0"/>
                        <w:spacing w:before="0" w:after="0"/>
                        <w:ind w:left="0" w:right="0" w:hanging="0"/>
                        <w:jc w:val="left"/>
                        <w:rPr/>
                      </w:pPr>
                      <w:r>
                        <w:rPr/>
                        <w:t>​</w:t>
                      </w:r>
                    </w:p>
                    <w:p>
                      <w:pPr>
                        <w:pStyle w:val="TextBody"/>
                        <w:bidi w:val="0"/>
                        <w:spacing w:lineRule="atLeast" w:line="220" w:before="60" w:after="0"/>
                        <w:ind w:left="200" w:right="0" w:hanging="0"/>
                        <w:jc w:val="left"/>
                        <w:rPr>
                          <w:color w:val="000000"/>
                        </w:rPr>
                      </w:pPr>
                      <w:r>
                        <w:rPr>
                          <w:color w:val="000000"/>
                          <w:spacing w:val="-2"/>
                        </w:rPr>
                        <w:t>Oversee ESG matters, including related risk and strategy</w:t>
                      </w:r>
                      <w:r>
                        <w:rPr>
                          <w:color w:val="000000"/>
                        </w:rPr>
                        <w:t xml:space="preserve"> </w:t>
                      </w:r>
                    </w:p>
                    <w:p>
                      <w:pPr>
                        <w:pStyle w:val="TextBody"/>
                        <w:bidi w:val="0"/>
                        <w:spacing w:before="0" w:after="0"/>
                        <w:ind w:left="0" w:right="0" w:hanging="0"/>
                        <w:jc w:val="left"/>
                        <w:rPr/>
                      </w:pPr>
                      <w:r>
                        <w:rPr/>
                        <w:t>​</w:t>
                      </w:r>
                    </w:p>
                    <w:p>
                      <w:pPr>
                        <w:pStyle w:val="TextBody"/>
                        <w:bidi w:val="0"/>
                        <w:spacing w:lineRule="atLeast" w:line="250" w:before="240" w:after="283"/>
                        <w:jc w:val="left"/>
                        <w:rPr>
                          <w:color w:val="000000"/>
                        </w:rPr>
                      </w:pPr>
                      <w:r>
                        <w:rPr>
                          <w:color w:val="000000"/>
                          <w:spacing w:val="-2"/>
                        </w:rPr>
                        <w:t>Each member of the Nominating and Corporate Governance Committee is independent within the meaning of the rules of the NYSE.</w:t>
                      </w:r>
                      <w:r>
                        <w:rPr>
                          <w:color w:val="000000"/>
                        </w:rPr>
                        <w:t xml:space="preserve"> </w:t>
                      </w:r>
                    </w:p>
                  </w:txbxContent>
                </v:textbox>
                <w10:wrap type="square" side="right"/>
              </v:rect>
            </w:pict>
          </mc:Fallback>
        </mc:AlternateContent>
      </w:r>
      <w:r>
        <mc:AlternateContent>
          <mc:Choice Requires="wps">
            <w:drawing>
              <wp:anchor behindDoc="0" distT="165100" distB="0" distL="0" distR="0" simplePos="0" locked="0" layoutInCell="1" allowOverlap="1" relativeHeight="499">
                <wp:simplePos x="0" y="0"/>
                <wp:positionH relativeFrom="column">
                  <wp:align>left</wp:align>
                </wp:positionH>
                <wp:positionV relativeFrom="line">
                  <wp:align>top</wp:align>
                </wp:positionV>
                <wp:extent cx="127000" cy="350520"/>
                <wp:effectExtent l="0" t="0" r="0" b="0"/>
                <wp:wrapSquare wrapText="right"/>
                <wp:docPr id="509" name="Frame2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color w:val="000000"/>
                              </w:rPr>
                            </w:pPr>
                            <w:r>
                              <w:rPr>
                                <w:color w:val="000000"/>
                                <w:spacing w:val="-2"/>
                              </w:rPr>
                              <w:t>•</w:t>
                            </w:r>
                            <w:r>
                              <w:rPr>
                                <w:color w:val="000000"/>
                              </w:rPr>
                              <w:t xml:space="preserve"> </w:t>
                            </w:r>
                            <w:r>
                              <w:rPr>
                                <w:color w:val="000000"/>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13pt;mso-wrap-distance-bottom:0pt;margin-top:13pt;mso-position-vertical:top;mso-position-vertical-relative:text;margin-left:0pt;mso-position-horizontal:left;mso-position-horizontal-relative:text">
                <v:textbox>
                  <w:txbxContent>
                    <w:p>
                      <w:pPr>
                        <w:pStyle w:val="TextBody"/>
                        <w:bidi w:val="0"/>
                        <w:spacing w:lineRule="atLeast" w:line="220" w:before="0" w:after="283"/>
                        <w:jc w:val="left"/>
                        <w:rPr>
                          <w:color w:val="000000"/>
                        </w:rPr>
                      </w:pPr>
                      <w:r>
                        <w:rPr>
                          <w:color w:val="000000"/>
                          <w:spacing w:val="-2"/>
                        </w:rPr>
                        <w:t>•</w:t>
                      </w:r>
                      <w:r>
                        <w:rPr>
                          <w:color w:val="000000"/>
                        </w:rPr>
                        <w:t xml:space="preserve"> </w:t>
                      </w:r>
                      <w:r>
                        <w:rPr>
                          <w:color w:val="000000"/>
                        </w:rPr>
                        <w:br/>
                      </w:r>
                    </w:p>
                  </w:txbxContent>
                </v:textbox>
                <w10:wrap type="square" side="right"/>
              </v:rect>
            </w:pict>
          </mc:Fallback>
        </mc:AlternateContent>
      </w:r>
      <w:r>
        <mc:AlternateContent>
          <mc:Choice Requires="wps">
            <w:drawing>
              <wp:anchor behindDoc="0" distT="38100" distB="0" distL="0" distR="0" simplePos="0" locked="0" layoutInCell="1" allowOverlap="1" relativeHeight="500">
                <wp:simplePos x="0" y="0"/>
                <wp:positionH relativeFrom="column">
                  <wp:align>left</wp:align>
                </wp:positionH>
                <wp:positionV relativeFrom="line">
                  <wp:align>top</wp:align>
                </wp:positionV>
                <wp:extent cx="127000" cy="350520"/>
                <wp:effectExtent l="0" t="0" r="0" b="0"/>
                <wp:wrapSquare wrapText="right"/>
                <wp:docPr id="510" name="Frame2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color w:val="000000"/>
                              </w:rPr>
                            </w:pPr>
                            <w:r>
                              <w:rPr>
                                <w:color w:val="000000"/>
                                <w:spacing w:val="-2"/>
                              </w:rPr>
                              <w:t>•</w:t>
                            </w:r>
                            <w:r>
                              <w:rPr>
                                <w:color w:val="000000"/>
                              </w:rPr>
                              <w:t xml:space="preserve"> </w:t>
                            </w:r>
                            <w:r>
                              <w:rPr>
                                <w:color w:val="000000"/>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20" w:before="0" w:after="283"/>
                        <w:jc w:val="left"/>
                        <w:rPr>
                          <w:color w:val="000000"/>
                        </w:rPr>
                      </w:pPr>
                      <w:r>
                        <w:rPr>
                          <w:color w:val="000000"/>
                          <w:spacing w:val="-2"/>
                        </w:rPr>
                        <w:t>•</w:t>
                      </w:r>
                      <w:r>
                        <w:rPr>
                          <w:color w:val="000000"/>
                        </w:rPr>
                        <w:t xml:space="preserve"> </w:t>
                      </w:r>
                      <w:r>
                        <w:rPr>
                          <w:color w:val="000000"/>
                        </w:rPr>
                        <w:br/>
                      </w:r>
                    </w:p>
                  </w:txbxContent>
                </v:textbox>
                <w10:wrap type="square" side="right"/>
              </v:rect>
            </w:pict>
          </mc:Fallback>
        </mc:AlternateContent>
      </w:r>
      <w:r>
        <mc:AlternateContent>
          <mc:Choice Requires="wps">
            <w:drawing>
              <wp:anchor behindDoc="0" distT="38100" distB="0" distL="0" distR="0" simplePos="0" locked="0" layoutInCell="1" allowOverlap="1" relativeHeight="501">
                <wp:simplePos x="0" y="0"/>
                <wp:positionH relativeFrom="column">
                  <wp:align>left</wp:align>
                </wp:positionH>
                <wp:positionV relativeFrom="line">
                  <wp:align>top</wp:align>
                </wp:positionV>
                <wp:extent cx="127000" cy="350520"/>
                <wp:effectExtent l="0" t="0" r="0" b="0"/>
                <wp:wrapSquare wrapText="right"/>
                <wp:docPr id="511" name="Frame2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color w:val="000000"/>
                              </w:rPr>
                            </w:pPr>
                            <w:r>
                              <w:rPr>
                                <w:color w:val="000000"/>
                                <w:spacing w:val="-2"/>
                              </w:rPr>
                              <w:t>•</w:t>
                            </w:r>
                            <w:r>
                              <w:rPr>
                                <w:color w:val="000000"/>
                              </w:rPr>
                              <w:t xml:space="preserve"> </w:t>
                            </w:r>
                            <w:r>
                              <w:rPr>
                                <w:color w:val="000000"/>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20" w:before="0" w:after="283"/>
                        <w:jc w:val="left"/>
                        <w:rPr>
                          <w:color w:val="000000"/>
                        </w:rPr>
                      </w:pPr>
                      <w:r>
                        <w:rPr>
                          <w:color w:val="000000"/>
                          <w:spacing w:val="-2"/>
                        </w:rPr>
                        <w:t>•</w:t>
                      </w:r>
                      <w:r>
                        <w:rPr>
                          <w:color w:val="000000"/>
                        </w:rPr>
                        <w:t xml:space="preserve"> </w:t>
                      </w:r>
                      <w:r>
                        <w:rPr>
                          <w:color w:val="000000"/>
                        </w:rPr>
                        <w:br/>
                      </w:r>
                    </w:p>
                  </w:txbxContent>
                </v:textbox>
                <w10:wrap type="square" side="right"/>
              </v:rect>
            </w:pict>
          </mc:Fallback>
        </mc:AlternateContent>
      </w:r>
      <w:r>
        <mc:AlternateContent>
          <mc:Choice Requires="wps">
            <w:drawing>
              <wp:anchor behindDoc="0" distT="38100" distB="0" distL="0" distR="0" simplePos="0" locked="0" layoutInCell="1" allowOverlap="1" relativeHeight="502">
                <wp:simplePos x="0" y="0"/>
                <wp:positionH relativeFrom="column">
                  <wp:align>left</wp:align>
                </wp:positionH>
                <wp:positionV relativeFrom="line">
                  <wp:align>top</wp:align>
                </wp:positionV>
                <wp:extent cx="127000" cy="350520"/>
                <wp:effectExtent l="0" t="0" r="0" b="0"/>
                <wp:wrapSquare wrapText="right"/>
                <wp:docPr id="512" name="Frame2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color w:val="000000"/>
                              </w:rPr>
                            </w:pPr>
                            <w:r>
                              <w:rPr>
                                <w:color w:val="000000"/>
                                <w:spacing w:val="-2"/>
                              </w:rPr>
                              <w:t>•</w:t>
                            </w:r>
                            <w:r>
                              <w:rPr>
                                <w:color w:val="000000"/>
                              </w:rPr>
                              <w:t xml:space="preserve"> </w:t>
                            </w:r>
                            <w:r>
                              <w:rPr>
                                <w:color w:val="000000"/>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20" w:before="0" w:after="283"/>
                        <w:jc w:val="left"/>
                        <w:rPr>
                          <w:color w:val="000000"/>
                        </w:rPr>
                      </w:pPr>
                      <w:r>
                        <w:rPr>
                          <w:color w:val="000000"/>
                          <w:spacing w:val="-2"/>
                        </w:rPr>
                        <w:t>•</w:t>
                      </w:r>
                      <w:r>
                        <w:rPr>
                          <w:color w:val="000000"/>
                        </w:rPr>
                        <w:t xml:space="preserve"> </w:t>
                      </w:r>
                      <w:r>
                        <w:rPr>
                          <w:color w:val="000000"/>
                        </w:rPr>
                        <w:br/>
                      </w:r>
                    </w:p>
                  </w:txbxContent>
                </v:textbox>
                <w10:wrap type="square" side="right"/>
              </v:rect>
            </w:pict>
          </mc:Fallback>
        </mc:AlternateContent>
      </w:r>
      <w:r>
        <mc:AlternateContent>
          <mc:Choice Requires="wps">
            <w:drawing>
              <wp:anchor behindDoc="0" distT="38100" distB="0" distL="0" distR="0" simplePos="0" locked="0" layoutInCell="1" allowOverlap="1" relativeHeight="503">
                <wp:simplePos x="0" y="0"/>
                <wp:positionH relativeFrom="column">
                  <wp:align>left</wp:align>
                </wp:positionH>
                <wp:positionV relativeFrom="line">
                  <wp:align>top</wp:align>
                </wp:positionV>
                <wp:extent cx="127000" cy="350520"/>
                <wp:effectExtent l="0" t="0" r="0" b="0"/>
                <wp:wrapSquare wrapText="right"/>
                <wp:docPr id="513" name="Frame2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color w:val="000000"/>
                              </w:rPr>
                            </w:pPr>
                            <w:r>
                              <w:rPr>
                                <w:color w:val="000000"/>
                                <w:spacing w:val="-2"/>
                              </w:rPr>
                              <w:t>•</w:t>
                            </w:r>
                            <w:r>
                              <w:rPr>
                                <w:color w:val="000000"/>
                              </w:rPr>
                              <w:t xml:space="preserve"> </w:t>
                            </w:r>
                            <w:r>
                              <w:rPr>
                                <w:color w:val="000000"/>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20" w:before="0" w:after="283"/>
                        <w:jc w:val="left"/>
                        <w:rPr>
                          <w:color w:val="000000"/>
                        </w:rPr>
                      </w:pPr>
                      <w:r>
                        <w:rPr>
                          <w:color w:val="000000"/>
                          <w:spacing w:val="-2"/>
                        </w:rPr>
                        <w:t>•</w:t>
                      </w:r>
                      <w:r>
                        <w:rPr>
                          <w:color w:val="000000"/>
                        </w:rPr>
                        <w:t xml:space="preserve"> </w:t>
                      </w:r>
                      <w:r>
                        <w:rPr>
                          <w:color w:val="000000"/>
                        </w:rPr>
                        <w:br/>
                      </w:r>
                    </w:p>
                  </w:txbxContent>
                </v:textbox>
                <w10:wrap type="square" side="right"/>
              </v:rect>
            </w:pict>
          </mc:Fallback>
        </mc:AlternateContent>
      </w:r>
    </w:p>
    <w:tbl>
      <w:tblPr>
        <w:tblW w:w="1148" w:type="dxa"/>
        <w:jc w:val="left"/>
        <w:tblInd w:w="900" w:type="dxa"/>
        <w:tblLayout w:type="fixed"/>
        <w:tblCellMar>
          <w:top w:w="0" w:type="dxa"/>
          <w:left w:w="0" w:type="dxa"/>
          <w:bottom w:w="28" w:type="dxa"/>
          <w:right w:w="0" w:type="dxa"/>
        </w:tblCellMar>
      </w:tblPr>
      <w:tblGrid>
        <w:gridCol w:w="124"/>
        <w:gridCol w:w="326"/>
        <w:gridCol w:w="109"/>
        <w:gridCol w:w="109"/>
        <w:gridCol w:w="326"/>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326" w:type="dxa"/>
            <w:tcBorders>
              <w:bottom w:val="single" w:sz="2" w:space="0" w:color="FFFFFF"/>
            </w:tcBorders>
            <w:vAlign w:val="center"/>
          </w:tcPr>
          <w:p>
            <w:pPr>
              <w:pStyle w:val="TableContents"/>
              <w:bidi w:val="0"/>
              <w:spacing w:lineRule="atLeast" w:line="142" w:before="0" w:after="0"/>
              <w:jc w:val="left"/>
              <w:rPr>
                <w:spacing w:val="0"/>
              </w:rPr>
            </w:pPr>
            <w:r>
              <w:rPr>
                <w:spacing w:val="0"/>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26" w:type="dxa"/>
            <w:tcBorders>
              <w:bottom w:val="single" w:sz="2" w:space="0" w:color="83AD40"/>
            </w:tcBorders>
            <w:vAlign w:val="center"/>
          </w:tcPr>
          <w:p>
            <w:pPr>
              <w:pStyle w:val="TableContents"/>
              <w:bidi w:val="0"/>
              <w:spacing w:lineRule="atLeast" w:line="142" w:before="0" w:after="0"/>
              <w:jc w:val="left"/>
              <w:rPr/>
            </w:pPr>
            <w:r>
              <w:rPr>
                <w:spacing w:val="0"/>
              </w:rPr>
              <w:t>   </w:t>
            </w:r>
            <w:r>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bl>
    <w:p>
      <w:pPr>
        <w:pStyle w:val="TextBody"/>
        <w:bidi w:val="0"/>
        <w:spacing w:before="0" w:after="2444"/>
        <w:ind w:left="900" w:right="0" w:hanging="0"/>
        <w:jc w:val="left"/>
        <w:rPr>
          <w:caps w:val="false"/>
          <w:smallCaps w:val="false"/>
          <w:color w:val="FFFFFF"/>
        </w:rPr>
      </w:pPr>
      <w:r>
        <w:rPr>
          <w:caps w:val="false"/>
          <w:smallCaps w:val="false"/>
          <w:color w:val="FFFFFF"/>
        </w:rPr>
        <w:t>​</w:t>
      </w:r>
      <w:r>
        <mc:AlternateContent>
          <mc:Choice Requires="wps">
            <w:drawing>
              <wp:anchor behindDoc="0" distT="0" distB="0" distL="571500" distR="0" simplePos="0" locked="0" layoutInCell="1" allowOverlap="1" relativeHeight="504">
                <wp:simplePos x="0" y="0"/>
                <wp:positionH relativeFrom="column">
                  <wp:align>left</wp:align>
                </wp:positionH>
                <wp:positionV relativeFrom="line">
                  <wp:posOffset>635</wp:posOffset>
                </wp:positionV>
                <wp:extent cx="1943100" cy="3938270"/>
                <wp:effectExtent l="0" t="0" r="0" b="0"/>
                <wp:wrapSquare wrapText="right"/>
                <wp:docPr id="514" name="Frame224"/>
                <a:graphic xmlns:a="http://schemas.openxmlformats.org/drawingml/2006/main">
                  <a:graphicData uri="http://schemas.microsoft.com/office/word/2010/wordprocessingShape">
                    <wps:wsp>
                      <wps:cNvSpPr txBox="1"/>
                      <wps:spPr>
                        <a:xfrm>
                          <a:off x="0" y="0"/>
                          <a:ext cx="1943100" cy="3938270"/>
                        </a:xfrm>
                        <a:prstGeom prst="rect"/>
                        <a:solidFill>
                          <a:srgbClr val="FFFFFF"/>
                        </a:solidFill>
                      </wps:spPr>
                      <wps:txbx>
                        <w:txbxContent>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10205" w:type="dxa"/>
                              <w:jc w:val="left"/>
                              <w:tblInd w:w="0" w:type="dxa"/>
                              <w:tblLayout w:type="fixed"/>
                              <w:tblCellMar>
                                <w:top w:w="0" w:type="dxa"/>
                                <w:left w:w="0" w:type="dxa"/>
                                <w:bottom w:w="0" w:type="dxa"/>
                                <w:right w:w="0" w:type="dxa"/>
                              </w:tblCellMar>
                            </w:tblPr>
                            <w:tblGrid>
                              <w:gridCol w:w="124"/>
                              <w:gridCol w:w="109"/>
                              <w:gridCol w:w="97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709" w:type="dxa"/>
                                  <w:tcBorders/>
                                  <w:shd w:fill="1F2668" w:val="clear"/>
                                  <w:vAlign w:val="center"/>
                                </w:tcPr>
                                <w:p>
                                  <w:pPr>
                                    <w:pStyle w:val="TableContents"/>
                                    <w:bidi w:val="0"/>
                                    <w:spacing w:lineRule="atLeast" w:line="300" w:before="0" w:after="0"/>
                                    <w:ind w:left="0" w:right="160" w:hanging="0"/>
                                    <w:jc w:val="left"/>
                                    <w:rPr>
                                      <w:b/>
                                      <w:sz w:val="26"/>
                                    </w:rPr>
                                  </w:pPr>
                                  <w:r>
                                    <w:rPr>
                                      <w:b/>
                                      <w:spacing w:val="-3"/>
                                      <w:sz w:val="26"/>
                                    </w:rPr>
                                    <w:t xml:space="preserve">EXECUTIVE </w:t>
                                    <w:br/>
                                    <w:t>COMMITTEE</w:t>
                                  </w:r>
                                  <w:r>
                                    <w:rPr>
                                      <w:b/>
                                      <w:sz w:val="26"/>
                                    </w:rPr>
                                    <w:t xml:space="preserve"> </w:t>
                                  </w:r>
                                </w:p>
                                <w:p>
                                  <w:pPr>
                                    <w:pStyle w:val="TableContents"/>
                                    <w:bidi w:val="0"/>
                                    <w:spacing w:lineRule="atLeast" w:line="220" w:before="180" w:after="283"/>
                                    <w:ind w:left="0" w:right="160" w:hanging="0"/>
                                    <w:jc w:val="left"/>
                                    <w:rPr>
                                      <w:b/>
                                    </w:rPr>
                                  </w:pPr>
                                  <w:r>
                                    <w:rPr>
                                      <w:b/>
                                      <w:spacing w:val="-2"/>
                                    </w:rPr>
                                    <w:t>Members</w:t>
                                  </w:r>
                                  <w:r>
                                    <w:rPr>
                                      <w:b/>
                                    </w:rPr>
                                    <w:t xml:space="preserve"> </w:t>
                                  </w:r>
                                </w:p>
                                <w:p>
                                  <w:pPr>
                                    <w:pStyle w:val="TableContents"/>
                                    <w:bidi w:val="0"/>
                                    <w:spacing w:lineRule="atLeast" w:line="220" w:before="120" w:after="283"/>
                                    <w:ind w:left="0" w:right="160" w:hanging="0"/>
                                    <w:jc w:val="left"/>
                                    <w:rPr/>
                                  </w:pPr>
                                  <w:r>
                                    <w:rPr>
                                      <w:spacing w:val="-2"/>
                                    </w:rPr>
                                    <w:t xml:space="preserve">Marc Holliday (Chair) </w:t>
                                    <w:br/>
                                    <w:t xml:space="preserve">John H. Alschuler </w:t>
                                    <w:br/>
                                    <w:t xml:space="preserve">Stephen L. Green </w:t>
                                    <w:br/>
                                    <w:t>Andrew W. Mathias</w:t>
                                  </w:r>
                                  <w:r>
                                    <w:rPr/>
                                    <w:t xml:space="preserve"> </w:t>
                                  </w:r>
                                </w:p>
                                <w:p>
                                  <w:pPr>
                                    <w:pStyle w:val="TableContents"/>
                                    <w:bidi w:val="0"/>
                                    <w:spacing w:lineRule="atLeast" w:line="220" w:before="240" w:after="283"/>
                                    <w:ind w:left="0" w:right="160" w:hanging="0"/>
                                    <w:jc w:val="left"/>
                                    <w:rPr/>
                                  </w:pPr>
                                  <w:r>
                                    <w:rPr>
                                      <w:spacing w:val="-2"/>
                                    </w:rPr>
                                    <w:t>Meetings in 2025: 0</w:t>
                                  </w:r>
                                  <w:r>
                                    <w:rPr/>
                                    <w:t xml:space="preserve"> </w:t>
                                  </w:r>
                                </w:p>
                                <w:p>
                                  <w:pPr>
                                    <w:pStyle w:val="TableContents"/>
                                    <w:bidi w:val="0"/>
                                    <w:spacing w:lineRule="atLeast" w:line="220" w:before="240" w:after="283"/>
                                    <w:ind w:left="0" w:right="160" w:hanging="0"/>
                                    <w:jc w:val="left"/>
                                    <w:rPr/>
                                  </w:pPr>
                                  <w:r>
                                    <w:rPr>
                                      <w:spacing w:val="-2"/>
                                    </w:rPr>
                                    <w:t>Our Executive Committee did not take any actions by written consent during fiscal year 2025, as all matters within its authority were approved by the Board</w:t>
                                  </w:r>
                                  <w:r>
                                    <w:rPr/>
                                    <w:t xml:space="preserve"> </w:t>
                                  </w:r>
                                </w:p>
                              </w:tc>
                              <w:tc>
                                <w:tcPr>
                                  <w:tcW w:w="109" w:type="dxa"/>
                                  <w:tcBorders/>
                                  <w:vAlign w:val="center"/>
                                </w:tcPr>
                                <w:p>
                                  <w:pPr>
                                    <w:pStyle w:val="TableContents"/>
                                    <w:bidi w:val="0"/>
                                    <w:spacing w:before="0" w:after="283"/>
                                    <w:jc w:val="left"/>
                                    <w:rPr/>
                                  </w:pPr>
                                  <w:r>
                                    <w:rPr/>
                                    <w:t>​</w:t>
                                  </w:r>
                                </w:p>
                              </w:tc>
                              <w:tc>
                                <w:tcPr>
                                  <w:tcW w:w="154" w:type="dxa"/>
                                  <w:tcBorders/>
                                  <w:shd w:fill="1F2668" w:val="clear"/>
                                  <w:vAlign w:val="center"/>
                                </w:tcPr>
                                <w:p>
                                  <w:pPr>
                                    <w:pStyle w:val="TableContents"/>
                                    <w:bidi w:val="0"/>
                                    <w:spacing w:before="0" w:after="283"/>
                                    <w:jc w:val="left"/>
                                    <w:rPr/>
                                  </w:pPr>
                                  <w:r>
                                    <w:rPr/>
                                    <w:t>​</w:t>
                                  </w:r>
                                </w:p>
                              </w:tc>
                            </w:tr>
                          </w:tbl>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53pt;height:310.1pt;mso-wrap-distance-left:45pt;mso-wrap-distance-right:0pt;mso-wrap-distance-top:0pt;mso-wrap-distance-bottom:0pt;margin-top:0pt;mso-position-vertical:top;mso-position-vertical-relative:text;margin-left:243pt;mso-position-horizontal:left;mso-position-horizontal-relative:text">
                <v:textbox>
                  <w:txbxContent>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10205" w:type="dxa"/>
                        <w:jc w:val="left"/>
                        <w:tblInd w:w="0" w:type="dxa"/>
                        <w:tblLayout w:type="fixed"/>
                        <w:tblCellMar>
                          <w:top w:w="0" w:type="dxa"/>
                          <w:left w:w="0" w:type="dxa"/>
                          <w:bottom w:w="0" w:type="dxa"/>
                          <w:right w:w="0" w:type="dxa"/>
                        </w:tblCellMar>
                      </w:tblPr>
                      <w:tblGrid>
                        <w:gridCol w:w="124"/>
                        <w:gridCol w:w="109"/>
                        <w:gridCol w:w="97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709" w:type="dxa"/>
                            <w:tcBorders/>
                            <w:shd w:fill="1F2668" w:val="clear"/>
                            <w:vAlign w:val="center"/>
                          </w:tcPr>
                          <w:p>
                            <w:pPr>
                              <w:pStyle w:val="TableContents"/>
                              <w:bidi w:val="0"/>
                              <w:spacing w:lineRule="atLeast" w:line="300" w:before="0" w:after="0"/>
                              <w:ind w:left="0" w:right="160" w:hanging="0"/>
                              <w:jc w:val="left"/>
                              <w:rPr>
                                <w:b/>
                                <w:sz w:val="26"/>
                              </w:rPr>
                            </w:pPr>
                            <w:r>
                              <w:rPr>
                                <w:b/>
                                <w:spacing w:val="-3"/>
                                <w:sz w:val="26"/>
                              </w:rPr>
                              <w:t xml:space="preserve">EXECUTIVE </w:t>
                              <w:br/>
                              <w:t>COMMITTEE</w:t>
                            </w:r>
                            <w:r>
                              <w:rPr>
                                <w:b/>
                                <w:sz w:val="26"/>
                              </w:rPr>
                              <w:t xml:space="preserve"> </w:t>
                            </w:r>
                          </w:p>
                          <w:p>
                            <w:pPr>
                              <w:pStyle w:val="TableContents"/>
                              <w:bidi w:val="0"/>
                              <w:spacing w:lineRule="atLeast" w:line="220" w:before="180" w:after="283"/>
                              <w:ind w:left="0" w:right="160" w:hanging="0"/>
                              <w:jc w:val="left"/>
                              <w:rPr>
                                <w:b/>
                              </w:rPr>
                            </w:pPr>
                            <w:r>
                              <w:rPr>
                                <w:b/>
                                <w:spacing w:val="-2"/>
                              </w:rPr>
                              <w:t>Members</w:t>
                            </w:r>
                            <w:r>
                              <w:rPr>
                                <w:b/>
                              </w:rPr>
                              <w:t xml:space="preserve"> </w:t>
                            </w:r>
                          </w:p>
                          <w:p>
                            <w:pPr>
                              <w:pStyle w:val="TableContents"/>
                              <w:bidi w:val="0"/>
                              <w:spacing w:lineRule="atLeast" w:line="220" w:before="120" w:after="283"/>
                              <w:ind w:left="0" w:right="160" w:hanging="0"/>
                              <w:jc w:val="left"/>
                              <w:rPr/>
                            </w:pPr>
                            <w:r>
                              <w:rPr>
                                <w:spacing w:val="-2"/>
                              </w:rPr>
                              <w:t xml:space="preserve">Marc Holliday (Chair) </w:t>
                              <w:br/>
                              <w:t xml:space="preserve">John H. Alschuler </w:t>
                              <w:br/>
                              <w:t xml:space="preserve">Stephen L. Green </w:t>
                              <w:br/>
                              <w:t>Andrew W. Mathias</w:t>
                            </w:r>
                            <w:r>
                              <w:rPr/>
                              <w:t xml:space="preserve"> </w:t>
                            </w:r>
                          </w:p>
                          <w:p>
                            <w:pPr>
                              <w:pStyle w:val="TableContents"/>
                              <w:bidi w:val="0"/>
                              <w:spacing w:lineRule="atLeast" w:line="220" w:before="240" w:after="283"/>
                              <w:ind w:left="0" w:right="160" w:hanging="0"/>
                              <w:jc w:val="left"/>
                              <w:rPr/>
                            </w:pPr>
                            <w:r>
                              <w:rPr>
                                <w:spacing w:val="-2"/>
                              </w:rPr>
                              <w:t>Meetings in 2025: 0</w:t>
                            </w:r>
                            <w:r>
                              <w:rPr/>
                              <w:t xml:space="preserve"> </w:t>
                            </w:r>
                          </w:p>
                          <w:p>
                            <w:pPr>
                              <w:pStyle w:val="TableContents"/>
                              <w:bidi w:val="0"/>
                              <w:spacing w:lineRule="atLeast" w:line="220" w:before="240" w:after="283"/>
                              <w:ind w:left="0" w:right="160" w:hanging="0"/>
                              <w:jc w:val="left"/>
                              <w:rPr/>
                            </w:pPr>
                            <w:r>
                              <w:rPr>
                                <w:spacing w:val="-2"/>
                              </w:rPr>
                              <w:t>Our Executive Committee did not take any actions by written consent during fiscal year 2025, as all matters within its authority were approved by the Board</w:t>
                            </w:r>
                            <w:r>
                              <w:rPr/>
                              <w:t xml:space="preserve"> </w:t>
                            </w:r>
                          </w:p>
                        </w:tc>
                        <w:tc>
                          <w:tcPr>
                            <w:tcW w:w="109" w:type="dxa"/>
                            <w:tcBorders/>
                            <w:vAlign w:val="center"/>
                          </w:tcPr>
                          <w:p>
                            <w:pPr>
                              <w:pStyle w:val="TableContents"/>
                              <w:bidi w:val="0"/>
                              <w:spacing w:before="0" w:after="283"/>
                              <w:jc w:val="left"/>
                              <w:rPr/>
                            </w:pPr>
                            <w:r>
                              <w:rPr/>
                              <w:t>​</w:t>
                            </w:r>
                          </w:p>
                        </w:tc>
                        <w:tc>
                          <w:tcPr>
                            <w:tcW w:w="154" w:type="dxa"/>
                            <w:tcBorders/>
                            <w:shd w:fill="1F2668" w:val="clear"/>
                            <w:vAlign w:val="center"/>
                          </w:tcPr>
                          <w:p>
                            <w:pPr>
                              <w:pStyle w:val="TableContents"/>
                              <w:bidi w:val="0"/>
                              <w:spacing w:before="0" w:after="283"/>
                              <w:jc w:val="left"/>
                              <w:rPr/>
                            </w:pPr>
                            <w:r>
                              <w:rPr/>
                              <w:t>​</w:t>
                            </w:r>
                          </w:p>
                        </w:tc>
                      </w:tr>
                    </w:tbl>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254000" distR="0" simplePos="0" locked="0" layoutInCell="1" allowOverlap="1" relativeHeight="505">
                <wp:simplePos x="0" y="0"/>
                <wp:positionH relativeFrom="column">
                  <wp:align>left</wp:align>
                </wp:positionH>
                <wp:positionV relativeFrom="line">
                  <wp:posOffset>635</wp:posOffset>
                </wp:positionV>
                <wp:extent cx="4203700" cy="2793365"/>
                <wp:effectExtent l="0" t="0" r="0" b="0"/>
                <wp:wrapSquare wrapText="right"/>
                <wp:docPr id="515" name="Frame225"/>
                <a:graphic xmlns:a="http://schemas.openxmlformats.org/drawingml/2006/main">
                  <a:graphicData uri="http://schemas.microsoft.com/office/word/2010/wordprocessingShape">
                    <wps:wsp>
                      <wps:cNvSpPr txBox="1"/>
                      <wps:spPr>
                        <a:xfrm>
                          <a:off x="0" y="0"/>
                          <a:ext cx="4203700" cy="2793365"/>
                        </a:xfrm>
                        <a:prstGeom prst="rect"/>
                        <a:solidFill>
                          <a:srgbClr val="FFFFFF"/>
                        </a:solidFill>
                      </wps:spPr>
                      <wps:txbx>
                        <w:txbxContent>
                          <w:p>
                            <w:pPr>
                              <w:pStyle w:val="TextBody"/>
                              <w:bidi w:val="0"/>
                              <w:spacing w:lineRule="atLeast" w:line="260" w:before="0" w:after="0"/>
                              <w:jc w:val="left"/>
                              <w:rPr>
                                <w:b/>
                                <w:color w:val="83AD40"/>
                                <w:sz w:val="22"/>
                              </w:rPr>
                            </w:pPr>
                            <w:r>
                              <w:rPr>
                                <w:b/>
                                <w:color w:val="83AD40"/>
                                <w:spacing w:val="-2"/>
                                <w:sz w:val="22"/>
                              </w:rPr>
                              <w:t>Principal Responsibilities:</w:t>
                            </w:r>
                            <w:r>
                              <w:rPr>
                                <w:b/>
                                <w:color w:val="000000"/>
                                <w:spacing w:val="4"/>
                                <w:sz w:val="22"/>
                              </w:rPr>
                              <w:t xml:space="preserve"> </w:t>
                            </w:r>
                          </w:p>
                          <w:p>
                            <w:pPr>
                              <w:pStyle w:val="TextBody"/>
                              <w:bidi w:val="0"/>
                              <w:spacing w:lineRule="atLeast" w:line="240" w:before="120" w:after="283"/>
                              <w:jc w:val="left"/>
                              <w:rPr>
                                <w:color w:val="000000"/>
                              </w:rPr>
                            </w:pPr>
                            <w:r>
                              <w:rPr>
                                <w:color w:val="000000"/>
                                <w:spacing w:val="-2"/>
                              </w:rPr>
                              <w:t>Subject to the supervision and oversight of the Board, our Executive Committee is responsible for, among other things:</w:t>
                            </w:r>
                            <w:r>
                              <w:rPr>
                                <w:color w:val="000000"/>
                              </w:rPr>
                              <w:t xml:space="preserve"> </w:t>
                            </w:r>
                          </w:p>
                          <w:p>
                            <w:pPr>
                              <w:pStyle w:val="TextBody"/>
                              <w:bidi w:val="0"/>
                              <w:spacing w:lineRule="atLeast" w:line="220" w:before="260" w:after="0"/>
                              <w:ind w:left="200" w:right="0" w:hanging="0"/>
                              <w:jc w:val="left"/>
                              <w:rPr>
                                <w:color w:val="000000"/>
                              </w:rPr>
                            </w:pPr>
                            <w:r>
                              <w:rPr>
                                <w:color w:val="000000"/>
                                <w:spacing w:val="-2"/>
                              </w:rPr>
                              <w:t>The approval of our acquisition, disposition and financing of investments</w:t>
                            </w:r>
                            <w:r>
                              <w:rPr>
                                <w:color w:val="000000"/>
                              </w:rPr>
                              <w:t xml:space="preserve"> </w:t>
                            </w:r>
                          </w:p>
                          <w:p>
                            <w:pPr>
                              <w:pStyle w:val="TextBody"/>
                              <w:bidi w:val="0"/>
                              <w:spacing w:before="0" w:after="0"/>
                              <w:ind w:left="0" w:right="0" w:hanging="0"/>
                              <w:jc w:val="left"/>
                              <w:rPr/>
                            </w:pPr>
                            <w:r>
                              <w:rPr/>
                              <w:t>​</w:t>
                            </w:r>
                          </w:p>
                          <w:p>
                            <w:pPr>
                              <w:pStyle w:val="TextBody"/>
                              <w:bidi w:val="0"/>
                              <w:spacing w:lineRule="atLeast" w:line="220" w:before="60" w:after="0"/>
                              <w:ind w:left="200" w:right="0" w:hanging="0"/>
                              <w:jc w:val="left"/>
                              <w:rPr>
                                <w:color w:val="000000"/>
                              </w:rPr>
                            </w:pPr>
                            <w:r>
                              <w:rPr>
                                <w:color w:val="000000"/>
                                <w:spacing w:val="-2"/>
                              </w:rPr>
                              <w:t>The authorization of the execution of certain contracts and agreements, including those relating to our borrowing of money</w:t>
                            </w:r>
                            <w:r>
                              <w:rPr>
                                <w:color w:val="000000"/>
                              </w:rPr>
                              <w:t xml:space="preserve"> </w:t>
                            </w:r>
                          </w:p>
                          <w:p>
                            <w:pPr>
                              <w:pStyle w:val="TextBody"/>
                              <w:bidi w:val="0"/>
                              <w:spacing w:before="0" w:after="0"/>
                              <w:ind w:left="0" w:right="0" w:hanging="0"/>
                              <w:jc w:val="left"/>
                              <w:rPr/>
                            </w:pPr>
                            <w:r>
                              <w:rPr/>
                              <w:t>​</w:t>
                            </w:r>
                          </w:p>
                          <w:p>
                            <w:pPr>
                              <w:pStyle w:val="TextBody"/>
                              <w:bidi w:val="0"/>
                              <w:spacing w:lineRule="atLeast" w:line="220" w:before="60" w:after="0"/>
                              <w:ind w:left="200" w:right="0" w:hanging="0"/>
                              <w:jc w:val="left"/>
                              <w:rPr>
                                <w:color w:val="000000"/>
                              </w:rPr>
                            </w:pPr>
                            <w:r>
                              <w:rPr>
                                <w:color w:val="000000"/>
                                <w:spacing w:val="-2"/>
                              </w:rPr>
                              <w:t>The exercise, in general, of all other powers of the Board, except for such powers that require action by all directors or the independent directors under our articles of incorporation or bylaws or under applicable law</w:t>
                            </w:r>
                            <w:r>
                              <w:rPr>
                                <w:color w:val="000000"/>
                              </w:rPr>
                              <w:t xml:space="preserve"> </w:t>
                            </w:r>
                          </w:p>
                          <w:p>
                            <w:pPr>
                              <w:pStyle w:val="TextBody"/>
                              <w:bidi w:val="0"/>
                              <w:spacing w:before="0" w:after="0"/>
                              <w:ind w:left="0" w:right="0" w:hanging="0"/>
                              <w:jc w:val="left"/>
                              <w:rPr/>
                            </w:pPr>
                            <w:r>
                              <w:rPr/>
                              <w:t>​</w:t>
                            </w:r>
                          </w:p>
                        </w:txbxContent>
                      </wps:txbx>
                      <wps:bodyPr anchor="t" lIns="0" tIns="0" rIns="0" bIns="0">
                        <a:noAutofit/>
                      </wps:bodyPr>
                    </wps:wsp>
                  </a:graphicData>
                </a:graphic>
              </wp:anchor>
            </w:drawing>
          </mc:Choice>
          <mc:Fallback>
            <w:pict>
              <v:rect style="position:absolute;rotation:-0;width:331pt;height:219.95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60" w:before="0" w:after="0"/>
                        <w:jc w:val="left"/>
                        <w:rPr>
                          <w:b/>
                          <w:color w:val="83AD40"/>
                          <w:sz w:val="22"/>
                        </w:rPr>
                      </w:pPr>
                      <w:r>
                        <w:rPr>
                          <w:b/>
                          <w:color w:val="83AD40"/>
                          <w:spacing w:val="-2"/>
                          <w:sz w:val="22"/>
                        </w:rPr>
                        <w:t>Principal Responsibilities:</w:t>
                      </w:r>
                      <w:r>
                        <w:rPr>
                          <w:b/>
                          <w:color w:val="000000"/>
                          <w:spacing w:val="4"/>
                          <w:sz w:val="22"/>
                        </w:rPr>
                        <w:t xml:space="preserve"> </w:t>
                      </w:r>
                    </w:p>
                    <w:p>
                      <w:pPr>
                        <w:pStyle w:val="TextBody"/>
                        <w:bidi w:val="0"/>
                        <w:spacing w:lineRule="atLeast" w:line="240" w:before="120" w:after="283"/>
                        <w:jc w:val="left"/>
                        <w:rPr>
                          <w:color w:val="000000"/>
                        </w:rPr>
                      </w:pPr>
                      <w:r>
                        <w:rPr>
                          <w:color w:val="000000"/>
                          <w:spacing w:val="-2"/>
                        </w:rPr>
                        <w:t>Subject to the supervision and oversight of the Board, our Executive Committee is responsible for, among other things:</w:t>
                      </w:r>
                      <w:r>
                        <w:rPr>
                          <w:color w:val="000000"/>
                        </w:rPr>
                        <w:t xml:space="preserve"> </w:t>
                      </w:r>
                    </w:p>
                    <w:p>
                      <w:pPr>
                        <w:pStyle w:val="TextBody"/>
                        <w:bidi w:val="0"/>
                        <w:spacing w:lineRule="atLeast" w:line="220" w:before="260" w:after="0"/>
                        <w:ind w:left="200" w:right="0" w:hanging="0"/>
                        <w:jc w:val="left"/>
                        <w:rPr>
                          <w:color w:val="000000"/>
                        </w:rPr>
                      </w:pPr>
                      <w:r>
                        <w:rPr>
                          <w:color w:val="000000"/>
                          <w:spacing w:val="-2"/>
                        </w:rPr>
                        <w:t>The approval of our acquisition, disposition and financing of investments</w:t>
                      </w:r>
                      <w:r>
                        <w:rPr>
                          <w:color w:val="000000"/>
                        </w:rPr>
                        <w:t xml:space="preserve"> </w:t>
                      </w:r>
                    </w:p>
                    <w:p>
                      <w:pPr>
                        <w:pStyle w:val="TextBody"/>
                        <w:bidi w:val="0"/>
                        <w:spacing w:before="0" w:after="0"/>
                        <w:ind w:left="0" w:right="0" w:hanging="0"/>
                        <w:jc w:val="left"/>
                        <w:rPr/>
                      </w:pPr>
                      <w:r>
                        <w:rPr/>
                        <w:t>​</w:t>
                      </w:r>
                    </w:p>
                    <w:p>
                      <w:pPr>
                        <w:pStyle w:val="TextBody"/>
                        <w:bidi w:val="0"/>
                        <w:spacing w:lineRule="atLeast" w:line="220" w:before="60" w:after="0"/>
                        <w:ind w:left="200" w:right="0" w:hanging="0"/>
                        <w:jc w:val="left"/>
                        <w:rPr>
                          <w:color w:val="000000"/>
                        </w:rPr>
                      </w:pPr>
                      <w:r>
                        <w:rPr>
                          <w:color w:val="000000"/>
                          <w:spacing w:val="-2"/>
                        </w:rPr>
                        <w:t>The authorization of the execution of certain contracts and agreements, including those relating to our borrowing of money</w:t>
                      </w:r>
                      <w:r>
                        <w:rPr>
                          <w:color w:val="000000"/>
                        </w:rPr>
                        <w:t xml:space="preserve"> </w:t>
                      </w:r>
                    </w:p>
                    <w:p>
                      <w:pPr>
                        <w:pStyle w:val="TextBody"/>
                        <w:bidi w:val="0"/>
                        <w:spacing w:before="0" w:after="0"/>
                        <w:ind w:left="0" w:right="0" w:hanging="0"/>
                        <w:jc w:val="left"/>
                        <w:rPr/>
                      </w:pPr>
                      <w:r>
                        <w:rPr/>
                        <w:t>​</w:t>
                      </w:r>
                    </w:p>
                    <w:p>
                      <w:pPr>
                        <w:pStyle w:val="TextBody"/>
                        <w:bidi w:val="0"/>
                        <w:spacing w:lineRule="atLeast" w:line="220" w:before="60" w:after="0"/>
                        <w:ind w:left="200" w:right="0" w:hanging="0"/>
                        <w:jc w:val="left"/>
                        <w:rPr>
                          <w:color w:val="000000"/>
                        </w:rPr>
                      </w:pPr>
                      <w:r>
                        <w:rPr>
                          <w:color w:val="000000"/>
                          <w:spacing w:val="-2"/>
                        </w:rPr>
                        <w:t>The exercise, in general, of all other powers of the Board, except for such powers that require action by all directors or the independent directors under our articles of incorporation or bylaws or under applicable law</w:t>
                      </w:r>
                      <w:r>
                        <w:rPr>
                          <w:color w:val="000000"/>
                        </w:rPr>
                        <w:t xml:space="preserve"> </w:t>
                      </w:r>
                    </w:p>
                    <w:p>
                      <w:pPr>
                        <w:pStyle w:val="TextBody"/>
                        <w:bidi w:val="0"/>
                        <w:spacing w:before="0" w:after="0"/>
                        <w:ind w:left="0" w:right="0" w:hanging="0"/>
                        <w:jc w:val="left"/>
                        <w:rPr/>
                      </w:pPr>
                      <w:r>
                        <w:rPr/>
                        <w:t>​</w:t>
                      </w:r>
                    </w:p>
                  </w:txbxContent>
                </v:textbox>
                <w10:wrap type="square" side="right"/>
              </v:rect>
            </w:pict>
          </mc:Fallback>
        </mc:AlternateContent>
      </w:r>
      <w:r>
        <mc:AlternateContent>
          <mc:Choice Requires="wps">
            <w:drawing>
              <wp:anchor behindDoc="0" distT="165100" distB="0" distL="0" distR="0" simplePos="0" locked="0" layoutInCell="1" allowOverlap="1" relativeHeight="506">
                <wp:simplePos x="0" y="0"/>
                <wp:positionH relativeFrom="column">
                  <wp:align>left</wp:align>
                </wp:positionH>
                <wp:positionV relativeFrom="line">
                  <wp:align>top</wp:align>
                </wp:positionV>
                <wp:extent cx="127000" cy="350520"/>
                <wp:effectExtent l="0" t="0" r="0" b="0"/>
                <wp:wrapSquare wrapText="right"/>
                <wp:docPr id="516" name="Frame2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color w:val="000000"/>
                              </w:rPr>
                            </w:pPr>
                            <w:r>
                              <w:rPr>
                                <w:color w:val="000000"/>
                                <w:spacing w:val="-2"/>
                              </w:rPr>
                              <w:t>•</w:t>
                            </w:r>
                            <w:r>
                              <w:rPr>
                                <w:color w:val="000000"/>
                              </w:rPr>
                              <w:t xml:space="preserve"> </w:t>
                            </w:r>
                            <w:r>
                              <w:rPr>
                                <w:color w:val="000000"/>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13pt;mso-wrap-distance-bottom:0pt;margin-top:13pt;mso-position-vertical:top;mso-position-vertical-relative:text;margin-left:0pt;mso-position-horizontal:left;mso-position-horizontal-relative:text">
                <v:textbox>
                  <w:txbxContent>
                    <w:p>
                      <w:pPr>
                        <w:pStyle w:val="TextBody"/>
                        <w:bidi w:val="0"/>
                        <w:spacing w:lineRule="atLeast" w:line="220" w:before="0" w:after="283"/>
                        <w:jc w:val="left"/>
                        <w:rPr>
                          <w:color w:val="000000"/>
                        </w:rPr>
                      </w:pPr>
                      <w:r>
                        <w:rPr>
                          <w:color w:val="000000"/>
                          <w:spacing w:val="-2"/>
                        </w:rPr>
                        <w:t>•</w:t>
                      </w:r>
                      <w:r>
                        <w:rPr>
                          <w:color w:val="000000"/>
                        </w:rPr>
                        <w:t xml:space="preserve"> </w:t>
                      </w:r>
                      <w:r>
                        <w:rPr>
                          <w:color w:val="000000"/>
                        </w:rPr>
                        <w:br/>
                      </w:r>
                    </w:p>
                  </w:txbxContent>
                </v:textbox>
                <w10:wrap type="square" side="right"/>
              </v:rect>
            </w:pict>
          </mc:Fallback>
        </mc:AlternateContent>
      </w:r>
      <w:r>
        <mc:AlternateContent>
          <mc:Choice Requires="wps">
            <w:drawing>
              <wp:anchor behindDoc="0" distT="38100" distB="0" distL="0" distR="0" simplePos="0" locked="0" layoutInCell="1" allowOverlap="1" relativeHeight="507">
                <wp:simplePos x="0" y="0"/>
                <wp:positionH relativeFrom="column">
                  <wp:align>left</wp:align>
                </wp:positionH>
                <wp:positionV relativeFrom="line">
                  <wp:align>top</wp:align>
                </wp:positionV>
                <wp:extent cx="127000" cy="350520"/>
                <wp:effectExtent l="0" t="0" r="0" b="0"/>
                <wp:wrapSquare wrapText="right"/>
                <wp:docPr id="517" name="Frame2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color w:val="000000"/>
                              </w:rPr>
                            </w:pPr>
                            <w:r>
                              <w:rPr>
                                <w:color w:val="000000"/>
                                <w:spacing w:val="-2"/>
                              </w:rPr>
                              <w:t>•</w:t>
                            </w:r>
                            <w:r>
                              <w:rPr>
                                <w:color w:val="000000"/>
                              </w:rPr>
                              <w:t xml:space="preserve"> </w:t>
                            </w:r>
                            <w:r>
                              <w:rPr>
                                <w:color w:val="000000"/>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20" w:before="0" w:after="283"/>
                        <w:jc w:val="left"/>
                        <w:rPr>
                          <w:color w:val="000000"/>
                        </w:rPr>
                      </w:pPr>
                      <w:r>
                        <w:rPr>
                          <w:color w:val="000000"/>
                          <w:spacing w:val="-2"/>
                        </w:rPr>
                        <w:t>•</w:t>
                      </w:r>
                      <w:r>
                        <w:rPr>
                          <w:color w:val="000000"/>
                        </w:rPr>
                        <w:t xml:space="preserve"> </w:t>
                      </w:r>
                      <w:r>
                        <w:rPr>
                          <w:color w:val="000000"/>
                        </w:rPr>
                        <w:br/>
                      </w:r>
                    </w:p>
                  </w:txbxContent>
                </v:textbox>
                <w10:wrap type="square" side="right"/>
              </v:rect>
            </w:pict>
          </mc:Fallback>
        </mc:AlternateContent>
      </w:r>
      <w:r>
        <mc:AlternateContent>
          <mc:Choice Requires="wps">
            <w:drawing>
              <wp:anchor behindDoc="0" distT="38100" distB="0" distL="0" distR="0" simplePos="0" locked="0" layoutInCell="1" allowOverlap="1" relativeHeight="508">
                <wp:simplePos x="0" y="0"/>
                <wp:positionH relativeFrom="column">
                  <wp:align>left</wp:align>
                </wp:positionH>
                <wp:positionV relativeFrom="line">
                  <wp:align>top</wp:align>
                </wp:positionV>
                <wp:extent cx="127000" cy="350520"/>
                <wp:effectExtent l="0" t="0" r="0" b="0"/>
                <wp:wrapSquare wrapText="right"/>
                <wp:docPr id="518" name="Frame2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color w:val="000000"/>
                              </w:rPr>
                            </w:pPr>
                            <w:r>
                              <w:rPr>
                                <w:color w:val="000000"/>
                                <w:spacing w:val="-2"/>
                              </w:rPr>
                              <w:t>•</w:t>
                            </w:r>
                            <w:r>
                              <w:rPr>
                                <w:color w:val="000000"/>
                              </w:rPr>
                              <w:t xml:space="preserve"> </w:t>
                            </w:r>
                            <w:r>
                              <w:rPr>
                                <w:color w:val="000000"/>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20" w:before="0" w:after="283"/>
                        <w:jc w:val="left"/>
                        <w:rPr>
                          <w:color w:val="000000"/>
                        </w:rPr>
                      </w:pPr>
                      <w:r>
                        <w:rPr>
                          <w:color w:val="000000"/>
                          <w:spacing w:val="-2"/>
                        </w:rPr>
                        <w:t>•</w:t>
                      </w:r>
                      <w:r>
                        <w:rPr>
                          <w:color w:val="000000"/>
                        </w:rPr>
                        <w:t xml:space="preserve"> </w:t>
                      </w:r>
                      <w:r>
                        <w:rPr>
                          <w:color w:val="000000"/>
                        </w:rPr>
                        <w:br/>
                      </w:r>
                    </w:p>
                  </w:txbxContent>
                </v:textbox>
                <w10:wrap type="square" side="right"/>
              </v:rect>
            </w:pict>
          </mc:Fallback>
        </mc:AlternateConten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tCOGO"/>
      <w:bookmarkEnd w:id="13"/>
      <w:r>
        <w:rPr>
          <w:rFonts w:ascii="calibri;arial;sans-serif" w:hAnsi="calibri;arial;sans-serif"/>
          <w:b w:val="false"/>
          <w:i w:val="false"/>
          <w:caps w:val="false"/>
          <w:smallCaps w:val="false"/>
          <w:color w:val="000000"/>
          <w:sz w:val="16"/>
        </w:rPr>
        <w:t xml:space="preserve">​ </w:t>
      </w:r>
    </w:p>
    <w:tbl>
      <w:tblPr>
        <w:tblW w:w="8095" w:type="dxa"/>
        <w:jc w:val="left"/>
        <w:tblInd w:w="900" w:type="dxa"/>
        <w:tblLayout w:type="fixed"/>
        <w:tblCellMar>
          <w:top w:w="0" w:type="dxa"/>
          <w:left w:w="0" w:type="dxa"/>
          <w:bottom w:w="0" w:type="dxa"/>
          <w:right w:w="0" w:type="dxa"/>
        </w:tblCellMar>
      </w:tblPr>
      <w:tblGrid>
        <w:gridCol w:w="124"/>
        <w:gridCol w:w="7253"/>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7253" w:type="dxa"/>
            <w:tcBorders/>
            <w:vAlign w:val="center"/>
          </w:tcPr>
          <w:p>
            <w:pPr>
              <w:pStyle w:val="TableContents"/>
              <w:bidi w:val="0"/>
              <w:spacing w:lineRule="atLeast" w:line="200" w:before="0" w:after="0"/>
              <w:jc w:val="left"/>
              <w:rPr/>
            </w:pPr>
            <w:r>
              <w:rPr>
                <w:spacing w:val="-2"/>
              </w:rPr>
              <w:t>OUR BOARD OF DIRECTORS AND CORPORATE GOVERNANCE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color w:val="1F2668"/>
                <w:sz w:val="24"/>
              </w:rPr>
            </w:pPr>
            <w:r>
              <w:rPr>
                <w:color w:val="1F2668"/>
                <w:sz w:val="24"/>
              </w:rPr>
              <w:t>29</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360" w:before="560" w:after="154"/>
        <w:ind w:left="900" w:right="0" w:hanging="0"/>
        <w:jc w:val="left"/>
        <w:rPr>
          <w:rFonts w:ascii="Arial;Helvetica;sans-serif" w:hAnsi="Arial;Helvetica;sans-serif"/>
          <w:b/>
          <w:i w:val="false"/>
          <w:caps w:val="false"/>
          <w:smallCaps w:val="false"/>
          <w:color w:val="83AD40"/>
          <w:sz w:val="32"/>
        </w:rPr>
      </w:pPr>
      <w:r>
        <w:rPr>
          <w:rFonts w:ascii="Arial;Helvetica;sans-serif" w:hAnsi="Arial;Helvetica;sans-serif"/>
          <w:b/>
          <w:i w:val="false"/>
          <w:caps/>
          <w:color w:val="83AD40"/>
          <w:spacing w:val="-3"/>
          <w:sz w:val="32"/>
        </w:rPr>
        <w:t>CORPORATE GOVERNANCE</w:t>
      </w:r>
      <w:r>
        <w:rPr>
          <w:rFonts w:ascii="Arial;Helvetica;sans-serif" w:hAnsi="Arial;Helvetica;sans-serif"/>
          <w:b/>
          <w:i w:val="false"/>
          <w:caps w:val="false"/>
          <w:smallCaps w:val="false"/>
          <w:color w:val="000000"/>
          <w:spacing w:val="6"/>
          <w:sz w:val="32"/>
        </w:rPr>
        <w:t xml:space="preserve"> </w:t>
      </w:r>
    </w:p>
    <w:p>
      <w:pPr>
        <w:pStyle w:val="TextBody"/>
        <w:bidi w:val="0"/>
        <w:spacing w:lineRule="atLeast" w:line="300" w:before="320" w:after="283"/>
        <w:jc w:val="left"/>
        <w:rPr>
          <w:rFonts w:ascii="Arial;Helvetica;sans-serif" w:hAnsi="Arial;Helvetica;sans-serif"/>
          <w:b/>
          <w:i w:val="false"/>
          <w:caps w:val="false"/>
          <w:smallCaps w:val="false"/>
          <w:color w:val="1F2668"/>
          <w:sz w:val="26"/>
        </w:rPr>
      </w:pPr>
      <w:r>
        <w:rPr>
          <w:rFonts w:ascii="Arial;Helvetica;sans-serif" w:hAnsi="Arial;Helvetica;sans-serif"/>
          <w:b/>
          <w:i w:val="false"/>
          <w:caps w:val="false"/>
          <w:smallCaps w:val="false"/>
          <w:color w:val="1F2668"/>
          <w:spacing w:val="-3"/>
          <w:sz w:val="26"/>
        </w:rPr>
        <w:t>Corporate Governance Highlights</w:t>
      </w:r>
      <w:r>
        <w:rPr>
          <w:rFonts w:ascii="Arial;Helvetica;sans-serif" w:hAnsi="Arial;Helvetica;sans-serif"/>
          <w:b/>
          <w:i w:val="false"/>
          <w:caps w:val="false"/>
          <w:smallCaps w:val="false"/>
          <w:color w:val="000000"/>
          <w:spacing w:val="5"/>
          <w:sz w:val="26"/>
        </w:rPr>
        <w:t xml:space="preserve"> </w:t>
      </w:r>
    </w:p>
    <w:tbl>
      <w:tblPr>
        <w:tblW w:w="9305" w:type="dxa"/>
        <w:jc w:val="left"/>
        <w:tblInd w:w="900" w:type="dxa"/>
        <w:tblLayout w:type="fixed"/>
        <w:tblCellMar>
          <w:top w:w="0" w:type="dxa"/>
          <w:left w:w="0" w:type="dxa"/>
          <w:bottom w:w="28" w:type="dxa"/>
          <w:right w:w="0" w:type="dxa"/>
        </w:tblCellMar>
      </w:tblPr>
      <w:tblGrid>
        <w:gridCol w:w="124"/>
        <w:gridCol w:w="3886"/>
        <w:gridCol w:w="109"/>
        <w:gridCol w:w="109"/>
        <w:gridCol w:w="109"/>
        <w:gridCol w:w="2297"/>
        <w:gridCol w:w="109"/>
        <w:gridCol w:w="109"/>
        <w:gridCol w:w="109"/>
        <w:gridCol w:w="2188"/>
        <w:gridCol w:w="156"/>
      </w:tblGrid>
      <w:tr>
        <w:trPr/>
        <w:tc>
          <w:tcPr>
            <w:tcW w:w="124" w:type="dxa"/>
            <w:tcBorders>
              <w:bottom w:val="single" w:sz="6" w:space="0" w:color="83AD40"/>
            </w:tcBorders>
            <w:vAlign w:val="center"/>
          </w:tcPr>
          <w:p>
            <w:pPr>
              <w:pStyle w:val="TableContents"/>
              <w:bidi w:val="0"/>
              <w:spacing w:before="0" w:after="283"/>
              <w:jc w:val="left"/>
              <w:rPr/>
            </w:pPr>
            <w:r>
              <w:rPr/>
              <w:t>​</w:t>
            </w:r>
          </w:p>
        </w:tc>
        <w:tc>
          <w:tcPr>
            <w:tcW w:w="3886" w:type="dxa"/>
            <w:tcBorders>
              <w:bottom w:val="single" w:sz="6" w:space="0" w:color="83AD40"/>
            </w:tcBorders>
            <w:tcMar>
              <w:bottom w:w="300" w:type="dxa"/>
            </w:tcMar>
            <w:vAlign w:val="center"/>
          </w:tcPr>
          <w:p>
            <w:pPr>
              <w:pStyle w:val="TableContents"/>
              <w:bidi w:val="0"/>
              <w:spacing w:before="0" w:after="0"/>
              <w:jc w:val="left"/>
              <w:rPr>
                <w:b/>
                <w:color w:val="1F2668"/>
              </w:rPr>
            </w:pPr>
            <w:r>
              <w:rPr>
                <w:b/>
                <w:color w:val="1F2668"/>
              </w:rPr>
              <w:t>Board Independence and Composition</w:t>
            </w:r>
          </w:p>
          <w:p>
            <w:pPr>
              <w:pStyle w:val="TableContents"/>
              <w:bidi w:val="0"/>
              <w:spacing w:lineRule="atLeast" w:line="220" w:before="100" w:after="0"/>
              <w:ind w:left="180" w:right="0" w:hanging="0"/>
              <w:jc w:val="left"/>
              <w:rPr/>
            </w:pPr>
            <w:r>
              <w:rPr>
                <w:spacing w:val="-2"/>
              </w:rPr>
              <w:t>Majority independent Board and 100% independent Nominating and Corporate Governance, Audit and Compensation Committees</w:t>
            </w:r>
            <w:r>
              <w:rPr/>
              <w:t xml:space="preserve"> </w:t>
            </w:r>
            <w:r>
              <mc:AlternateContent>
                <mc:Choice Requires="wps">
                  <w:drawing>
                    <wp:anchor behindDoc="0" distT="63500" distB="0" distL="0" distR="0" simplePos="0" locked="0" layoutInCell="1" allowOverlap="1" relativeHeight="509">
                      <wp:simplePos x="0" y="0"/>
                      <wp:positionH relativeFrom="column">
                        <wp:align>left</wp:align>
                      </wp:positionH>
                      <wp:positionV relativeFrom="line">
                        <wp:align>top</wp:align>
                      </wp:positionV>
                      <wp:extent cx="114300" cy="350520"/>
                      <wp:effectExtent l="0" t="0" r="0" b="0"/>
                      <wp:wrapSquare wrapText="right"/>
                      <wp:docPr id="519" name="Frame229"/>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00" w:after="0"/>
              <w:ind w:left="180" w:right="0" w:hanging="0"/>
              <w:jc w:val="left"/>
              <w:rPr>
                <w:spacing w:val="-2"/>
              </w:rPr>
            </w:pPr>
            <w:r>
              <w:rPr>
                <w:spacing w:val="-2"/>
              </w:rPr>
              <w:t xml:space="preserve">Lead Independent Director role with robust responsibilities </w:t>
            </w:r>
            <w:r>
              <mc:AlternateContent>
                <mc:Choice Requires="wps">
                  <w:drawing>
                    <wp:anchor behindDoc="0" distT="63500" distB="0" distL="0" distR="0" simplePos="0" locked="0" layoutInCell="1" allowOverlap="1" relativeHeight="510">
                      <wp:simplePos x="0" y="0"/>
                      <wp:positionH relativeFrom="column">
                        <wp:align>left</wp:align>
                      </wp:positionH>
                      <wp:positionV relativeFrom="line">
                        <wp:align>top</wp:align>
                      </wp:positionV>
                      <wp:extent cx="114300" cy="350520"/>
                      <wp:effectExtent l="0" t="0" r="0" b="0"/>
                      <wp:wrapSquare wrapText="right"/>
                      <wp:docPr id="520" name="Frame230"/>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83AD40"/>
            </w:tcBorders>
            <w:vAlign w:val="center"/>
          </w:tcPr>
          <w:p>
            <w:pPr>
              <w:pStyle w:val="TableContents"/>
              <w:bidi w:val="0"/>
              <w:spacing w:before="0" w:after="283"/>
              <w:jc w:val="left"/>
              <w:rPr/>
            </w:pPr>
            <w:r>
              <w:rPr/>
              <w:t>​</w:t>
            </w:r>
          </w:p>
        </w:tc>
        <w:tc>
          <w:tcPr>
            <w:tcW w:w="109" w:type="dxa"/>
            <w:tcBorders>
              <w:bottom w:val="single" w:sz="2" w:space="0" w:color="83AD40"/>
            </w:tcBorders>
            <w:shd w:fill="83AD40" w:val="clear"/>
            <w:vAlign w:val="center"/>
          </w:tcPr>
          <w:p>
            <w:pPr>
              <w:pStyle w:val="TableContents"/>
              <w:bidi w:val="0"/>
              <w:spacing w:before="0" w:after="283"/>
              <w:jc w:val="left"/>
              <w:rPr/>
            </w:pPr>
            <w:r>
              <w:rPr/>
              <w:t>​</w:t>
            </w:r>
          </w:p>
        </w:tc>
        <w:tc>
          <w:tcPr>
            <w:tcW w:w="109" w:type="dxa"/>
            <w:tcBorders>
              <w:bottom w:val="single" w:sz="6" w:space="0" w:color="83AD40"/>
            </w:tcBorders>
            <w:vAlign w:val="center"/>
          </w:tcPr>
          <w:p>
            <w:pPr>
              <w:pStyle w:val="TableContents"/>
              <w:bidi w:val="0"/>
              <w:spacing w:before="0" w:after="283"/>
              <w:jc w:val="left"/>
              <w:rPr/>
            </w:pPr>
            <w:r>
              <w:rPr/>
              <w:t>​</w:t>
            </w:r>
          </w:p>
        </w:tc>
        <w:tc>
          <w:tcPr>
            <w:tcW w:w="2297" w:type="dxa"/>
            <w:tcBorders>
              <w:bottom w:val="single" w:sz="6" w:space="0" w:color="83AD40"/>
            </w:tcBorders>
            <w:tcMar>
              <w:bottom w:w="300" w:type="dxa"/>
            </w:tcMar>
            <w:vAlign w:val="center"/>
          </w:tcPr>
          <w:p>
            <w:pPr>
              <w:pStyle w:val="TableContents"/>
              <w:bidi w:val="0"/>
              <w:spacing w:before="0" w:after="0"/>
              <w:jc w:val="left"/>
              <w:rPr>
                <w:b/>
                <w:color w:val="1F2668"/>
              </w:rPr>
            </w:pPr>
            <w:r>
              <w:rPr>
                <w:b/>
                <w:color w:val="1F2668"/>
              </w:rPr>
              <w:t>Board and Board Committee Practices</w:t>
            </w:r>
          </w:p>
          <w:p>
            <w:pPr>
              <w:pStyle w:val="TableContents"/>
              <w:bidi w:val="0"/>
              <w:spacing w:lineRule="atLeast" w:line="220" w:before="100" w:after="0"/>
              <w:ind w:left="180" w:right="0" w:hanging="0"/>
              <w:jc w:val="left"/>
              <w:rPr/>
            </w:pPr>
            <w:r>
              <w:rPr>
                <w:spacing w:val="-2"/>
              </w:rPr>
              <w:t>Board and committee self-evaluations</w:t>
            </w:r>
            <w:r>
              <w:rPr/>
              <w:t xml:space="preserve"> </w:t>
            </w:r>
            <w:r>
              <mc:AlternateContent>
                <mc:Choice Requires="wps">
                  <w:drawing>
                    <wp:anchor behindDoc="0" distT="63500" distB="0" distL="0" distR="0" simplePos="0" locked="0" layoutInCell="1" allowOverlap="1" relativeHeight="511">
                      <wp:simplePos x="0" y="0"/>
                      <wp:positionH relativeFrom="column">
                        <wp:align>left</wp:align>
                      </wp:positionH>
                      <wp:positionV relativeFrom="line">
                        <wp:align>top</wp:align>
                      </wp:positionV>
                      <wp:extent cx="114300" cy="350520"/>
                      <wp:effectExtent l="0" t="0" r="0" b="0"/>
                      <wp:wrapSquare wrapText="right"/>
                      <wp:docPr id="521" name="Frame231"/>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00" w:after="0"/>
              <w:ind w:left="180" w:right="0" w:hanging="0"/>
              <w:jc w:val="left"/>
              <w:rPr/>
            </w:pPr>
            <w:r>
              <w:rPr>
                <w:spacing w:val="-2"/>
              </w:rPr>
              <w:t>Risk oversight by full Board and Audit Committee</w:t>
            </w:r>
            <w:r>
              <w:rPr/>
              <w:t xml:space="preserve"> </w:t>
            </w:r>
            <w:r>
              <mc:AlternateContent>
                <mc:Choice Requires="wps">
                  <w:drawing>
                    <wp:anchor behindDoc="0" distT="63500" distB="0" distL="0" distR="0" simplePos="0" locked="0" layoutInCell="1" allowOverlap="1" relativeHeight="512">
                      <wp:simplePos x="0" y="0"/>
                      <wp:positionH relativeFrom="column">
                        <wp:align>left</wp:align>
                      </wp:positionH>
                      <wp:positionV relativeFrom="line">
                        <wp:align>top</wp:align>
                      </wp:positionV>
                      <wp:extent cx="114300" cy="350520"/>
                      <wp:effectExtent l="0" t="0" r="0" b="0"/>
                      <wp:wrapSquare wrapText="right"/>
                      <wp:docPr id="522" name="Frame232"/>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00" w:after="0"/>
              <w:ind w:left="180" w:right="0" w:hanging="0"/>
              <w:jc w:val="left"/>
              <w:rPr/>
            </w:pPr>
            <w:r>
              <w:rPr>
                <w:spacing w:val="-2"/>
              </w:rPr>
              <w:t>ESG oversight</w:t>
            </w:r>
            <w:r>
              <w:rPr/>
              <w:t xml:space="preserve"> </w:t>
            </w:r>
            <w:r>
              <mc:AlternateContent>
                <mc:Choice Requires="wps">
                  <w:drawing>
                    <wp:anchor behindDoc="0" distT="63500" distB="0" distL="0" distR="0" simplePos="0" locked="0" layoutInCell="1" allowOverlap="1" relativeHeight="513">
                      <wp:simplePos x="0" y="0"/>
                      <wp:positionH relativeFrom="column">
                        <wp:align>left</wp:align>
                      </wp:positionH>
                      <wp:positionV relativeFrom="line">
                        <wp:align>top</wp:align>
                      </wp:positionV>
                      <wp:extent cx="114300" cy="350520"/>
                      <wp:effectExtent l="0" t="0" r="0" b="0"/>
                      <wp:wrapSquare wrapText="right"/>
                      <wp:docPr id="523" name="Frame233"/>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00" w:after="0"/>
              <w:ind w:left="180" w:right="0" w:hanging="0"/>
              <w:jc w:val="left"/>
              <w:rPr>
                <w:spacing w:val="-2"/>
              </w:rPr>
            </w:pPr>
            <w:r>
              <w:rPr>
                <w:spacing w:val="-2"/>
              </w:rPr>
              <w:t xml:space="preserve">Robust stockholder engagement </w:t>
            </w:r>
            <w:r>
              <mc:AlternateContent>
                <mc:Choice Requires="wps">
                  <w:drawing>
                    <wp:anchor behindDoc="0" distT="63500" distB="0" distL="0" distR="0" simplePos="0" locked="0" layoutInCell="1" allowOverlap="1" relativeHeight="514">
                      <wp:simplePos x="0" y="0"/>
                      <wp:positionH relativeFrom="column">
                        <wp:align>left</wp:align>
                      </wp:positionH>
                      <wp:positionV relativeFrom="line">
                        <wp:align>top</wp:align>
                      </wp:positionV>
                      <wp:extent cx="114300" cy="350520"/>
                      <wp:effectExtent l="0" t="0" r="0" b="0"/>
                      <wp:wrapSquare wrapText="right"/>
                      <wp:docPr id="524" name="Frame234"/>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83AD40"/>
            </w:tcBorders>
            <w:vAlign w:val="center"/>
          </w:tcPr>
          <w:p>
            <w:pPr>
              <w:pStyle w:val="TableContents"/>
              <w:bidi w:val="0"/>
              <w:spacing w:before="0" w:after="283"/>
              <w:jc w:val="left"/>
              <w:rPr/>
            </w:pPr>
            <w:r>
              <w:rPr/>
              <w:t>​</w:t>
            </w:r>
          </w:p>
        </w:tc>
        <w:tc>
          <w:tcPr>
            <w:tcW w:w="109" w:type="dxa"/>
            <w:tcBorders>
              <w:bottom w:val="single" w:sz="2" w:space="0" w:color="83AD40"/>
            </w:tcBorders>
            <w:shd w:fill="83AD40" w:val="clear"/>
            <w:vAlign w:val="center"/>
          </w:tcPr>
          <w:p>
            <w:pPr>
              <w:pStyle w:val="TableContents"/>
              <w:bidi w:val="0"/>
              <w:spacing w:before="0" w:after="283"/>
              <w:jc w:val="left"/>
              <w:rPr/>
            </w:pPr>
            <w:r>
              <w:rPr/>
              <w:t>​</w:t>
            </w:r>
          </w:p>
        </w:tc>
        <w:tc>
          <w:tcPr>
            <w:tcW w:w="109" w:type="dxa"/>
            <w:tcBorders>
              <w:bottom w:val="single" w:sz="6" w:space="0" w:color="83AD40"/>
            </w:tcBorders>
            <w:vAlign w:val="center"/>
          </w:tcPr>
          <w:p>
            <w:pPr>
              <w:pStyle w:val="TableContents"/>
              <w:bidi w:val="0"/>
              <w:spacing w:before="0" w:after="283"/>
              <w:jc w:val="left"/>
              <w:rPr/>
            </w:pPr>
            <w:r>
              <w:rPr/>
              <w:t>​</w:t>
            </w:r>
          </w:p>
        </w:tc>
        <w:tc>
          <w:tcPr>
            <w:tcW w:w="2188" w:type="dxa"/>
            <w:tcBorders>
              <w:bottom w:val="single" w:sz="6" w:space="0" w:color="83AD40"/>
            </w:tcBorders>
            <w:tcMar>
              <w:bottom w:w="300" w:type="dxa"/>
            </w:tcMar>
            <w:vAlign w:val="center"/>
          </w:tcPr>
          <w:p>
            <w:pPr>
              <w:pStyle w:val="TableContents"/>
              <w:bidi w:val="0"/>
              <w:spacing w:before="0" w:after="0"/>
              <w:jc w:val="left"/>
              <w:rPr>
                <w:b/>
                <w:color w:val="1F2668"/>
              </w:rPr>
            </w:pPr>
            <w:r>
              <w:rPr>
                <w:b/>
                <w:color w:val="1F2668"/>
              </w:rPr>
              <w:t>Stockholder Rights</w:t>
            </w:r>
          </w:p>
          <w:p>
            <w:pPr>
              <w:pStyle w:val="TableContents"/>
              <w:bidi w:val="0"/>
              <w:spacing w:lineRule="atLeast" w:line="180" w:before="280" w:after="0"/>
              <w:ind w:left="180" w:right="0" w:hanging="0"/>
              <w:jc w:val="left"/>
              <w:rPr/>
            </w:pPr>
            <w:r>
              <w:rPr>
                <w:spacing w:val="-2"/>
              </w:rPr>
              <w:t>Annual election of all directors</w:t>
            </w:r>
            <w:r>
              <w:rPr/>
              <w:t xml:space="preserve"> </w:t>
            </w:r>
            <w:r>
              <mc:AlternateContent>
                <mc:Choice Requires="wps">
                  <w:drawing>
                    <wp:anchor behindDoc="0" distT="177800" distB="0" distL="0" distR="0" simplePos="0" locked="0" layoutInCell="1" allowOverlap="1" relativeHeight="515">
                      <wp:simplePos x="0" y="0"/>
                      <wp:positionH relativeFrom="column">
                        <wp:align>left</wp:align>
                      </wp:positionH>
                      <wp:positionV relativeFrom="line">
                        <wp:align>top</wp:align>
                      </wp:positionV>
                      <wp:extent cx="114300" cy="350520"/>
                      <wp:effectExtent l="0" t="0" r="0" b="0"/>
                      <wp:wrapSquare wrapText="right"/>
                      <wp:docPr id="525" name="Frame235"/>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14pt;mso-wrap-distance-bottom:0pt;margin-top:14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00" w:after="0"/>
              <w:ind w:left="180" w:right="0" w:hanging="0"/>
              <w:jc w:val="left"/>
              <w:rPr/>
            </w:pPr>
            <w:r>
              <w:rPr>
                <w:spacing w:val="-2"/>
              </w:rPr>
              <w:t>Majority voting standard for director elections</w:t>
            </w:r>
            <w:r>
              <w:rPr/>
              <w:t xml:space="preserve"> </w:t>
            </w:r>
            <w:r>
              <mc:AlternateContent>
                <mc:Choice Requires="wps">
                  <w:drawing>
                    <wp:anchor behindDoc="0" distT="63500" distB="0" distL="0" distR="0" simplePos="0" locked="0" layoutInCell="1" allowOverlap="1" relativeHeight="516">
                      <wp:simplePos x="0" y="0"/>
                      <wp:positionH relativeFrom="column">
                        <wp:align>left</wp:align>
                      </wp:positionH>
                      <wp:positionV relativeFrom="line">
                        <wp:align>top</wp:align>
                      </wp:positionV>
                      <wp:extent cx="114300" cy="350520"/>
                      <wp:effectExtent l="0" t="0" r="0" b="0"/>
                      <wp:wrapSquare wrapText="right"/>
                      <wp:docPr id="526" name="Frame236"/>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00" w:after="0"/>
              <w:ind w:left="180" w:right="0" w:hanging="0"/>
              <w:jc w:val="left"/>
              <w:rPr/>
            </w:pPr>
            <w:r>
              <w:rPr>
                <w:spacing w:val="-2"/>
              </w:rPr>
              <w:t>Stockholder ability to amend bylaws by majority vote</w:t>
            </w:r>
            <w:r>
              <w:rPr/>
              <w:t xml:space="preserve"> </w:t>
            </w:r>
            <w:r>
              <mc:AlternateContent>
                <mc:Choice Requires="wps">
                  <w:drawing>
                    <wp:anchor behindDoc="0" distT="63500" distB="0" distL="0" distR="0" simplePos="0" locked="0" layoutInCell="1" allowOverlap="1" relativeHeight="517">
                      <wp:simplePos x="0" y="0"/>
                      <wp:positionH relativeFrom="column">
                        <wp:align>left</wp:align>
                      </wp:positionH>
                      <wp:positionV relativeFrom="line">
                        <wp:align>top</wp:align>
                      </wp:positionV>
                      <wp:extent cx="114300" cy="350520"/>
                      <wp:effectExtent l="0" t="0" r="0" b="0"/>
                      <wp:wrapSquare wrapText="right"/>
                      <wp:docPr id="527" name="Frame237"/>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00" w:after="0"/>
              <w:ind w:left="180" w:right="0" w:hanging="0"/>
              <w:jc w:val="left"/>
              <w:rPr/>
            </w:pPr>
            <w:r>
              <w:rPr>
                <w:spacing w:val="-2"/>
              </w:rPr>
              <w:t>Proxy access bylaw provision</w:t>
            </w:r>
            <w:r>
              <w:rPr/>
              <w:t xml:space="preserve"> </w:t>
            </w:r>
            <w:r>
              <mc:AlternateContent>
                <mc:Choice Requires="wps">
                  <w:drawing>
                    <wp:anchor behindDoc="0" distT="63500" distB="0" distL="0" distR="0" simplePos="0" locked="0" layoutInCell="1" allowOverlap="1" relativeHeight="518">
                      <wp:simplePos x="0" y="0"/>
                      <wp:positionH relativeFrom="column">
                        <wp:align>left</wp:align>
                      </wp:positionH>
                      <wp:positionV relativeFrom="line">
                        <wp:align>top</wp:align>
                      </wp:positionV>
                      <wp:extent cx="114300" cy="350520"/>
                      <wp:effectExtent l="0" t="0" r="0" b="0"/>
                      <wp:wrapSquare wrapText="right"/>
                      <wp:docPr id="528" name="Frame238"/>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6" w:type="dxa"/>
            <w:tcBorders>
              <w:bottom w:val="single" w:sz="6" w:space="0" w:color="83AD40"/>
            </w:tcBorders>
            <w:vAlign w:val="center"/>
          </w:tcPr>
          <w:p>
            <w:pPr>
              <w:pStyle w:val="TableContents"/>
              <w:bidi w:val="0"/>
              <w:spacing w:before="0" w:after="283"/>
              <w:jc w:val="left"/>
              <w:rPr/>
            </w:pPr>
            <w:r>
              <w:rPr/>
              <w:t>​</w:t>
            </w:r>
          </w:p>
        </w:tc>
      </w:tr>
    </w:tbl>
    <w:p>
      <w:pPr>
        <w:pStyle w:val="TextBody"/>
        <w:bidi w:val="0"/>
        <w:spacing w:lineRule="atLeast" w:line="300" w:before="350" w:after="283"/>
        <w:ind w:left="900" w:right="0" w:hanging="0"/>
        <w:jc w:val="left"/>
        <w:rPr>
          <w:rFonts w:ascii="Arial;Helvetica;sans-serif" w:hAnsi="Arial;Helvetica;sans-serif"/>
          <w:b/>
          <w:i w:val="false"/>
          <w:caps w:val="false"/>
          <w:smallCaps w:val="false"/>
          <w:color w:val="1F2668"/>
          <w:sz w:val="26"/>
        </w:rPr>
      </w:pPr>
      <w:r>
        <w:rPr>
          <w:rFonts w:ascii="Arial;Helvetica;sans-serif" w:hAnsi="Arial;Helvetica;sans-serif"/>
          <w:b/>
          <w:i w:val="false"/>
          <w:caps w:val="false"/>
          <w:smallCaps w:val="false"/>
          <w:color w:val="1F2668"/>
          <w:spacing w:val="-3"/>
          <w:sz w:val="26"/>
        </w:rPr>
        <w:t>Board Oversight of Strategy</w:t>
      </w:r>
      <w:r>
        <w:rPr>
          <w:rFonts w:ascii="Arial;Helvetica;sans-serif" w:hAnsi="Arial;Helvetica;sans-serif"/>
          <w:b/>
          <w:i w:val="false"/>
          <w:caps w:val="false"/>
          <w:smallCaps w:val="false"/>
          <w:color w:val="000000"/>
          <w:spacing w:val="5"/>
          <w:sz w:val="26"/>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One of the most important functions of the Board relates to its role in formulating and overseeing the execution of our business strategy. In order to do this, the Board:</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80" w:after="0"/>
        <w:ind w:left="11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actively participates with management in the formulation and refinement of our business strategy to help ensure that our strategic goals are thoughtfully constructed and well-articulated;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14300" distB="0" distL="0" distR="0" simplePos="0" locked="0" layoutInCell="1" allowOverlap="1" relativeHeight="519">
                <wp:simplePos x="0" y="0"/>
                <wp:positionH relativeFrom="column">
                  <wp:align>left</wp:align>
                </wp:positionH>
                <wp:positionV relativeFrom="line">
                  <wp:align>top</wp:align>
                </wp:positionV>
                <wp:extent cx="127000" cy="350520"/>
                <wp:effectExtent l="0" t="0" r="0" b="0"/>
                <wp:wrapSquare wrapText="right"/>
                <wp:docPr id="529" name="Frame2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9pt;mso-wrap-distance-bottom:0pt;margin-top:9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20" w:before="60" w:after="0"/>
        <w:ind w:left="11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periodically meets with our management and external advisors in full day or multi-day sessions focused on long-term strategic planning;</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38100" distB="0" distL="0" distR="0" simplePos="0" locked="0" layoutInCell="1" allowOverlap="1" relativeHeight="520">
                <wp:simplePos x="0" y="0"/>
                <wp:positionH relativeFrom="column">
                  <wp:align>left</wp:align>
                </wp:positionH>
                <wp:positionV relativeFrom="line">
                  <wp:align>top</wp:align>
                </wp:positionV>
                <wp:extent cx="127000" cy="350520"/>
                <wp:effectExtent l="0" t="0" r="0" b="0"/>
                <wp:wrapSquare wrapText="right"/>
                <wp:docPr id="530" name="Frame2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20" w:before="60" w:after="0"/>
        <w:ind w:left="11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no less than quarterly, receives updates from management regarding progress toward strategic goals, changes in market conditions, and external opportunities and challenges in order to assist our management;</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38100" distB="0" distL="0" distR="0" simplePos="0" locked="0" layoutInCell="1" allowOverlap="1" relativeHeight="521">
                <wp:simplePos x="0" y="0"/>
                <wp:positionH relativeFrom="column">
                  <wp:align>left</wp:align>
                </wp:positionH>
                <wp:positionV relativeFrom="line">
                  <wp:align>top</wp:align>
                </wp:positionV>
                <wp:extent cx="127000" cy="350520"/>
                <wp:effectExtent l="0" t="0" r="0" b="0"/>
                <wp:wrapSquare wrapText="right"/>
                <wp:docPr id="531" name="Frame2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20" w:before="60" w:after="0"/>
        <w:ind w:left="11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monitors and evaluates performance and actively engages with senior management;</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38100" distB="0" distL="0" distR="0" simplePos="0" locked="0" layoutInCell="1" allowOverlap="1" relativeHeight="522">
                <wp:simplePos x="0" y="0"/>
                <wp:positionH relativeFrom="column">
                  <wp:align>left</wp:align>
                </wp:positionH>
                <wp:positionV relativeFrom="line">
                  <wp:align>top</wp:align>
                </wp:positionV>
                <wp:extent cx="127000" cy="350520"/>
                <wp:effectExtent l="0" t="0" r="0" b="0"/>
                <wp:wrapSquare wrapText="right"/>
                <wp:docPr id="532" name="Frame2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20" w:before="60" w:after="0"/>
        <w:ind w:left="11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discusses aspects of our business strategy at every meeting, and includes key elements of our strategy in the work performed by the committees of the Board; and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38100" distB="0" distL="0" distR="0" simplePos="0" locked="0" layoutInCell="1" allowOverlap="1" relativeHeight="523">
                <wp:simplePos x="0" y="0"/>
                <wp:positionH relativeFrom="column">
                  <wp:align>left</wp:align>
                </wp:positionH>
                <wp:positionV relativeFrom="line">
                  <wp:align>top</wp:align>
                </wp:positionV>
                <wp:extent cx="127000" cy="350520"/>
                <wp:effectExtent l="0" t="0" r="0" b="0"/>
                <wp:wrapSquare wrapText="right"/>
                <wp:docPr id="533" name="Frame2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20" w:before="60" w:after="0"/>
        <w:ind w:left="11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oversees financial and operational performance, including sustainability, social and governance goals, and related metrics.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38100" distB="0" distL="0" distR="0" simplePos="0" locked="0" layoutInCell="1" allowOverlap="1" relativeHeight="524">
                <wp:simplePos x="0" y="0"/>
                <wp:positionH relativeFrom="column">
                  <wp:align>left</wp:align>
                </wp:positionH>
                <wp:positionV relativeFrom="line">
                  <wp:align>top</wp:align>
                </wp:positionV>
                <wp:extent cx="127000" cy="350520"/>
                <wp:effectExtent l="0" t="0" r="0" b="0"/>
                <wp:wrapSquare wrapText="right"/>
                <wp:docPr id="534" name="Frame2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Arial;Helvetica;sans-serif" w:hAnsi="Arial;Helvetica;sans-serif"/>
          <w:b w:val="false"/>
          <w:i w:val="false"/>
          <w:caps w:val="false"/>
          <w:smallCaps w:val="false"/>
          <w:color w:val="000000"/>
          <w:spacing w:val="-2"/>
          <w:sz w:val="18"/>
        </w:rPr>
      </w:pPr>
      <w:r>
        <w:rPr>
          <w:rFonts w:ascii="Arial;Helvetica;sans-serif" w:hAnsi="Arial;Helvetica;sans-serif"/>
          <w:b w:val="false"/>
          <w:i w:val="false"/>
          <w:caps w:val="false"/>
          <w:smallCaps w:val="false"/>
          <w:color w:val="000000"/>
          <w:spacing w:val="-2"/>
          <w:sz w:val="18"/>
        </w:rPr>
        <w:t xml:space="preserve">The Board believes that, through these ongoing efforts, it is able to focus on our performance over the short, intermediate and long term to secure the continuing health and success of the business for our stockholders.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225" w:type="dxa"/>
        <w:jc w:val="left"/>
        <w:tblInd w:w="900" w:type="dxa"/>
        <w:tblLayout w:type="fixed"/>
        <w:tblCellMar>
          <w:top w:w="0" w:type="dxa"/>
          <w:left w:w="0" w:type="dxa"/>
          <w:bottom w:w="0" w:type="dxa"/>
          <w:right w:w="0" w:type="dxa"/>
        </w:tblCellMar>
      </w:tblPr>
      <w:tblGrid>
        <w:gridCol w:w="124"/>
        <w:gridCol w:w="346"/>
        <w:gridCol w:w="109"/>
        <w:gridCol w:w="109"/>
        <w:gridCol w:w="4383"/>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30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383" w:type="dxa"/>
            <w:tcBorders/>
            <w:vAlign w:val="center"/>
          </w:tcPr>
          <w:p>
            <w:pPr>
              <w:pStyle w:val="TableContents"/>
              <w:bidi w:val="0"/>
              <w:spacing w:lineRule="atLeast" w:line="200" w:before="0" w:after="0"/>
              <w:jc w:val="left"/>
              <w:rPr/>
            </w:pPr>
            <w:r>
              <w:rPr>
                <w:spacing w:val="-2"/>
              </w:rPr>
              <w:t>    </w:t>
            </w:r>
            <w:r>
              <w:rPr>
                <w:spacing w:val="-2"/>
                <w:sz w:val="16"/>
              </w:rPr>
              <w:t>SL GREEN REALTY CORP. 2026 PROXY STATEMENT</w:t>
            </w:r>
            <w:r>
              <w:rPr>
                <w:sz w:val="16"/>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300" w:before="560" w:after="154"/>
        <w:ind w:left="900" w:right="0" w:hanging="0"/>
        <w:jc w:val="left"/>
        <w:rPr>
          <w:rFonts w:ascii="Arial;Helvetica;sans-serif" w:hAnsi="Arial;Helvetica;sans-serif"/>
          <w:b/>
          <w:i w:val="false"/>
          <w:caps w:val="false"/>
          <w:smallCaps w:val="false"/>
          <w:color w:val="1F2668"/>
          <w:sz w:val="26"/>
        </w:rPr>
      </w:pPr>
      <w:r>
        <w:rPr>
          <w:rFonts w:ascii="Arial;Helvetica;sans-serif" w:hAnsi="Arial;Helvetica;sans-serif"/>
          <w:b/>
          <w:i w:val="false"/>
          <w:caps w:val="false"/>
          <w:smallCaps w:val="false"/>
          <w:color w:val="1F2668"/>
          <w:spacing w:val="-3"/>
          <w:sz w:val="26"/>
        </w:rPr>
        <w:t>Enterprise Risk Management Oversight</w:t>
      </w:r>
      <w:r>
        <w:rPr>
          <w:rFonts w:ascii="Arial;Helvetica;sans-serif" w:hAnsi="Arial;Helvetica;sans-serif"/>
          <w:b/>
          <w:i w:val="false"/>
          <w:caps w:val="false"/>
          <w:smallCaps w:val="false"/>
          <w:color w:val="000000"/>
          <w:spacing w:val="5"/>
          <w:sz w:val="26"/>
        </w:rPr>
        <w:t xml:space="preserve"> </w:t>
      </w:r>
    </w:p>
    <w:tbl>
      <w:tblPr>
        <w:tblW w:w="605" w:type="dxa"/>
        <w:jc w:val="left"/>
        <w:tblInd w:w="90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9305" w:type="dxa"/>
        <w:jc w:val="left"/>
        <w:tblInd w:w="900" w:type="dxa"/>
        <w:tblLayout w:type="fixed"/>
        <w:tblCellMar>
          <w:top w:w="0" w:type="dxa"/>
          <w:left w:w="0" w:type="dxa"/>
          <w:bottom w:w="0" w:type="dxa"/>
          <w:right w:w="0" w:type="dxa"/>
        </w:tblCellMar>
      </w:tblPr>
      <w:tblGrid>
        <w:gridCol w:w="124"/>
        <w:gridCol w:w="109"/>
        <w:gridCol w:w="88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809" w:type="dxa"/>
            <w:tcBorders/>
            <w:shd w:fill="1F2668" w:val="clear"/>
            <w:vAlign w:val="center"/>
          </w:tcPr>
          <w:p>
            <w:pPr>
              <w:pStyle w:val="TableContents"/>
              <w:bidi w:val="0"/>
              <w:spacing w:lineRule="atLeast" w:line="260" w:before="0" w:after="0"/>
              <w:ind w:left="0" w:right="160" w:hanging="0"/>
              <w:jc w:val="left"/>
              <w:rPr>
                <w:b/>
                <w:sz w:val="22"/>
              </w:rPr>
            </w:pPr>
            <w:r>
              <w:rPr>
                <w:b/>
                <w:spacing w:val="-2"/>
                <w:sz w:val="22"/>
              </w:rPr>
              <w:t>Board</w:t>
            </w:r>
            <w:r>
              <w:rPr>
                <w:b/>
                <w:sz w:val="22"/>
              </w:rPr>
              <w:t xml:space="preserve"> </w:t>
            </w:r>
          </w:p>
          <w:p>
            <w:pPr>
              <w:pStyle w:val="TableContents"/>
              <w:bidi w:val="0"/>
              <w:spacing w:lineRule="atLeast" w:line="220" w:before="120" w:after="283"/>
              <w:ind w:left="0" w:right="160" w:hanging="0"/>
              <w:jc w:val="left"/>
              <w:rPr/>
            </w:pPr>
            <w:r>
              <w:rPr>
                <w:spacing w:val="-2"/>
              </w:rPr>
              <w:t>The Board is responsible for overseeing the Company’s risk management process. Both directly and through its committees, the Board focuses on the Company’s general risk management strategy and the most significant risks facing the Company and ensures that appropriate risk mitigation strategies are implemented by management. In particular, the Board focuses on overseeing risks relating to the financial health of the Company, including the structure, composition and amount of our debt, broad market and portfolio conditions, status of development projects, ESG issues, succession planning and other material risks facing the Company.</w:t>
            </w:r>
            <w:r>
              <w:rPr/>
              <w:t xml:space="preserve"> </w:t>
            </w:r>
          </w:p>
        </w:tc>
        <w:tc>
          <w:tcPr>
            <w:tcW w:w="109" w:type="dxa"/>
            <w:tcBorders/>
            <w:vAlign w:val="center"/>
          </w:tcPr>
          <w:p>
            <w:pPr>
              <w:pStyle w:val="TableContents"/>
              <w:bidi w:val="0"/>
              <w:spacing w:before="0" w:after="283"/>
              <w:jc w:val="left"/>
              <w:rPr/>
            </w:pPr>
            <w:r>
              <w:rPr/>
              <w:t>​</w:t>
            </w:r>
          </w:p>
        </w:tc>
        <w:tc>
          <w:tcPr>
            <w:tcW w:w="154" w:type="dxa"/>
            <w:tcBorders/>
            <w:shd w:fill="1F2668" w:val="clear"/>
            <w:vAlign w:val="center"/>
          </w:tcPr>
          <w:p>
            <w:pPr>
              <w:pStyle w:val="TableContents"/>
              <w:bidi w:val="0"/>
              <w:spacing w:before="0" w:after="283"/>
              <w:jc w:val="left"/>
              <w:rPr/>
            </w:pPr>
            <w:r>
              <w:rPr/>
              <w:t>​</w:t>
            </w:r>
          </w:p>
        </w:tc>
      </w:tr>
    </w:tbl>
    <w:tbl>
      <w:tblPr>
        <w:tblW w:w="1227" w:type="dxa"/>
        <w:jc w:val="left"/>
        <w:tblInd w:w="900" w:type="dxa"/>
        <w:tblLayout w:type="fixed"/>
        <w:tblCellMar>
          <w:top w:w="0" w:type="dxa"/>
          <w:left w:w="0" w:type="dxa"/>
          <w:bottom w:w="0" w:type="dxa"/>
          <w:right w:w="0" w:type="dxa"/>
        </w:tblCellMar>
      </w:tblPr>
      <w:tblGrid>
        <w:gridCol w:w="124"/>
        <w:gridCol w:w="109"/>
        <w:gridCol w:w="731"/>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1" w:type="dxa"/>
            <w:tcBorders/>
            <w:vAlign w:val="center"/>
          </w:tcPr>
          <w:p>
            <w:pPr>
              <w:pStyle w:val="TableContents"/>
              <w:bidi w:val="0"/>
              <w:spacing w:before="0" w:after="0"/>
              <w:ind w:left="0" w:right="240" w:hanging="0"/>
              <w:jc w:val="center"/>
              <w:rPr/>
            </w:pPr>
            <w:r>
              <w:rPr/>
              <w:drawing>
                <wp:inline distT="0" distB="0" distL="0" distR="0">
                  <wp:extent cx="219075" cy="114300"/>
                  <wp:effectExtent l="0" t="0" r="0" b="0"/>
                  <wp:docPr id="535" name="Image2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5" name="Image210" descr=""/>
                          <pic:cNvPicPr>
                            <a:picLocks noChangeAspect="1" noChangeArrowheads="1"/>
                          </pic:cNvPicPr>
                        </pic:nvPicPr>
                        <pic:blipFill>
                          <a:blip r:embed="rId298"/>
                          <a:stretch>
                            <a:fillRect/>
                          </a:stretch>
                        </pic:blipFill>
                        <pic:spPr bwMode="auto">
                          <a:xfrm>
                            <a:off x="0" y="0"/>
                            <a:ext cx="219075" cy="1143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9305" w:type="dxa"/>
        <w:jc w:val="left"/>
        <w:tblInd w:w="900" w:type="dxa"/>
        <w:tblLayout w:type="fixed"/>
        <w:tblCellMar>
          <w:top w:w="0" w:type="dxa"/>
          <w:left w:w="0" w:type="dxa"/>
          <w:bottom w:w="0" w:type="dxa"/>
          <w:right w:w="0" w:type="dxa"/>
        </w:tblCellMar>
      </w:tblPr>
      <w:tblGrid>
        <w:gridCol w:w="124"/>
        <w:gridCol w:w="109"/>
        <w:gridCol w:w="2847"/>
        <w:gridCol w:w="109"/>
        <w:gridCol w:w="109"/>
        <w:gridCol w:w="109"/>
        <w:gridCol w:w="2859"/>
        <w:gridCol w:w="109"/>
        <w:gridCol w:w="109"/>
        <w:gridCol w:w="109"/>
        <w:gridCol w:w="2447"/>
        <w:gridCol w:w="109"/>
        <w:gridCol w:w="156"/>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47" w:type="dxa"/>
            <w:tcBorders/>
            <w:shd w:fill="D8D8D8" w:val="clear"/>
            <w:vAlign w:val="center"/>
          </w:tcPr>
          <w:p>
            <w:pPr>
              <w:pStyle w:val="TableContents"/>
              <w:bidi w:val="0"/>
              <w:spacing w:lineRule="atLeast" w:line="220" w:before="0" w:after="0"/>
              <w:ind w:left="0" w:right="480" w:hanging="0"/>
              <w:jc w:val="left"/>
              <w:rPr>
                <w:b/>
                <w:color w:val="1F2668"/>
                <w:sz w:val="22"/>
              </w:rPr>
            </w:pPr>
            <w:r>
              <w:rPr>
                <w:b/>
                <w:color w:val="1F2668"/>
                <w:spacing w:val="-2"/>
                <w:sz w:val="22"/>
              </w:rPr>
              <w:t>Audit Committee</w:t>
            </w:r>
            <w:r>
              <w:rPr>
                <w:b/>
                <w:color w:val="1F2668"/>
                <w:sz w:val="22"/>
              </w:rPr>
              <w:t xml:space="preserve"> </w:t>
            </w:r>
          </w:p>
          <w:p>
            <w:pPr>
              <w:pStyle w:val="TableContents"/>
              <w:bidi w:val="0"/>
              <w:spacing w:lineRule="atLeast" w:line="220" w:before="160" w:after="0"/>
              <w:ind w:left="180" w:right="480" w:hanging="0"/>
              <w:jc w:val="left"/>
              <w:rPr/>
            </w:pPr>
            <w:r>
              <w:rPr>
                <w:spacing w:val="-2"/>
              </w:rPr>
              <w:t>Oversees the Company’s risk management process</w:t>
            </w:r>
            <w:r>
              <w:rPr/>
              <w:t xml:space="preserve"> </w:t>
            </w:r>
            <w:r>
              <mc:AlternateContent>
                <mc:Choice Requires="wps">
                  <w:drawing>
                    <wp:anchor behindDoc="0" distT="101600" distB="0" distL="0" distR="0" simplePos="0" locked="0" layoutInCell="1" allowOverlap="1" relativeHeight="525">
                      <wp:simplePos x="0" y="0"/>
                      <wp:positionH relativeFrom="column">
                        <wp:align>left</wp:align>
                      </wp:positionH>
                      <wp:positionV relativeFrom="line">
                        <wp:align>top</wp:align>
                      </wp:positionV>
                      <wp:extent cx="114300" cy="350520"/>
                      <wp:effectExtent l="0" t="0" r="0" b="0"/>
                      <wp:wrapSquare wrapText="right"/>
                      <wp:docPr id="536" name="Frame245"/>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00" w:after="0"/>
              <w:ind w:left="180" w:right="480" w:hanging="0"/>
              <w:jc w:val="left"/>
              <w:rPr/>
            </w:pPr>
            <w:r>
              <w:rPr>
                <w:spacing w:val="-2"/>
              </w:rPr>
              <w:t>Reviews with management (a) Company policies with respect to risk assessment and management of risks that may be material to the Company, (b) disclosure controls and internal controls over financial reporting and (c) the Company’s compliance with legal and regulatory requirements</w:t>
            </w:r>
            <w:r>
              <w:rPr/>
              <w:t xml:space="preserve"> </w:t>
            </w:r>
            <w:r>
              <mc:AlternateContent>
                <mc:Choice Requires="wps">
                  <w:drawing>
                    <wp:anchor behindDoc="0" distT="63500" distB="0" distL="0" distR="0" simplePos="0" locked="0" layoutInCell="1" allowOverlap="1" relativeHeight="526">
                      <wp:simplePos x="0" y="0"/>
                      <wp:positionH relativeFrom="column">
                        <wp:align>left</wp:align>
                      </wp:positionH>
                      <wp:positionV relativeFrom="line">
                        <wp:align>top</wp:align>
                      </wp:positionV>
                      <wp:extent cx="114300" cy="350520"/>
                      <wp:effectExtent l="0" t="0" r="0" b="0"/>
                      <wp:wrapSquare wrapText="right"/>
                      <wp:docPr id="537" name="Frame246"/>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00" w:after="0"/>
              <w:ind w:left="180" w:right="480" w:hanging="0"/>
              <w:jc w:val="left"/>
              <w:rPr>
                <w:spacing w:val="-2"/>
              </w:rPr>
            </w:pPr>
            <w:r>
              <w:rPr>
                <w:spacing w:val="-2"/>
              </w:rPr>
              <w:t xml:space="preserve">Reviews major legislative and regulatory developments that could have a material impact on the Company’s contingent liabilities and risks </w:t>
            </w:r>
            <w:r>
              <mc:AlternateContent>
                <mc:Choice Requires="wps">
                  <w:drawing>
                    <wp:anchor behindDoc="0" distT="63500" distB="0" distL="0" distR="0" simplePos="0" locked="0" layoutInCell="1" allowOverlap="1" relativeHeight="527">
                      <wp:simplePos x="0" y="0"/>
                      <wp:positionH relativeFrom="column">
                        <wp:align>left</wp:align>
                      </wp:positionH>
                      <wp:positionV relativeFrom="line">
                        <wp:align>top</wp:align>
                      </wp:positionV>
                      <wp:extent cx="114300" cy="350520"/>
                      <wp:effectExtent l="0" t="0" r="0" b="0"/>
                      <wp:wrapSquare wrapText="right"/>
                      <wp:docPr id="538" name="Frame247"/>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shd w:fill="83AD40"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859" w:type="dxa"/>
            <w:tcBorders/>
            <w:shd w:fill="D8D8D8" w:val="clear"/>
            <w:vAlign w:val="center"/>
          </w:tcPr>
          <w:p>
            <w:pPr>
              <w:pStyle w:val="TableContents"/>
              <w:bidi w:val="0"/>
              <w:spacing w:lineRule="atLeast" w:line="220" w:before="0" w:after="0"/>
              <w:ind w:left="120" w:right="360" w:hanging="0"/>
              <w:jc w:val="left"/>
              <w:rPr>
                <w:b/>
                <w:color w:val="1F2668"/>
                <w:sz w:val="22"/>
              </w:rPr>
            </w:pPr>
            <w:r>
              <w:rPr>
                <w:b/>
                <w:color w:val="1F2668"/>
                <w:spacing w:val="-2"/>
                <w:sz w:val="22"/>
              </w:rPr>
              <w:t>Compensation Committee</w:t>
            </w:r>
            <w:r>
              <w:rPr>
                <w:b/>
                <w:color w:val="1F2668"/>
                <w:sz w:val="22"/>
              </w:rPr>
              <w:t xml:space="preserve"> </w:t>
            </w:r>
          </w:p>
          <w:p>
            <w:pPr>
              <w:pStyle w:val="TableContents"/>
              <w:bidi w:val="0"/>
              <w:spacing w:lineRule="atLeast" w:line="220" w:before="160" w:after="0"/>
              <w:ind w:left="300" w:right="360" w:hanging="0"/>
              <w:jc w:val="left"/>
              <w:rPr>
                <w:spacing w:val="-2"/>
              </w:rPr>
            </w:pPr>
            <w:r>
              <w:rPr>
                <w:spacing w:val="-2"/>
              </w:rPr>
              <w:t xml:space="preserve">Considers potential risks to the Company in its determinations of the overall structure of our executive compensation program, our ability to attract, retain and motivate our management team, the specific goals it establishes for our executives and the influence of incentive compensation on risk-taking </w:t>
            </w:r>
            <w:r>
              <mc:AlternateContent>
                <mc:Choice Requires="wps">
                  <w:drawing>
                    <wp:anchor behindDoc="0" distT="101600" distB="0" distL="76200" distR="0" simplePos="0" locked="0" layoutInCell="1" allowOverlap="1" relativeHeight="528">
                      <wp:simplePos x="0" y="0"/>
                      <wp:positionH relativeFrom="column">
                        <wp:align>left</wp:align>
                      </wp:positionH>
                      <wp:positionV relativeFrom="line">
                        <wp:align>top</wp:align>
                      </wp:positionV>
                      <wp:extent cx="114300" cy="350520"/>
                      <wp:effectExtent l="0" t="0" r="0" b="0"/>
                      <wp:wrapSquare wrapText="right"/>
                      <wp:docPr id="539" name="Frame248"/>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6pt;mso-wrap-distance-right:0pt;mso-wrap-distance-top:8pt;mso-wrap-distance-bottom:0pt;margin-top:8pt;mso-position-vertical:top;mso-position-vertical-relative:text;margin-left:6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83AD40" w:val="cle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447" w:type="dxa"/>
            <w:tcBorders/>
            <w:shd w:fill="D8D8D8" w:val="clear"/>
            <w:vAlign w:val="center"/>
          </w:tcPr>
          <w:p>
            <w:pPr>
              <w:pStyle w:val="TableContents"/>
              <w:bidi w:val="0"/>
              <w:spacing w:lineRule="atLeast" w:line="260" w:before="0" w:after="0"/>
              <w:ind w:left="120" w:right="360" w:hanging="0"/>
              <w:jc w:val="left"/>
              <w:rPr>
                <w:b/>
                <w:color w:val="1F2668"/>
                <w:sz w:val="22"/>
              </w:rPr>
            </w:pPr>
            <w:r>
              <w:rPr>
                <w:b/>
                <w:color w:val="1F2668"/>
                <w:spacing w:val="-2"/>
                <w:sz w:val="22"/>
              </w:rPr>
              <w:t>Nominating and Corporate Governance Committee</w:t>
            </w:r>
            <w:r>
              <w:rPr>
                <w:b/>
                <w:color w:val="1F2668"/>
                <w:sz w:val="22"/>
              </w:rPr>
              <w:t xml:space="preserve"> </w:t>
            </w:r>
          </w:p>
          <w:p>
            <w:pPr>
              <w:pStyle w:val="TableContents"/>
              <w:bidi w:val="0"/>
              <w:spacing w:lineRule="atLeast" w:line="220" w:before="160" w:after="0"/>
              <w:ind w:left="300" w:right="360" w:hanging="0"/>
              <w:jc w:val="left"/>
              <w:rPr/>
            </w:pPr>
            <w:r>
              <w:rPr>
                <w:spacing w:val="-2"/>
              </w:rPr>
              <w:t>Considers potential risks to the Company related to the composition of the Board, including succession planning, ESG matters, compliance with corporate governance guidelines and adoption of new policies and governance guidelines</w:t>
            </w:r>
            <w:r>
              <w:rPr/>
              <w:t xml:space="preserve"> </w:t>
            </w:r>
            <w:r>
              <mc:AlternateContent>
                <mc:Choice Requires="wps">
                  <w:drawing>
                    <wp:anchor behindDoc="0" distT="101600" distB="0" distL="76200" distR="0" simplePos="0" locked="0" layoutInCell="1" allowOverlap="1" relativeHeight="529">
                      <wp:simplePos x="0" y="0"/>
                      <wp:positionH relativeFrom="column">
                        <wp:align>left</wp:align>
                      </wp:positionH>
                      <wp:positionV relativeFrom="line">
                        <wp:align>top</wp:align>
                      </wp:positionV>
                      <wp:extent cx="114300" cy="350520"/>
                      <wp:effectExtent l="0" t="0" r="0" b="0"/>
                      <wp:wrapSquare wrapText="right"/>
                      <wp:docPr id="540" name="Frame249"/>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6pt;mso-wrap-distance-right:0pt;mso-wrap-distance-top:8pt;mso-wrap-distance-bottom:0pt;margin-top:8pt;mso-position-vertical:top;mso-position-vertical-relative:text;margin-left:6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56" w:type="dxa"/>
            <w:tcBorders/>
            <w:shd w:fill="D8D8D8" w:val="clear"/>
            <w:vAlign w:val="center"/>
          </w:tcPr>
          <w:p>
            <w:pPr>
              <w:pStyle w:val="TableContents"/>
              <w:bidi w:val="0"/>
              <w:spacing w:before="0" w:after="283"/>
              <w:jc w:val="left"/>
              <w:rPr/>
            </w:pPr>
            <w:r>
              <w:rPr/>
              <w:t>​</w:t>
            </w:r>
          </w:p>
        </w:tc>
      </w:tr>
    </w:tbl>
    <w:tbl>
      <w:tblPr>
        <w:tblW w:w="605" w:type="dxa"/>
        <w:jc w:val="left"/>
        <w:tblInd w:w="90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1227" w:type="dxa"/>
        <w:jc w:val="left"/>
        <w:tblInd w:w="900" w:type="dxa"/>
        <w:tblLayout w:type="fixed"/>
        <w:tblCellMar>
          <w:top w:w="0" w:type="dxa"/>
          <w:left w:w="0" w:type="dxa"/>
          <w:bottom w:w="0" w:type="dxa"/>
          <w:right w:w="0" w:type="dxa"/>
        </w:tblCellMar>
      </w:tblPr>
      <w:tblGrid>
        <w:gridCol w:w="124"/>
        <w:gridCol w:w="109"/>
        <w:gridCol w:w="731"/>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1" w:type="dxa"/>
            <w:tcBorders/>
            <w:vAlign w:val="center"/>
          </w:tcPr>
          <w:p>
            <w:pPr>
              <w:pStyle w:val="TableContents"/>
              <w:bidi w:val="0"/>
              <w:spacing w:before="0" w:after="0"/>
              <w:ind w:left="0" w:right="240" w:hanging="0"/>
              <w:jc w:val="center"/>
              <w:rPr/>
            </w:pPr>
            <w:r>
              <w:rPr/>
              <w:drawing>
                <wp:inline distT="0" distB="0" distL="0" distR="0">
                  <wp:extent cx="219075" cy="114300"/>
                  <wp:effectExtent l="0" t="0" r="0" b="0"/>
                  <wp:docPr id="541" name="Image2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 name="Image211" descr=""/>
                          <pic:cNvPicPr>
                            <a:picLocks noChangeAspect="1" noChangeArrowheads="1"/>
                          </pic:cNvPicPr>
                        </pic:nvPicPr>
                        <pic:blipFill>
                          <a:blip r:embed="rId299"/>
                          <a:stretch>
                            <a:fillRect/>
                          </a:stretch>
                        </pic:blipFill>
                        <pic:spPr bwMode="auto">
                          <a:xfrm>
                            <a:off x="0" y="0"/>
                            <a:ext cx="219075" cy="1143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605" w:type="dxa"/>
        <w:jc w:val="left"/>
        <w:tblInd w:w="90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9305" w:type="dxa"/>
        <w:jc w:val="left"/>
        <w:tblInd w:w="900" w:type="dxa"/>
        <w:tblLayout w:type="fixed"/>
        <w:tblCellMar>
          <w:top w:w="0" w:type="dxa"/>
          <w:left w:w="0" w:type="dxa"/>
          <w:bottom w:w="0" w:type="dxa"/>
          <w:right w:w="0" w:type="dxa"/>
        </w:tblCellMar>
      </w:tblPr>
      <w:tblGrid>
        <w:gridCol w:w="124"/>
        <w:gridCol w:w="109"/>
        <w:gridCol w:w="88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809" w:type="dxa"/>
            <w:tcBorders/>
            <w:shd w:fill="83AD40" w:val="clear"/>
            <w:vAlign w:val="center"/>
          </w:tcPr>
          <w:p>
            <w:pPr>
              <w:pStyle w:val="TableContents"/>
              <w:bidi w:val="0"/>
              <w:spacing w:lineRule="atLeast" w:line="260" w:before="0" w:after="0"/>
              <w:ind w:left="0" w:right="160" w:hanging="0"/>
              <w:jc w:val="left"/>
              <w:rPr>
                <w:b/>
                <w:sz w:val="22"/>
              </w:rPr>
            </w:pPr>
            <w:r>
              <w:rPr>
                <w:b/>
                <w:spacing w:val="-2"/>
                <w:sz w:val="22"/>
              </w:rPr>
              <w:t>Management</w:t>
            </w:r>
            <w:r>
              <w:rPr>
                <w:b/>
                <w:color w:val="000000"/>
                <w:sz w:val="22"/>
              </w:rPr>
              <w:t>​</w:t>
            </w:r>
            <w:r>
              <w:rPr>
                <w:b/>
                <w:sz w:val="22"/>
              </w:rPr>
              <w:t xml:space="preserve"> </w:t>
            </w:r>
          </w:p>
          <w:p>
            <w:pPr>
              <w:pStyle w:val="TableContents"/>
              <w:bidi w:val="0"/>
              <w:spacing w:lineRule="atLeast" w:line="220" w:before="120" w:after="283"/>
              <w:ind w:left="0" w:right="160" w:hanging="0"/>
              <w:jc w:val="left"/>
              <w:rPr/>
            </w:pPr>
            <w:r>
              <w:rPr>
                <w:spacing w:val="-2"/>
              </w:rPr>
              <w:t>The Company’s management is responsible for day-to-day risk management, including the primary monitoring and testing function for company-wide policies and procedures, and day-to-day oversight of the risk management strategy for the ongoing business of the Company. This oversight includes identifying, evaluating, and addressing potential risks that may exist at the enterprise, strategic, financial, operational, compliance and reporting levels.</w:t>
            </w:r>
            <w:r>
              <w:rPr/>
              <w:t xml:space="preserve"> </w:t>
            </w:r>
          </w:p>
        </w:tc>
        <w:tc>
          <w:tcPr>
            <w:tcW w:w="109" w:type="dxa"/>
            <w:tcBorders/>
            <w:vAlign w:val="center"/>
          </w:tcPr>
          <w:p>
            <w:pPr>
              <w:pStyle w:val="TableContents"/>
              <w:bidi w:val="0"/>
              <w:spacing w:before="0" w:after="283"/>
              <w:jc w:val="left"/>
              <w:rPr/>
            </w:pPr>
            <w:r>
              <w:rPr/>
              <w:t>​</w:t>
            </w:r>
          </w:p>
        </w:tc>
        <w:tc>
          <w:tcPr>
            <w:tcW w:w="154" w:type="dxa"/>
            <w:tcBorders/>
            <w:shd w:fill="83AD40" w:val="clear"/>
            <w:vAlign w:val="center"/>
          </w:tcPr>
          <w:p>
            <w:pPr>
              <w:pStyle w:val="TableContents"/>
              <w:bidi w:val="0"/>
              <w:spacing w:before="0" w:after="283"/>
              <w:jc w:val="left"/>
              <w:rPr/>
            </w:pPr>
            <w:r>
              <w:rPr/>
              <w:t>​</w:t>
            </w:r>
          </w:p>
        </w:tc>
      </w:tr>
    </w:tbl>
    <w:tbl>
      <w:tblPr>
        <w:tblW w:w="605" w:type="dxa"/>
        <w:jc w:val="left"/>
        <w:tblInd w:w="90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4" w:space="0" w:color="1F2668"/>
            </w:tcBorders>
            <w:tcMar>
              <w:bottom w:w="28" w:type="dxa"/>
            </w:tcMar>
            <w:vAlign w:val="center"/>
          </w:tcPr>
          <w:p>
            <w:pPr>
              <w:pStyle w:val="TableContents"/>
              <w:bidi w:val="0"/>
              <w:spacing w:before="0" w:after="283"/>
              <w:jc w:val="left"/>
              <w:rPr/>
            </w:pPr>
            <w:r>
              <w:rPr/>
              <w:t>​</w:t>
            </w:r>
          </w:p>
        </w:tc>
        <w:tc>
          <w:tcPr>
            <w:tcW w:w="109" w:type="dxa"/>
            <w:tcBorders>
              <w:bottom w:val="single" w:sz="24" w:space="0" w:color="1F2668"/>
            </w:tcBorders>
            <w:tcMar>
              <w:bottom w:w="28" w:type="dxa"/>
            </w:tcMar>
            <w:vAlign w:val="center"/>
          </w:tcPr>
          <w:p>
            <w:pPr>
              <w:pStyle w:val="TableContents"/>
              <w:bidi w:val="0"/>
              <w:spacing w:before="0" w:after="283"/>
              <w:jc w:val="left"/>
              <w:rPr/>
            </w:pPr>
            <w:r>
              <w:rPr/>
              <w:t>​</w:t>
            </w:r>
          </w:p>
        </w:tc>
        <w:tc>
          <w:tcPr>
            <w:tcW w:w="109" w:type="dxa"/>
            <w:tcBorders>
              <w:bottom w:val="single" w:sz="24" w:space="0" w:color="1F2668"/>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40" w:after="283"/>
        <w:ind w:left="9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All committees report to the full Board as appropriate, including when a matter rises to the level of a material or enterprise level risk.</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val="false"/>
          <w:i w:val="false"/>
          <w:caps w:val="false"/>
          <w:smallCaps w:val="false"/>
          <w:color w:val="000000"/>
          <w:spacing w:val="-2"/>
          <w:sz w:val="18"/>
        </w:rPr>
      </w:pPr>
      <w:r>
        <w:rPr>
          <w:rFonts w:ascii="Arial;Helvetica;sans-serif" w:hAnsi="Arial;Helvetica;sans-serif"/>
          <w:b w:val="false"/>
          <w:i w:val="false"/>
          <w:caps w:val="false"/>
          <w:smallCaps w:val="false"/>
          <w:color w:val="000000"/>
          <w:spacing w:val="-2"/>
          <w:sz w:val="18"/>
        </w:rPr>
        <w:t xml:space="preserve">We believe the division of risk management responsibilities described above is an effective approach for addressing the risks facing the Company and that the Board leadership structure supports this approach.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8095" w:type="dxa"/>
        <w:jc w:val="left"/>
        <w:tblInd w:w="900" w:type="dxa"/>
        <w:tblLayout w:type="fixed"/>
        <w:tblCellMar>
          <w:top w:w="0" w:type="dxa"/>
          <w:left w:w="0" w:type="dxa"/>
          <w:bottom w:w="0" w:type="dxa"/>
          <w:right w:w="0" w:type="dxa"/>
        </w:tblCellMar>
      </w:tblPr>
      <w:tblGrid>
        <w:gridCol w:w="124"/>
        <w:gridCol w:w="7253"/>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7253" w:type="dxa"/>
            <w:tcBorders/>
            <w:vAlign w:val="center"/>
          </w:tcPr>
          <w:p>
            <w:pPr>
              <w:pStyle w:val="TableContents"/>
              <w:bidi w:val="0"/>
              <w:spacing w:lineRule="atLeast" w:line="200" w:before="0" w:after="0"/>
              <w:jc w:val="left"/>
              <w:rPr/>
            </w:pPr>
            <w:r>
              <w:rPr>
                <w:spacing w:val="-2"/>
              </w:rPr>
              <w:t>OUR BOARD OF DIRECTORS AND CORPORATE GOVERNANCE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color w:val="1F2668"/>
                <w:sz w:val="24"/>
              </w:rPr>
            </w:pPr>
            <w:r>
              <w:rPr>
                <w:color w:val="1F2668"/>
                <w:sz w:val="24"/>
              </w:rPr>
              <w:t>31</w:t>
            </w:r>
          </w:p>
        </w:tc>
        <w:tc>
          <w:tcPr>
            <w:tcW w:w="154" w:type="dxa"/>
            <w:tcBorders/>
            <w:vAlign w:val="center"/>
          </w:tcPr>
          <w:p>
            <w:pPr>
              <w:pStyle w:val="TableContents"/>
              <w:bidi w:val="0"/>
              <w:spacing w:before="0" w:after="283"/>
              <w:jc w:val="left"/>
              <w:rPr/>
            </w:pPr>
            <w:r>
              <w:rPr/>
              <w:t>​</w:t>
            </w:r>
          </w:p>
        </w:tc>
      </w:tr>
    </w:tbl>
    <w:tbl>
      <w:tblPr>
        <w:tblW w:w="9305" w:type="dxa"/>
        <w:jc w:val="left"/>
        <w:tblInd w:w="900" w:type="dxa"/>
        <w:tblLayout w:type="fixed"/>
        <w:tblCellMar>
          <w:top w:w="0" w:type="dxa"/>
          <w:left w:w="0" w:type="dxa"/>
          <w:bottom w:w="0" w:type="dxa"/>
          <w:right w:w="0" w:type="dxa"/>
        </w:tblCellMar>
      </w:tblPr>
      <w:tblGrid>
        <w:gridCol w:w="124"/>
        <w:gridCol w:w="9027"/>
        <w:gridCol w:w="154"/>
      </w:tblGrid>
      <w:tr>
        <w:trPr/>
        <w:tc>
          <w:tcPr>
            <w:tcW w:w="124" w:type="dxa"/>
            <w:tcBorders/>
            <w:shd w:fill="E9F9D8" w:val="clear"/>
            <w:vAlign w:val="center"/>
          </w:tcPr>
          <w:p>
            <w:pPr>
              <w:pStyle w:val="TableContents"/>
              <w:bidi w:val="0"/>
              <w:spacing w:before="0" w:after="283"/>
              <w:jc w:val="left"/>
              <w:rPr/>
            </w:pPr>
            <w:r>
              <w:rPr/>
              <w:t>​</w:t>
            </w:r>
          </w:p>
        </w:tc>
        <w:tc>
          <w:tcPr>
            <w:tcW w:w="9027" w:type="dxa"/>
            <w:tcBorders/>
            <w:shd w:fill="E9F9D8" w:val="clear"/>
            <w:vAlign w:val="center"/>
          </w:tcPr>
          <w:p>
            <w:pPr>
              <w:pStyle w:val="TableContents"/>
              <w:bidi w:val="0"/>
              <w:spacing w:lineRule="atLeast" w:line="260" w:before="0" w:after="0"/>
              <w:jc w:val="left"/>
              <w:rPr>
                <w:b/>
                <w:color w:val="83AD40"/>
                <w:sz w:val="22"/>
              </w:rPr>
            </w:pPr>
            <w:r>
              <w:rPr>
                <w:b/>
                <w:color w:val="83AD40"/>
                <w:spacing w:val="-2"/>
                <w:sz w:val="22"/>
              </w:rPr>
              <w:t>OVERSIGHT OF CYBERSECURITY</w:t>
            </w:r>
            <w:r>
              <w:rPr>
                <w:b/>
                <w:color w:val="000000"/>
                <w:sz w:val="22"/>
              </w:rPr>
              <w:t>​</w:t>
            </w:r>
            <w:r>
              <w:rPr>
                <w:b/>
                <w:color w:val="83AD40"/>
                <w:sz w:val="22"/>
              </w:rPr>
              <w:t xml:space="preserve"> </w:t>
            </w:r>
          </w:p>
          <w:p>
            <w:pPr>
              <w:pStyle w:val="TableContents"/>
              <w:bidi w:val="0"/>
              <w:spacing w:lineRule="atLeast" w:line="220" w:before="100" w:after="283"/>
              <w:jc w:val="left"/>
              <w:rPr>
                <w:spacing w:val="-2"/>
              </w:rPr>
            </w:pPr>
            <w:r>
              <w:rPr>
                <w:spacing w:val="-2"/>
              </w:rPr>
              <w:t xml:space="preserve">Included in our Board’s oversight and approach to risk management is a focus on cybersecurity. Our Company-wide cybersecurity program is designed to protect our information assets and operations from external and internal cyber threats by seeking to mitigate and manage risks while helping to ensure business resiliency. </w:t>
            </w:r>
          </w:p>
          <w:p>
            <w:pPr>
              <w:pStyle w:val="TableContents"/>
              <w:bidi w:val="0"/>
              <w:spacing w:lineRule="atLeast" w:line="220" w:before="160" w:after="283"/>
              <w:jc w:val="left"/>
              <w:rPr>
                <w:b/>
                <w:color w:val="1F2668"/>
              </w:rPr>
            </w:pPr>
            <w:r>
              <w:rPr>
                <w:b/>
                <w:color w:val="1F2668"/>
              </w:rPr>
              <w:t>Oversight</w:t>
            </w:r>
          </w:p>
          <w:p>
            <w:pPr>
              <w:pStyle w:val="TableContents"/>
              <w:bidi w:val="0"/>
              <w:spacing w:lineRule="atLeast" w:line="220" w:before="60" w:after="283"/>
              <w:jc w:val="left"/>
              <w:rPr>
                <w:spacing w:val="-2"/>
              </w:rPr>
            </w:pPr>
            <w:r>
              <w:rPr>
                <w:spacing w:val="-2"/>
              </w:rPr>
              <w:t xml:space="preserve">The Board oversees our risk management process directly and through its committees. Pursuant to the Audit Committee charter, the Committee provides compliance oversight to our risk assessment and risk management policies and the steps management has taken to monitor and mitigate such exposures and risks. </w:t>
            </w:r>
          </w:p>
          <w:p>
            <w:pPr>
              <w:pStyle w:val="TableContents"/>
              <w:bidi w:val="0"/>
              <w:spacing w:lineRule="atLeast" w:line="220" w:before="100" w:after="283"/>
              <w:jc w:val="left"/>
              <w:rPr>
                <w:spacing w:val="-2"/>
              </w:rPr>
            </w:pPr>
            <w:r>
              <w:rPr>
                <w:spacing w:val="-2"/>
              </w:rPr>
              <w:t xml:space="preserve">Our Senior Director, Information Security &amp; Network Systems, in coordination with the Senior Vice President, Information Technology, is responsible for leading the assessment and management of cybersecurity risks and regularly reviewing and assessing cybersecurity initiatives. They are informed about and monitor the prevention, detection, mitigation, and remediation of cybersecurity incidents. </w:t>
            </w:r>
          </w:p>
          <w:p>
            <w:pPr>
              <w:pStyle w:val="TableContents"/>
              <w:bidi w:val="0"/>
              <w:spacing w:lineRule="atLeast" w:line="220" w:before="100" w:after="283"/>
              <w:jc w:val="left"/>
              <w:rPr>
                <w:spacing w:val="-2"/>
              </w:rPr>
            </w:pPr>
            <w:r>
              <w:rPr>
                <w:spacing w:val="-2"/>
              </w:rPr>
              <w:t xml:space="preserve">The Senior Vice President, Information Technology reports to the Board, the Audit Committee and management on cybersecurity risk assessment, policies, incident prevention, detection, mitigation, and remediation of cybersecurity incidents on an as needed basis. </w:t>
            </w:r>
          </w:p>
          <w:p>
            <w:pPr>
              <w:pStyle w:val="TableContents"/>
              <w:bidi w:val="0"/>
              <w:spacing w:lineRule="atLeast" w:line="220" w:before="160" w:after="283"/>
              <w:jc w:val="left"/>
              <w:rPr>
                <w:b/>
                <w:color w:val="1F2668"/>
              </w:rPr>
            </w:pPr>
            <w:r>
              <w:rPr>
                <w:b/>
                <w:color w:val="1F2668"/>
              </w:rPr>
              <w:t>Risk and Vulnerability Management</w:t>
            </w:r>
          </w:p>
          <w:p>
            <w:pPr>
              <w:pStyle w:val="TableContents"/>
              <w:bidi w:val="0"/>
              <w:spacing w:lineRule="atLeast" w:line="220" w:before="60" w:after="283"/>
              <w:jc w:val="left"/>
              <w:rPr>
                <w:spacing w:val="-2"/>
              </w:rPr>
            </w:pPr>
            <w:r>
              <w:rPr>
                <w:spacing w:val="-2"/>
              </w:rPr>
              <w:t xml:space="preserve">We take a risk-based approach to cybersecurity and have implemented policies that are designed to address cybersecurity threats and incidents, including those related to third-party service providers. We assess these risks, monitor our information systems for potential vulnerabilities and test those systems pursuant to our cybersecurity standards, processes and practices, as part of our overall risk management system. </w:t>
            </w:r>
          </w:p>
          <w:p>
            <w:pPr>
              <w:pStyle w:val="TableContents"/>
              <w:bidi w:val="0"/>
              <w:spacing w:lineRule="atLeast" w:line="220" w:before="160" w:after="283"/>
              <w:jc w:val="left"/>
              <w:rPr>
                <w:b/>
                <w:color w:val="1F2668"/>
              </w:rPr>
            </w:pPr>
            <w:r>
              <w:rPr>
                <w:b/>
                <w:color w:val="1F2668"/>
              </w:rPr>
              <w:t>Risk Mitigation and Strategy</w:t>
            </w:r>
          </w:p>
          <w:p>
            <w:pPr>
              <w:pStyle w:val="TableContents"/>
              <w:bidi w:val="0"/>
              <w:spacing w:lineRule="atLeast" w:line="220" w:before="60" w:after="283"/>
              <w:jc w:val="left"/>
              <w:rPr>
                <w:spacing w:val="-2"/>
              </w:rPr>
            </w:pPr>
            <w:r>
              <w:rPr>
                <w:spacing w:val="-2"/>
              </w:rPr>
              <w:t xml:space="preserve">We mitigate our exposure to cybersecurity risks by offsetting the potential costs involved with recovery after a cyber-related security breach or similar event by purchasing cyber liability insurance coverage. </w:t>
            </w:r>
          </w:p>
          <w:p>
            <w:pPr>
              <w:pStyle w:val="TableContents"/>
              <w:bidi w:val="0"/>
              <w:spacing w:lineRule="atLeast" w:line="220" w:before="100" w:after="283"/>
              <w:jc w:val="left"/>
              <w:rPr>
                <w:spacing w:val="-2"/>
              </w:rPr>
            </w:pPr>
            <w:r>
              <w:rPr>
                <w:spacing w:val="-2"/>
              </w:rPr>
              <w:t xml:space="preserve">Our cybersecurity strategy is guided by prioritized risk, the National Institute for Standards and Technology (NIST) Cybersecurity Framework, and emerging business needs. We maintain a cybersecurity incident response plan, as well as a monitoring program, to support senior leadership and the Board. </w:t>
            </w:r>
          </w:p>
          <w:p>
            <w:pPr>
              <w:pStyle w:val="TableContents"/>
              <w:bidi w:val="0"/>
              <w:spacing w:lineRule="atLeast" w:line="220" w:before="160" w:after="283"/>
              <w:jc w:val="left"/>
              <w:rPr>
                <w:b/>
                <w:color w:val="1F2668"/>
              </w:rPr>
            </w:pPr>
            <w:r>
              <w:rPr>
                <w:b/>
                <w:color w:val="1F2668"/>
              </w:rPr>
              <w:t>Security Assessments</w:t>
            </w:r>
          </w:p>
          <w:p>
            <w:pPr>
              <w:pStyle w:val="TableContents"/>
              <w:bidi w:val="0"/>
              <w:spacing w:lineRule="atLeast" w:line="220" w:before="60" w:after="283"/>
              <w:jc w:val="left"/>
              <w:rPr>
                <w:spacing w:val="-2"/>
              </w:rPr>
            </w:pPr>
            <w:r>
              <w:rPr>
                <w:spacing w:val="-2"/>
              </w:rPr>
              <w:t xml:space="preserve">We periodically employ internal software tools as well as external agencies to test the efficacy of our security protocols. Any weaknesses found are addressed through corrective action plans and systematic changes. </w:t>
            </w:r>
          </w:p>
          <w:p>
            <w:pPr>
              <w:pStyle w:val="TableContents"/>
              <w:bidi w:val="0"/>
              <w:spacing w:lineRule="atLeast" w:line="220" w:before="160" w:after="283"/>
              <w:jc w:val="left"/>
              <w:rPr>
                <w:b/>
                <w:color w:val="1F2668"/>
              </w:rPr>
            </w:pPr>
            <w:r>
              <w:rPr>
                <w:b/>
                <w:color w:val="1F2668"/>
              </w:rPr>
              <w:t>Cybersecurity Awareness</w:t>
            </w:r>
          </w:p>
          <w:p>
            <w:pPr>
              <w:pStyle w:val="TableContents"/>
              <w:bidi w:val="0"/>
              <w:spacing w:lineRule="atLeast" w:line="220" w:before="60" w:after="283"/>
              <w:jc w:val="left"/>
              <w:rPr>
                <w:spacing w:val="-2"/>
              </w:rPr>
            </w:pPr>
            <w:r>
              <w:rPr>
                <w:spacing w:val="-2"/>
              </w:rPr>
              <w:t xml:space="preserve">Our employees are provided cybersecurity awareness training throughout the year, which includes topics on our policies and procedures for reporting potential incidents. All employees also receive security awareness tips to help identify phishing, deceptive emails, and corrupt links. </w:t>
            </w:r>
          </w:p>
          <w:p>
            <w:pPr>
              <w:pStyle w:val="TableContents"/>
              <w:bidi w:val="0"/>
              <w:spacing w:lineRule="atLeast" w:line="220" w:before="160" w:after="283"/>
              <w:jc w:val="left"/>
              <w:rPr>
                <w:b/>
                <w:color w:val="1F2668"/>
              </w:rPr>
            </w:pPr>
            <w:r>
              <w:rPr>
                <w:b/>
                <w:color w:val="1F2668"/>
              </w:rPr>
              <w:t>Disaster Recovery</w:t>
            </w:r>
          </w:p>
          <w:p>
            <w:pPr>
              <w:pStyle w:val="TableContents"/>
              <w:bidi w:val="0"/>
              <w:spacing w:lineRule="atLeast" w:line="220" w:before="60" w:after="283"/>
              <w:jc w:val="left"/>
              <w:rPr>
                <w:spacing w:val="-2"/>
              </w:rPr>
            </w:pPr>
            <w:r>
              <w:rPr>
                <w:spacing w:val="-2"/>
              </w:rPr>
              <w:t xml:space="preserve">We undergo offsite disaster recovery testing of Day 1 and partial Day 2 critical systems annually and implement incident response procedures. Additionally, 100% of our employees are equipped with mobile computing and remote work capabilities that enable end-to-end continuity of business operations. </w:t>
            </w:r>
          </w:p>
          <w:p>
            <w:pPr>
              <w:pStyle w:val="TableContents"/>
              <w:bidi w:val="0"/>
              <w:spacing w:lineRule="atLeast" w:line="220" w:before="160" w:after="283"/>
              <w:jc w:val="left"/>
              <w:rPr>
                <w:b/>
                <w:color w:val="1F2668"/>
              </w:rPr>
            </w:pPr>
            <w:r>
              <w:rPr>
                <w:b/>
                <w:color w:val="1F2668"/>
              </w:rPr>
              <w:t>Cloud Computing</w:t>
            </w:r>
          </w:p>
          <w:p>
            <w:pPr>
              <w:pStyle w:val="TableContents"/>
              <w:bidi w:val="0"/>
              <w:spacing w:lineRule="atLeast" w:line="220" w:before="60" w:after="283"/>
              <w:jc w:val="left"/>
              <w:rPr>
                <w:spacing w:val="-2"/>
              </w:rPr>
            </w:pPr>
            <w:r>
              <w:rPr>
                <w:spacing w:val="-2"/>
              </w:rPr>
              <w:t xml:space="preserve">With the advancement and availability of cloud technologies, we leverage the power of the cloud to employ sophisticated cybersecurity and business resilience measures. </w:t>
            </w:r>
          </w:p>
          <w:p>
            <w:pPr>
              <w:pStyle w:val="TableContents"/>
              <w:bidi w:val="0"/>
              <w:spacing w:lineRule="atLeast" w:line="220" w:before="160" w:after="283"/>
              <w:jc w:val="left"/>
              <w:rPr>
                <w:b/>
                <w:color w:val="1F2668"/>
              </w:rPr>
            </w:pPr>
            <w:r>
              <w:rPr>
                <w:b/>
                <w:color w:val="1F2668"/>
              </w:rPr>
              <w:t>External Assurance</w:t>
            </w:r>
          </w:p>
          <w:p>
            <w:pPr>
              <w:pStyle w:val="TableContents"/>
              <w:bidi w:val="0"/>
              <w:spacing w:lineRule="atLeast" w:line="220" w:before="60" w:after="283"/>
              <w:jc w:val="left"/>
              <w:rPr>
                <w:spacing w:val="-2"/>
              </w:rPr>
            </w:pPr>
            <w:r>
              <w:rPr>
                <w:spacing w:val="-2"/>
              </w:rPr>
              <w:t xml:space="preserve">We periodically assess our IT systems to ensure adherence to industry standards, guidelines, and regulations. Our systems are also audited externally each year and any findings are tracked until they are adequately remediated. </w:t>
            </w:r>
          </w:p>
          <w:p>
            <w:pPr>
              <w:pStyle w:val="TableContents"/>
              <w:bidi w:val="0"/>
              <w:spacing w:lineRule="atLeast" w:line="220" w:before="160" w:after="283"/>
              <w:jc w:val="left"/>
              <w:rPr>
                <w:b/>
                <w:color w:val="1F2668"/>
              </w:rPr>
            </w:pPr>
            <w:r>
              <w:rPr>
                <w:b/>
                <w:color w:val="1F2668"/>
              </w:rPr>
              <w:t>Security Operations Center (SOC)</w:t>
            </w:r>
          </w:p>
          <w:p>
            <w:pPr>
              <w:pStyle w:val="TableContents"/>
              <w:bidi w:val="0"/>
              <w:spacing w:lineRule="atLeast" w:line="220" w:before="60" w:after="283"/>
              <w:jc w:val="left"/>
              <w:rPr/>
            </w:pPr>
            <w:r>
              <w:rPr>
                <w:spacing w:val="-2"/>
              </w:rPr>
              <w:t>Our 24/7 SOC provides monitoring, real-time threat detection, and rapid incident response for our on-premise network, cloud, and endpoint environments, with visibility into potential threats and robust response protocols. This centralized approach supports our ability to proactively manage risks and maintain the integrity of our systems and data.</w:t>
            </w:r>
            <w:r>
              <w:rPr/>
              <w:t xml:space="preserve"> </w:t>
            </w:r>
          </w:p>
        </w:tc>
        <w:tc>
          <w:tcPr>
            <w:tcW w:w="154" w:type="dxa"/>
            <w:tcBorders/>
            <w:shd w:fill="E9F9D8" w:val="clear"/>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225" w:type="dxa"/>
        <w:jc w:val="left"/>
        <w:tblInd w:w="900" w:type="dxa"/>
        <w:tblLayout w:type="fixed"/>
        <w:tblCellMar>
          <w:top w:w="0" w:type="dxa"/>
          <w:left w:w="0" w:type="dxa"/>
          <w:bottom w:w="0" w:type="dxa"/>
          <w:right w:w="0" w:type="dxa"/>
        </w:tblCellMar>
      </w:tblPr>
      <w:tblGrid>
        <w:gridCol w:w="124"/>
        <w:gridCol w:w="346"/>
        <w:gridCol w:w="109"/>
        <w:gridCol w:w="109"/>
        <w:gridCol w:w="4383"/>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32</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383" w:type="dxa"/>
            <w:tcBorders/>
            <w:vAlign w:val="center"/>
          </w:tcPr>
          <w:p>
            <w:pPr>
              <w:pStyle w:val="TableContents"/>
              <w:bidi w:val="0"/>
              <w:spacing w:lineRule="atLeast" w:line="200" w:before="0" w:after="0"/>
              <w:jc w:val="left"/>
              <w:rPr/>
            </w:pPr>
            <w:r>
              <w:rPr>
                <w:spacing w:val="-2"/>
              </w:rPr>
              <w:t>    </w:t>
            </w:r>
            <w:r>
              <w:rPr>
                <w:spacing w:val="-2"/>
                <w:sz w:val="16"/>
              </w:rPr>
              <w:t>SL GREEN REALTY CORP. 2026 PROXY STATEMENT</w:t>
            </w:r>
            <w:r>
              <w:rPr>
                <w:sz w:val="16"/>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300" w:before="560" w:after="154"/>
        <w:ind w:left="900" w:right="0" w:hanging="0"/>
        <w:jc w:val="left"/>
        <w:rPr>
          <w:rFonts w:ascii="Arial;Helvetica;sans-serif" w:hAnsi="Arial;Helvetica;sans-serif"/>
          <w:b/>
          <w:i w:val="false"/>
          <w:caps w:val="false"/>
          <w:smallCaps w:val="false"/>
          <w:color w:val="1F2668"/>
          <w:sz w:val="26"/>
        </w:rPr>
      </w:pPr>
      <w:r>
        <w:rPr>
          <w:rFonts w:ascii="Arial;Helvetica;sans-serif" w:hAnsi="Arial;Helvetica;sans-serif"/>
          <w:b/>
          <w:i w:val="false"/>
          <w:caps w:val="false"/>
          <w:smallCaps w:val="false"/>
          <w:color w:val="1F2668"/>
          <w:spacing w:val="-3"/>
          <w:sz w:val="26"/>
        </w:rPr>
        <w:t>Stockholder Amendments to Bylaws</w:t>
      </w:r>
      <w:r>
        <w:rPr>
          <w:rFonts w:ascii="Arial;Helvetica;sans-serif" w:hAnsi="Arial;Helvetica;sans-serif"/>
          <w:b/>
          <w:i w:val="false"/>
          <w:caps w:val="false"/>
          <w:smallCaps w:val="false"/>
          <w:color w:val="000000"/>
          <w:spacing w:val="5"/>
          <w:sz w:val="26"/>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Our bylaws provide our stockholders the right to amend our bylaws by the affirmative vote of a majority of all the votes entitled to be cast on the matter. Our bylaws do not place any limitations on stockholder proposals to amend our bylaws beyond the advance notice provisions that apply to all stockholder proposals. Accordingly, all of our stockholders have the right to propose any amendment to our bylaws that is permitted by applicable law and, if any such amendment is approved by the affirmative vote of a majority of the votes entitled to be cast on the matter, it will become effective.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300" w:before="360" w:after="283"/>
        <w:jc w:val="left"/>
        <w:rPr>
          <w:rFonts w:ascii="Arial;Helvetica;sans-serif" w:hAnsi="Arial;Helvetica;sans-serif"/>
          <w:b/>
          <w:i w:val="false"/>
          <w:caps w:val="false"/>
          <w:smallCaps w:val="false"/>
          <w:color w:val="1F2668"/>
          <w:sz w:val="26"/>
        </w:rPr>
      </w:pPr>
      <w:r>
        <w:rPr>
          <w:rFonts w:ascii="Arial;Helvetica;sans-serif" w:hAnsi="Arial;Helvetica;sans-serif"/>
          <w:b/>
          <w:i w:val="false"/>
          <w:caps w:val="false"/>
          <w:smallCaps w:val="false"/>
          <w:color w:val="1F2668"/>
          <w:spacing w:val="-3"/>
          <w:sz w:val="26"/>
        </w:rPr>
        <w:t>Annual Director Elections</w:t>
      </w:r>
      <w:r>
        <w:rPr>
          <w:rFonts w:ascii="Arial;Helvetica;sans-serif" w:hAnsi="Arial;Helvetica;sans-serif"/>
          <w:b/>
          <w:i w:val="false"/>
          <w:caps w:val="false"/>
          <w:smallCaps w:val="false"/>
          <w:color w:val="000000"/>
          <w:spacing w:val="5"/>
          <w:sz w:val="26"/>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All our directors are elected annually for one-year terms.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300" w:before="360" w:after="283"/>
        <w:jc w:val="left"/>
        <w:rPr>
          <w:rFonts w:ascii="Arial;Helvetica;sans-serif" w:hAnsi="Arial;Helvetica;sans-serif"/>
          <w:b/>
          <w:i w:val="false"/>
          <w:caps w:val="false"/>
          <w:smallCaps w:val="false"/>
          <w:color w:val="1F2668"/>
          <w:sz w:val="26"/>
        </w:rPr>
      </w:pPr>
      <w:r>
        <w:rPr>
          <w:rFonts w:ascii="Arial;Helvetica;sans-serif" w:hAnsi="Arial;Helvetica;sans-serif"/>
          <w:b/>
          <w:i w:val="false"/>
          <w:caps w:val="false"/>
          <w:smallCaps w:val="false"/>
          <w:color w:val="1F2668"/>
          <w:spacing w:val="-3"/>
          <w:sz w:val="26"/>
        </w:rPr>
        <w:t>Proxy Access</w:t>
      </w:r>
      <w:r>
        <w:rPr>
          <w:rFonts w:ascii="Arial;Helvetica;sans-serif" w:hAnsi="Arial;Helvetica;sans-serif"/>
          <w:b/>
          <w:i w:val="false"/>
          <w:caps w:val="false"/>
          <w:smallCaps w:val="false"/>
          <w:color w:val="000000"/>
          <w:spacing w:val="5"/>
          <w:sz w:val="26"/>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We have adopted a proxy access bylaw provision, enabling our stockholders to include their own director nominees in our proxy materials along with candidates nominated by the Board, so long as stockholder-nominees meet certain requirements, as set forth in our bylaws. For more information on our proxy access bylaw, see the section entitled “Other Information—</w:t>
      </w:r>
      <w:r>
        <w:rPr>
          <w:rFonts w:ascii="Arial;Helvetica;sans-serif" w:hAnsi="Arial;Helvetica;sans-serif"/>
          <w:b w:val="false"/>
          <w:i w:val="false"/>
          <w:caps w:val="false"/>
          <w:smallCaps w:val="false"/>
          <w:color w:val="000000"/>
          <w:sz w:val="18"/>
        </w:rPr>
        <w:t>​</w:t>
      </w:r>
      <w:r>
        <w:rPr>
          <w:rFonts w:ascii="Arial;Helvetica;sans-serif" w:hAnsi="Arial;Helvetica;sans-serif"/>
          <w:b w:val="false"/>
          <w:i w:val="false"/>
          <w:caps w:val="false"/>
          <w:smallCaps w:val="false"/>
          <w:color w:val="000000"/>
          <w:spacing w:val="-2"/>
          <w:sz w:val="18"/>
        </w:rPr>
        <w:t>Other Matters—Stockholder Proposals and Nominations.”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300" w:before="360" w:after="283"/>
        <w:jc w:val="left"/>
        <w:rPr>
          <w:rFonts w:ascii="Arial;Helvetica;sans-serif" w:hAnsi="Arial;Helvetica;sans-serif"/>
          <w:b/>
          <w:i w:val="false"/>
          <w:caps w:val="false"/>
          <w:smallCaps w:val="false"/>
          <w:color w:val="1F2668"/>
          <w:sz w:val="26"/>
        </w:rPr>
      </w:pPr>
      <w:r>
        <w:rPr>
          <w:rFonts w:ascii="Arial;Helvetica;sans-serif" w:hAnsi="Arial;Helvetica;sans-serif"/>
          <w:b/>
          <w:i w:val="false"/>
          <w:caps w:val="false"/>
          <w:smallCaps w:val="false"/>
          <w:color w:val="1F2668"/>
          <w:spacing w:val="-3"/>
          <w:sz w:val="26"/>
        </w:rPr>
        <w:t>Majority Voting Standard and Director Resignation Policy</w:t>
      </w:r>
      <w:r>
        <w:rPr>
          <w:rFonts w:ascii="Arial;Helvetica;sans-serif" w:hAnsi="Arial;Helvetica;sans-serif"/>
          <w:b/>
          <w:i w:val="false"/>
          <w:caps w:val="false"/>
          <w:smallCaps w:val="false"/>
          <w:color w:val="000000"/>
          <w:spacing w:val="5"/>
          <w:sz w:val="26"/>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We have a majority voting standard for director elections. In an uncontested election (as is the case for this Annual Meeting), our bylaws provide that a majority of all the votes cast with respect to a nominee’s election is required for such nominee to be elected to serve on the Board. This means that the number of votes cast “for” a nominee must exceed the number of votes cast “against” such nominee, with abstentions and broker non-votes not counted as a vote cast either “for” or “against” a nominee. With respect to a contested election, a plurality of all of the votes cast is sufficient for the election of directors. For this purpose, a contested election is deemed to occur at any meeting of stockholders for which the Secretary determines that the number of nominees or proposed nominees exceeds the number of directors to be elected at such meeting as of the seventh day preceding the date the Company files its definitive proxy statement for such meeting with the SEC (regardless of whether or not thereafter revised or supplemented).</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If a nominee who currently is serving as a director receives a greater number of votes “against” his or her election than votes “for” such election in an uncontested election, Maryland law provides that the director would continue to serve on the Board as a “holdover director.” However, under our Governance Principles, any nominee for election as a director in an uncontested election who receives a greater number of votes “against” his or her election than votes “for” such election must, within ten business days following the certification of the stockholder vote, tender his or her written resignation to the Chairman of the Board for consideration by the Nominating and Corporate Governance Committee. The Nominating and Corporate Governance Committee will consider the resignation and, within 60 days following the date of the stockholders’ meeting at which the election occurred, will make a recommendation to the Board concerning the acceptance or rejection of the resignation.</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val="false"/>
          <w:i w:val="false"/>
          <w:caps w:val="false"/>
          <w:smallCaps w:val="false"/>
          <w:color w:val="000000"/>
          <w:spacing w:val="-2"/>
          <w:sz w:val="18"/>
        </w:rPr>
      </w:pPr>
      <w:r>
        <w:rPr>
          <w:rFonts w:ascii="Arial;Helvetica;sans-serif" w:hAnsi="Arial;Helvetica;sans-serif"/>
          <w:b w:val="false"/>
          <w:i w:val="false"/>
          <w:caps w:val="false"/>
          <w:smallCaps w:val="false"/>
          <w:color w:val="000000"/>
          <w:spacing w:val="-2"/>
          <w:sz w:val="18"/>
        </w:rPr>
        <w:t xml:space="preserve">The Board will then take formal action on the recommendation no later than 90 days following the date of the stockholders’ meeting at which the election occurred. In considering the recommendation, the Board will consider the information, factors and alternatives considered by the Nominating and Corporate Governance Committee and such additional factors, information and alternatives as the Board deems relevant. We will publicly disclose, in a Form 8-K filed with the SEC, the Board’s decision within four business days after the decision is made. The Board also will provide, if applicable, the Board’s reason or reasons for rejecting the tendered resignation.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1F2668"/>
          <w:sz w:val="16"/>
        </w:rPr>
        <w:t xml:space="preserve"> </w:t>
      </w:r>
    </w:p>
    <w:tbl>
      <w:tblPr>
        <w:tblW w:w="8095" w:type="dxa"/>
        <w:jc w:val="left"/>
        <w:tblInd w:w="900" w:type="dxa"/>
        <w:tblLayout w:type="fixed"/>
        <w:tblCellMar>
          <w:top w:w="0" w:type="dxa"/>
          <w:left w:w="0" w:type="dxa"/>
          <w:bottom w:w="0" w:type="dxa"/>
          <w:right w:w="0" w:type="dxa"/>
        </w:tblCellMar>
      </w:tblPr>
      <w:tblGrid>
        <w:gridCol w:w="124"/>
        <w:gridCol w:w="7253"/>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7253" w:type="dxa"/>
            <w:tcBorders/>
            <w:vAlign w:val="center"/>
          </w:tcPr>
          <w:p>
            <w:pPr>
              <w:pStyle w:val="TableContents"/>
              <w:bidi w:val="0"/>
              <w:spacing w:lineRule="atLeast" w:line="200" w:before="0" w:after="0"/>
              <w:jc w:val="left"/>
              <w:rPr/>
            </w:pPr>
            <w:r>
              <w:rPr>
                <w:spacing w:val="-2"/>
              </w:rPr>
              <w:t>OUR BOARD OF DIRECTORS AND CORPORATE GOVERNANCE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color w:val="1F2668"/>
                <w:sz w:val="24"/>
              </w:rPr>
            </w:pPr>
            <w:r>
              <w:rPr>
                <w:color w:val="1F2668"/>
                <w:sz w:val="24"/>
              </w:rPr>
              <w:t>33</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300" w:before="560" w:after="154"/>
        <w:ind w:left="900" w:right="0" w:hanging="0"/>
        <w:jc w:val="left"/>
        <w:rPr>
          <w:rFonts w:ascii="Arial;Helvetica;sans-serif" w:hAnsi="Arial;Helvetica;sans-serif"/>
          <w:b/>
          <w:i w:val="false"/>
          <w:caps w:val="false"/>
          <w:smallCaps w:val="false"/>
          <w:color w:val="1F2668"/>
          <w:sz w:val="26"/>
        </w:rPr>
      </w:pPr>
      <w:r>
        <w:rPr>
          <w:rFonts w:ascii="Arial;Helvetica;sans-serif" w:hAnsi="Arial;Helvetica;sans-serif"/>
          <w:b/>
          <w:i w:val="false"/>
          <w:caps w:val="false"/>
          <w:smallCaps w:val="false"/>
          <w:color w:val="1F2668"/>
          <w:spacing w:val="-3"/>
          <w:sz w:val="26"/>
        </w:rPr>
        <w:t>Environmental Social &amp; Governance (ESG)</w:t>
      </w:r>
      <w:r>
        <w:rPr>
          <w:rFonts w:ascii="Arial;Helvetica;sans-serif" w:hAnsi="Arial;Helvetica;sans-serif"/>
          <w:b/>
          <w:i w:val="false"/>
          <w:caps w:val="false"/>
          <w:smallCaps w:val="false"/>
          <w:color w:val="000000"/>
          <w:spacing w:val="5"/>
          <w:sz w:val="26"/>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Our sustainability and governance strategy is designed to create long-term social, cultural, financial, and environmental benefits for all of our stakeholders. The success of our sustainability program is driven by guidance from our Board of Directors and the leadership of our executive management team. We depend on our best-in-class team to fully maintain governance frameworks, policies, and disclosure practices intended to support ethical, transparent and effective decision-making, strengthen accountability, and drive long-term value creation.</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60" w:before="160" w:after="283"/>
        <w:jc w:val="left"/>
        <w:rPr>
          <w:rFonts w:ascii="Arial;Helvetica;sans-serif" w:hAnsi="Arial;Helvetica;sans-serif"/>
          <w:b/>
          <w:i w:val="false"/>
          <w:caps w:val="false"/>
          <w:smallCaps w:val="false"/>
          <w:color w:val="83AD40"/>
          <w:sz w:val="22"/>
        </w:rPr>
      </w:pPr>
      <w:r>
        <w:rPr>
          <w:rFonts w:ascii="Arial;Helvetica;sans-serif" w:hAnsi="Arial;Helvetica;sans-serif"/>
          <w:b/>
          <w:i w:val="false"/>
          <w:caps w:val="false"/>
          <w:smallCaps w:val="false"/>
          <w:color w:val="83AD40"/>
          <w:spacing w:val="-2"/>
          <w:sz w:val="22"/>
        </w:rPr>
        <w:t>Delivering Value for All Our Stakeholders</w:t>
      </w:r>
      <w:r>
        <w:rPr>
          <w:rFonts w:ascii="Arial;Helvetica;sans-serif" w:hAnsi="Arial;Helvetica;sans-serif"/>
          <w:b/>
          <w:i w:val="false"/>
          <w:caps w:val="false"/>
          <w:smallCaps w:val="false"/>
          <w:color w:val="000000"/>
          <w:spacing w:val="4"/>
          <w:sz w:val="22"/>
        </w:rPr>
        <w:t xml:space="preserve"> </w:t>
      </w:r>
    </w:p>
    <w:tbl>
      <w:tblPr>
        <w:tblW w:w="9305" w:type="dxa"/>
        <w:jc w:val="left"/>
        <w:tblInd w:w="900" w:type="dxa"/>
        <w:tblLayout w:type="fixed"/>
        <w:tblCellMar>
          <w:top w:w="0" w:type="dxa"/>
          <w:left w:w="0" w:type="dxa"/>
          <w:bottom w:w="0" w:type="dxa"/>
          <w:right w:w="0" w:type="dxa"/>
        </w:tblCellMar>
      </w:tblPr>
      <w:tblGrid>
        <w:gridCol w:w="124"/>
        <w:gridCol w:w="1911"/>
        <w:gridCol w:w="109"/>
        <w:gridCol w:w="109"/>
        <w:gridCol w:w="109"/>
        <w:gridCol w:w="2162"/>
        <w:gridCol w:w="109"/>
        <w:gridCol w:w="109"/>
        <w:gridCol w:w="109"/>
        <w:gridCol w:w="1972"/>
        <w:gridCol w:w="109"/>
        <w:gridCol w:w="109"/>
        <w:gridCol w:w="109"/>
        <w:gridCol w:w="1998"/>
        <w:gridCol w:w="157"/>
      </w:tblGrid>
      <w:tr>
        <w:trPr/>
        <w:tc>
          <w:tcPr>
            <w:tcW w:w="124" w:type="dxa"/>
            <w:tcBorders/>
            <w:vAlign w:val="center"/>
          </w:tcPr>
          <w:p>
            <w:pPr>
              <w:pStyle w:val="TableContents"/>
              <w:bidi w:val="0"/>
              <w:spacing w:before="0" w:after="283"/>
              <w:jc w:val="left"/>
              <w:rPr/>
            </w:pPr>
            <w:r>
              <w:rPr/>
              <w:t>​</w:t>
            </w:r>
          </w:p>
        </w:tc>
        <w:tc>
          <w:tcPr>
            <w:tcW w:w="1911" w:type="dxa"/>
            <w:tcBorders/>
            <w:vAlign w:val="center"/>
          </w:tcPr>
          <w:p>
            <w:pPr>
              <w:pStyle w:val="TableContents"/>
              <w:bidi w:val="0"/>
              <w:spacing w:before="0" w:after="283"/>
              <w:jc w:val="left"/>
              <w:rPr/>
            </w:pPr>
            <w:r>
              <w:rPr/>
              <w:t xml:space="preserve">Employees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3AD40"/>
            </w:tcBorders>
            <w:shd w:fill="83AD4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62" w:type="dxa"/>
            <w:tcBorders/>
            <w:vAlign w:val="center"/>
          </w:tcPr>
          <w:p>
            <w:pPr>
              <w:pStyle w:val="TableContents"/>
              <w:bidi w:val="0"/>
              <w:spacing w:before="0" w:after="283"/>
              <w:jc w:val="left"/>
              <w:rPr/>
            </w:pPr>
            <w:r>
              <w:rPr/>
              <w:t>Tenants</w:t>
            </w:r>
          </w:p>
        </w:tc>
        <w:tc>
          <w:tcPr>
            <w:tcW w:w="109" w:type="dxa"/>
            <w:tcBorders/>
            <w:vAlign w:val="center"/>
          </w:tcPr>
          <w:p>
            <w:pPr>
              <w:pStyle w:val="TableContents"/>
              <w:bidi w:val="0"/>
              <w:spacing w:before="0" w:after="283"/>
              <w:jc w:val="left"/>
              <w:rPr/>
            </w:pPr>
            <w:r>
              <w:rPr/>
              <w:t>​</w:t>
            </w:r>
          </w:p>
        </w:tc>
        <w:tc>
          <w:tcPr>
            <w:tcW w:w="109" w:type="dxa"/>
            <w:tcBorders>
              <w:bottom w:val="single" w:sz="2" w:space="0" w:color="83AD40"/>
            </w:tcBorders>
            <w:shd w:fill="83AD4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972" w:type="dxa"/>
            <w:tcBorders/>
            <w:vAlign w:val="center"/>
          </w:tcPr>
          <w:p>
            <w:pPr>
              <w:pStyle w:val="TableContents"/>
              <w:bidi w:val="0"/>
              <w:spacing w:before="0" w:after="283"/>
              <w:jc w:val="left"/>
              <w:rPr/>
            </w:pPr>
            <w:r>
              <w:rPr/>
              <w:t>Community</w:t>
            </w:r>
          </w:p>
        </w:tc>
        <w:tc>
          <w:tcPr>
            <w:tcW w:w="109" w:type="dxa"/>
            <w:tcBorders/>
            <w:vAlign w:val="center"/>
          </w:tcPr>
          <w:p>
            <w:pPr>
              <w:pStyle w:val="TableContents"/>
              <w:bidi w:val="0"/>
              <w:spacing w:before="0" w:after="283"/>
              <w:jc w:val="left"/>
              <w:rPr/>
            </w:pPr>
            <w:r>
              <w:rPr/>
              <w:t>​</w:t>
            </w:r>
          </w:p>
        </w:tc>
        <w:tc>
          <w:tcPr>
            <w:tcW w:w="109" w:type="dxa"/>
            <w:tcBorders>
              <w:bottom w:val="single" w:sz="2" w:space="0" w:color="83AD40"/>
            </w:tcBorders>
            <w:shd w:fill="83AD4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998" w:type="dxa"/>
            <w:tcBorders/>
            <w:vAlign w:val="center"/>
          </w:tcPr>
          <w:p>
            <w:pPr>
              <w:pStyle w:val="TableContents"/>
              <w:bidi w:val="0"/>
              <w:spacing w:before="0" w:after="283"/>
              <w:jc w:val="left"/>
              <w:rPr/>
            </w:pPr>
            <w:r>
              <w:rPr/>
              <w:t>Stockholders</w:t>
            </w:r>
          </w:p>
        </w:tc>
        <w:tc>
          <w:tcPr>
            <w:tcW w:w="157" w:type="dxa"/>
            <w:tcBorders/>
            <w:vAlign w:val="center"/>
          </w:tcPr>
          <w:p>
            <w:pPr>
              <w:pStyle w:val="TableContents"/>
              <w:bidi w:val="0"/>
              <w:spacing w:before="0" w:after="283"/>
              <w:jc w:val="left"/>
              <w:rPr/>
            </w:pPr>
            <w:r>
              <w:rPr/>
              <w:t>​</w:t>
            </w:r>
          </w:p>
        </w:tc>
      </w:tr>
      <w:tr>
        <w:trPr/>
        <w:tc>
          <w:tcPr>
            <w:tcW w:w="124" w:type="dxa"/>
            <w:tcBorders>
              <w:bottom w:val="single" w:sz="6" w:space="0" w:color="83AD40"/>
            </w:tcBorders>
            <w:tcMar>
              <w:bottom w:w="28" w:type="dxa"/>
            </w:tcMar>
            <w:vAlign w:val="center"/>
          </w:tcPr>
          <w:p>
            <w:pPr>
              <w:pStyle w:val="TableContents"/>
              <w:bidi w:val="0"/>
              <w:spacing w:before="0" w:after="283"/>
              <w:jc w:val="left"/>
              <w:rPr/>
            </w:pPr>
            <w:r>
              <w:rPr/>
              <w:t>​</w:t>
            </w:r>
          </w:p>
        </w:tc>
        <w:tc>
          <w:tcPr>
            <w:tcW w:w="1911" w:type="dxa"/>
            <w:tcBorders>
              <w:bottom w:val="single" w:sz="6" w:space="0" w:color="83AD40"/>
            </w:tcBorders>
            <w:tcMar>
              <w:bottom w:w="300" w:type="dxa"/>
            </w:tcMar>
            <w:vAlign w:val="center"/>
          </w:tcPr>
          <w:p>
            <w:pPr>
              <w:pStyle w:val="TableContents"/>
              <w:bidi w:val="0"/>
              <w:spacing w:before="0" w:after="283"/>
              <w:jc w:val="left"/>
              <w:rPr>
                <w:spacing w:val="-2"/>
              </w:rPr>
            </w:pPr>
            <w:r>
              <w:rPr>
                <w:spacing w:val="-2"/>
              </w:rPr>
              <w:t xml:space="preserve">An equitable and inclusive workplace is positively linked to performance. We are committed to fostering a corporate culture that enables our employees to meet their full potential. </w:t>
            </w:r>
          </w:p>
        </w:tc>
        <w:tc>
          <w:tcPr>
            <w:tcW w:w="109" w:type="dxa"/>
            <w:tcBorders>
              <w:bottom w:val="single" w:sz="6" w:space="0" w:color="83AD40"/>
            </w:tcBorders>
            <w:tcMar>
              <w:bottom w:w="28" w:type="dxa"/>
            </w:tcMar>
            <w:vAlign w:val="center"/>
          </w:tcPr>
          <w:p>
            <w:pPr>
              <w:pStyle w:val="TableContents"/>
              <w:bidi w:val="0"/>
              <w:spacing w:before="0" w:after="283"/>
              <w:jc w:val="left"/>
              <w:rPr/>
            </w:pPr>
            <w:r>
              <w:rPr/>
              <w:t>​</w:t>
            </w:r>
          </w:p>
        </w:tc>
        <w:tc>
          <w:tcPr>
            <w:tcW w:w="109" w:type="dxa"/>
            <w:tcBorders>
              <w:bottom w:val="single" w:sz="2" w:space="0" w:color="83AD40"/>
            </w:tcBorders>
            <w:shd w:fill="83AD40" w:val="clear"/>
            <w:tcMar>
              <w:bottom w:w="28" w:type="dxa"/>
            </w:tcMar>
            <w:vAlign w:val="center"/>
          </w:tcPr>
          <w:p>
            <w:pPr>
              <w:pStyle w:val="TableContents"/>
              <w:bidi w:val="0"/>
              <w:spacing w:before="0" w:after="283"/>
              <w:jc w:val="left"/>
              <w:rPr/>
            </w:pPr>
            <w:r>
              <w:rPr/>
              <w:t>​</w:t>
            </w:r>
          </w:p>
        </w:tc>
        <w:tc>
          <w:tcPr>
            <w:tcW w:w="109" w:type="dxa"/>
            <w:tcBorders>
              <w:bottom w:val="single" w:sz="6" w:space="0" w:color="83AD40"/>
            </w:tcBorders>
            <w:tcMar>
              <w:bottom w:w="28" w:type="dxa"/>
            </w:tcMar>
            <w:vAlign w:val="center"/>
          </w:tcPr>
          <w:p>
            <w:pPr>
              <w:pStyle w:val="TableContents"/>
              <w:bidi w:val="0"/>
              <w:spacing w:before="0" w:after="283"/>
              <w:jc w:val="left"/>
              <w:rPr/>
            </w:pPr>
            <w:r>
              <w:rPr/>
              <w:t>​</w:t>
            </w:r>
          </w:p>
        </w:tc>
        <w:tc>
          <w:tcPr>
            <w:tcW w:w="2162" w:type="dxa"/>
            <w:tcBorders>
              <w:bottom w:val="single" w:sz="6" w:space="0" w:color="83AD40"/>
            </w:tcBorders>
            <w:tcMar>
              <w:bottom w:w="300" w:type="dxa"/>
            </w:tcMar>
            <w:vAlign w:val="center"/>
          </w:tcPr>
          <w:p>
            <w:pPr>
              <w:pStyle w:val="TableContents"/>
              <w:bidi w:val="0"/>
              <w:spacing w:before="0" w:after="283"/>
              <w:jc w:val="left"/>
              <w:rPr>
                <w:spacing w:val="-2"/>
              </w:rPr>
            </w:pPr>
            <w:r>
              <w:rPr>
                <w:spacing w:val="-2"/>
              </w:rPr>
              <w:t xml:space="preserve">Our long-standing relationships and continued collaboration with our tenants are essential to long-term improvement of our portfolio’s energy performance, while providing our tenants with unique offerings to track and foster sustainability. </w:t>
            </w:r>
          </w:p>
        </w:tc>
        <w:tc>
          <w:tcPr>
            <w:tcW w:w="109" w:type="dxa"/>
            <w:tcBorders>
              <w:bottom w:val="single" w:sz="6" w:space="0" w:color="83AD40"/>
            </w:tcBorders>
            <w:tcMar>
              <w:bottom w:w="28" w:type="dxa"/>
            </w:tcMar>
            <w:vAlign w:val="center"/>
          </w:tcPr>
          <w:p>
            <w:pPr>
              <w:pStyle w:val="TableContents"/>
              <w:bidi w:val="0"/>
              <w:spacing w:before="0" w:after="283"/>
              <w:jc w:val="left"/>
              <w:rPr/>
            </w:pPr>
            <w:r>
              <w:rPr/>
              <w:t>​</w:t>
            </w:r>
          </w:p>
        </w:tc>
        <w:tc>
          <w:tcPr>
            <w:tcW w:w="109" w:type="dxa"/>
            <w:tcBorders>
              <w:bottom w:val="single" w:sz="2" w:space="0" w:color="83AD40"/>
            </w:tcBorders>
            <w:shd w:fill="83AD40" w:val="clear"/>
            <w:tcMar>
              <w:bottom w:w="28" w:type="dxa"/>
            </w:tcMar>
            <w:vAlign w:val="center"/>
          </w:tcPr>
          <w:p>
            <w:pPr>
              <w:pStyle w:val="TableContents"/>
              <w:bidi w:val="0"/>
              <w:spacing w:before="0" w:after="283"/>
              <w:jc w:val="left"/>
              <w:rPr/>
            </w:pPr>
            <w:r>
              <w:rPr/>
              <w:t>​</w:t>
            </w:r>
          </w:p>
        </w:tc>
        <w:tc>
          <w:tcPr>
            <w:tcW w:w="109" w:type="dxa"/>
            <w:tcBorders>
              <w:bottom w:val="single" w:sz="6" w:space="0" w:color="83AD40"/>
            </w:tcBorders>
            <w:tcMar>
              <w:bottom w:w="28" w:type="dxa"/>
            </w:tcMar>
            <w:vAlign w:val="center"/>
          </w:tcPr>
          <w:p>
            <w:pPr>
              <w:pStyle w:val="TableContents"/>
              <w:bidi w:val="0"/>
              <w:spacing w:before="0" w:after="283"/>
              <w:jc w:val="left"/>
              <w:rPr/>
            </w:pPr>
            <w:r>
              <w:rPr/>
              <w:t>​</w:t>
            </w:r>
          </w:p>
        </w:tc>
        <w:tc>
          <w:tcPr>
            <w:tcW w:w="1972" w:type="dxa"/>
            <w:tcBorders>
              <w:bottom w:val="single" w:sz="6" w:space="0" w:color="83AD40"/>
            </w:tcBorders>
            <w:tcMar>
              <w:bottom w:w="300" w:type="dxa"/>
            </w:tcMar>
            <w:vAlign w:val="center"/>
          </w:tcPr>
          <w:p>
            <w:pPr>
              <w:pStyle w:val="TableContents"/>
              <w:bidi w:val="0"/>
              <w:spacing w:before="0" w:after="283"/>
              <w:jc w:val="left"/>
              <w:rPr>
                <w:spacing w:val="-2"/>
              </w:rPr>
            </w:pPr>
            <w:r>
              <w:rPr>
                <w:spacing w:val="-2"/>
              </w:rPr>
              <w:t xml:space="preserve">Our success is linked to a thriving New York City. We support a variety of causes that address the physical, mental, and emotional needs of our community. We also create thousands of jobs and positive community impact. </w:t>
            </w:r>
          </w:p>
        </w:tc>
        <w:tc>
          <w:tcPr>
            <w:tcW w:w="109" w:type="dxa"/>
            <w:tcBorders>
              <w:bottom w:val="single" w:sz="6" w:space="0" w:color="83AD40"/>
            </w:tcBorders>
            <w:tcMar>
              <w:bottom w:w="28" w:type="dxa"/>
            </w:tcMar>
            <w:vAlign w:val="center"/>
          </w:tcPr>
          <w:p>
            <w:pPr>
              <w:pStyle w:val="TableContents"/>
              <w:bidi w:val="0"/>
              <w:spacing w:before="0" w:after="283"/>
              <w:jc w:val="left"/>
              <w:rPr/>
            </w:pPr>
            <w:r>
              <w:rPr/>
              <w:t>​</w:t>
            </w:r>
          </w:p>
        </w:tc>
        <w:tc>
          <w:tcPr>
            <w:tcW w:w="109" w:type="dxa"/>
            <w:tcBorders>
              <w:bottom w:val="single" w:sz="2" w:space="0" w:color="83AD40"/>
            </w:tcBorders>
            <w:shd w:fill="83AD40" w:val="clear"/>
            <w:tcMar>
              <w:bottom w:w="28" w:type="dxa"/>
            </w:tcMar>
            <w:vAlign w:val="center"/>
          </w:tcPr>
          <w:p>
            <w:pPr>
              <w:pStyle w:val="TableContents"/>
              <w:bidi w:val="0"/>
              <w:spacing w:before="0" w:after="283"/>
              <w:jc w:val="left"/>
              <w:rPr/>
            </w:pPr>
            <w:r>
              <w:rPr/>
              <w:t>​</w:t>
            </w:r>
          </w:p>
        </w:tc>
        <w:tc>
          <w:tcPr>
            <w:tcW w:w="109" w:type="dxa"/>
            <w:tcBorders>
              <w:bottom w:val="single" w:sz="6" w:space="0" w:color="83AD40"/>
            </w:tcBorders>
            <w:tcMar>
              <w:bottom w:w="28" w:type="dxa"/>
            </w:tcMar>
            <w:vAlign w:val="center"/>
          </w:tcPr>
          <w:p>
            <w:pPr>
              <w:pStyle w:val="TableContents"/>
              <w:bidi w:val="0"/>
              <w:spacing w:before="0" w:after="283"/>
              <w:jc w:val="left"/>
              <w:rPr/>
            </w:pPr>
            <w:r>
              <w:rPr/>
              <w:t>​</w:t>
            </w:r>
          </w:p>
        </w:tc>
        <w:tc>
          <w:tcPr>
            <w:tcW w:w="1998" w:type="dxa"/>
            <w:tcBorders>
              <w:bottom w:val="single" w:sz="6" w:space="0" w:color="83AD40"/>
            </w:tcBorders>
            <w:tcMar>
              <w:bottom w:w="300" w:type="dxa"/>
            </w:tcMar>
            <w:vAlign w:val="center"/>
          </w:tcPr>
          <w:p>
            <w:pPr>
              <w:pStyle w:val="TableContents"/>
              <w:bidi w:val="0"/>
              <w:spacing w:before="0" w:after="283"/>
              <w:jc w:val="left"/>
              <w:rPr/>
            </w:pPr>
            <w:r>
              <w:rPr>
                <w:spacing w:val="-2"/>
              </w:rPr>
              <w:t>Our ongoing efforts help attract and retain high- performing talent, maximize our portfolio and give back to our NYC community, elements which are essential to delivering long-term stockholder value.</w:t>
            </w:r>
            <w:r>
              <w:rPr/>
              <w:t xml:space="preserve"> </w:t>
            </w:r>
          </w:p>
        </w:tc>
        <w:tc>
          <w:tcPr>
            <w:tcW w:w="157" w:type="dxa"/>
            <w:tcBorders>
              <w:bottom w:val="single" w:sz="6" w:space="0" w:color="83AD40"/>
            </w:tcBorders>
            <w:tcMar>
              <w:bottom w:w="28" w:type="dxa"/>
            </w:tcMar>
            <w:vAlign w:val="center"/>
          </w:tcPr>
          <w:p>
            <w:pPr>
              <w:pStyle w:val="TableContents"/>
              <w:bidi w:val="0"/>
              <w:spacing w:before="0" w:after="283"/>
              <w:jc w:val="left"/>
              <w:rPr/>
            </w:pPr>
            <w:r>
              <w:rPr/>
              <w:t>​</w:t>
            </w:r>
          </w:p>
        </w:tc>
      </w:tr>
    </w:tbl>
    <w:tbl>
      <w:tblPr>
        <w:tblW w:w="9305" w:type="dxa"/>
        <w:jc w:val="left"/>
        <w:tblInd w:w="900" w:type="dxa"/>
        <w:tblLayout w:type="fixed"/>
        <w:tblCellMar>
          <w:top w:w="0" w:type="dxa"/>
          <w:left w:w="0" w:type="dxa"/>
          <w:bottom w:w="28" w:type="dxa"/>
          <w:right w:w="0" w:type="dxa"/>
        </w:tblCellMar>
      </w:tblPr>
      <w:tblGrid>
        <w:gridCol w:w="124"/>
        <w:gridCol w:w="1613"/>
        <w:gridCol w:w="109"/>
        <w:gridCol w:w="109"/>
        <w:gridCol w:w="7195"/>
        <w:gridCol w:w="155"/>
      </w:tblGrid>
      <w:tr>
        <w:trPr/>
        <w:tc>
          <w:tcPr>
            <w:tcW w:w="124" w:type="dxa"/>
            <w:tcBorders>
              <w:bottom w:val="single" w:sz="6" w:space="0" w:color="83AD40"/>
            </w:tcBorders>
            <w:vAlign w:val="center"/>
          </w:tcPr>
          <w:p>
            <w:pPr>
              <w:pStyle w:val="TableContents"/>
              <w:bidi w:val="0"/>
              <w:spacing w:before="0" w:after="283"/>
              <w:jc w:val="left"/>
              <w:rPr/>
            </w:pPr>
            <w:r>
              <w:rPr/>
              <w:t>​</w:t>
            </w:r>
          </w:p>
        </w:tc>
        <w:tc>
          <w:tcPr>
            <w:tcW w:w="1613" w:type="dxa"/>
            <w:tcBorders>
              <w:bottom w:val="single" w:sz="6" w:space="0" w:color="83AD40"/>
            </w:tcBorders>
            <w:vAlign w:val="center"/>
          </w:tcPr>
          <w:p>
            <w:pPr>
              <w:pStyle w:val="TableContents"/>
              <w:bidi w:val="0"/>
              <w:spacing w:before="0" w:after="0"/>
              <w:jc w:val="left"/>
              <w:rPr/>
            </w:pPr>
            <w:r>
              <w:rPr/>
              <w:drawing>
                <wp:inline distT="0" distB="0" distL="0" distR="0">
                  <wp:extent cx="962025" cy="962025"/>
                  <wp:effectExtent l="0" t="0" r="0" b="0"/>
                  <wp:docPr id="542" name="Image2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 name="Image212" descr=""/>
                          <pic:cNvPicPr>
                            <a:picLocks noChangeAspect="1" noChangeArrowheads="1"/>
                          </pic:cNvPicPr>
                        </pic:nvPicPr>
                        <pic:blipFill>
                          <a:blip r:embed="rId300"/>
                          <a:stretch>
                            <a:fillRect/>
                          </a:stretch>
                        </pic:blipFill>
                        <pic:spPr bwMode="auto">
                          <a:xfrm>
                            <a:off x="0" y="0"/>
                            <a:ext cx="962025" cy="962025"/>
                          </a:xfrm>
                          <a:prstGeom prst="rect">
                            <a:avLst/>
                          </a:prstGeom>
                        </pic:spPr>
                      </pic:pic>
                    </a:graphicData>
                  </a:graphic>
                </wp:inline>
              </w:drawing>
            </w:r>
            <w:r>
              <w:rPr/>
              <w:t xml:space="preserve"> </w:t>
            </w:r>
          </w:p>
        </w:tc>
        <w:tc>
          <w:tcPr>
            <w:tcW w:w="109" w:type="dxa"/>
            <w:tcBorders>
              <w:bottom w:val="single" w:sz="6" w:space="0" w:color="83AD40"/>
            </w:tcBorders>
            <w:vAlign w:val="center"/>
          </w:tcPr>
          <w:p>
            <w:pPr>
              <w:pStyle w:val="TableContents"/>
              <w:bidi w:val="0"/>
              <w:spacing w:before="0" w:after="283"/>
              <w:jc w:val="left"/>
              <w:rPr/>
            </w:pPr>
            <w:r>
              <w:rPr/>
              <w:t>​</w:t>
            </w:r>
          </w:p>
        </w:tc>
        <w:tc>
          <w:tcPr>
            <w:tcW w:w="109" w:type="dxa"/>
            <w:tcBorders>
              <w:bottom w:val="single" w:sz="6" w:space="0" w:color="83AD40"/>
            </w:tcBorders>
            <w:vAlign w:val="center"/>
          </w:tcPr>
          <w:p>
            <w:pPr>
              <w:pStyle w:val="TableContents"/>
              <w:bidi w:val="0"/>
              <w:spacing w:before="0" w:after="283"/>
              <w:jc w:val="left"/>
              <w:rPr/>
            </w:pPr>
            <w:r>
              <w:rPr/>
              <w:t>​</w:t>
            </w:r>
          </w:p>
        </w:tc>
        <w:tc>
          <w:tcPr>
            <w:tcW w:w="7195" w:type="dxa"/>
            <w:tcBorders>
              <w:bottom w:val="single" w:sz="6" w:space="0" w:color="83AD40"/>
            </w:tcBorders>
            <w:tcMar>
              <w:bottom w:w="235" w:type="dxa"/>
            </w:tcMar>
            <w:vAlign w:val="center"/>
          </w:tcPr>
          <w:p>
            <w:pPr>
              <w:pStyle w:val="TableContents"/>
              <w:bidi w:val="0"/>
              <w:spacing w:lineRule="atLeast" w:line="240" w:before="0" w:after="0"/>
              <w:jc w:val="left"/>
              <w:rPr>
                <w:b/>
                <w:color w:val="83AD40"/>
                <w:sz w:val="22"/>
              </w:rPr>
            </w:pPr>
            <w:r>
              <w:rPr>
                <w:b/>
                <w:color w:val="83AD40"/>
                <w:spacing w:val="-2"/>
                <w:sz w:val="22"/>
              </w:rPr>
              <w:t>ESG Oversight</w:t>
            </w:r>
            <w:r>
              <w:rPr>
                <w:b/>
                <w:color w:val="83AD40"/>
                <w:sz w:val="22"/>
              </w:rPr>
              <w:t xml:space="preserve"> </w:t>
            </w:r>
          </w:p>
          <w:p>
            <w:pPr>
              <w:pStyle w:val="TableContents"/>
              <w:bidi w:val="0"/>
              <w:spacing w:lineRule="atLeast" w:line="200" w:before="140" w:after="0"/>
              <w:ind w:left="180" w:right="0" w:hanging="0"/>
              <w:jc w:val="left"/>
              <w:rPr/>
            </w:pPr>
            <w:r>
              <w:rPr>
                <w:spacing w:val="-2"/>
              </w:rPr>
              <w:t>Reflecting its importance to our long-term strategic plan, the Board has designated the oversight of ESG matters, including related strategy and risk, to the Nominating and Corporate Governance Committee.</w:t>
            </w:r>
            <w:r>
              <w:rPr/>
              <w:t xml:space="preserve"> </w:t>
            </w:r>
            <w:r>
              <mc:AlternateContent>
                <mc:Choice Requires="wps">
                  <w:drawing>
                    <wp:anchor behindDoc="0" distT="88900" distB="0" distL="0" distR="0" simplePos="0" locked="0" layoutInCell="1" allowOverlap="1" relativeHeight="530">
                      <wp:simplePos x="0" y="0"/>
                      <wp:positionH relativeFrom="column">
                        <wp:align>left</wp:align>
                      </wp:positionH>
                      <wp:positionV relativeFrom="line">
                        <wp:align>top</wp:align>
                      </wp:positionV>
                      <wp:extent cx="114300" cy="350520"/>
                      <wp:effectExtent l="0" t="0" r="0" b="0"/>
                      <wp:wrapSquare wrapText="right"/>
                      <wp:docPr id="543" name="Frame250"/>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80" w:after="0"/>
              <w:ind w:left="180" w:right="0" w:hanging="0"/>
              <w:jc w:val="left"/>
              <w:rPr/>
            </w:pPr>
            <w:r>
              <w:rPr>
                <w:spacing w:val="-2"/>
              </w:rPr>
              <w:t>At the management level, ESG and human capital initiatives are overseen by Edward V. Piccinich, the Company’s Chief Operating Officer. ESG execution is led by senior management, with reporting to the Board and integration into climate risk management, operational and capital planning decisions.</w:t>
            </w:r>
            <w:r>
              <w:rPr/>
              <w:t xml:space="preserve"> </w:t>
            </w:r>
            <w:r>
              <mc:AlternateContent>
                <mc:Choice Requires="wps">
                  <w:drawing>
                    <wp:anchor behindDoc="0" distT="50800" distB="0" distL="0" distR="0" simplePos="0" locked="0" layoutInCell="1" allowOverlap="1" relativeHeight="535">
                      <wp:simplePos x="0" y="0"/>
                      <wp:positionH relativeFrom="column">
                        <wp:align>left</wp:align>
                      </wp:positionH>
                      <wp:positionV relativeFrom="line">
                        <wp:align>top</wp:align>
                      </wp:positionV>
                      <wp:extent cx="114300" cy="350520"/>
                      <wp:effectExtent l="0" t="0" r="0" b="0"/>
                      <wp:wrapSquare wrapText="right"/>
                      <wp:docPr id="544" name="Frame251"/>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80" w:after="0"/>
              <w:ind w:left="180" w:right="0" w:hanging="0"/>
              <w:jc w:val="left"/>
              <w:rPr/>
            </w:pPr>
            <w:r>
              <w:rPr>
                <w:spacing w:val="-2"/>
              </w:rPr>
              <w:t>Annual ESG reporting is conducted in accordance with GRI, CDP, GRESB, SASB, S&amp;P Global CSA and TCFD frameworks.</w:t>
            </w:r>
            <w:r>
              <w:rPr/>
              <w:t xml:space="preserve"> </w:t>
            </w:r>
            <w:r>
              <mc:AlternateContent>
                <mc:Choice Requires="wps">
                  <w:drawing>
                    <wp:anchor behindDoc="0" distT="50800" distB="0" distL="0" distR="0" simplePos="0" locked="0" layoutInCell="1" allowOverlap="1" relativeHeight="534">
                      <wp:simplePos x="0" y="0"/>
                      <wp:positionH relativeFrom="column">
                        <wp:align>left</wp:align>
                      </wp:positionH>
                      <wp:positionV relativeFrom="line">
                        <wp:align>top</wp:align>
                      </wp:positionV>
                      <wp:extent cx="114300" cy="350520"/>
                      <wp:effectExtent l="0" t="0" r="0" b="0"/>
                      <wp:wrapSquare wrapText="right"/>
                      <wp:docPr id="545" name="Frame252"/>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80" w:after="0"/>
              <w:ind w:left="180" w:right="0" w:hanging="0"/>
              <w:jc w:val="left"/>
              <w:rPr/>
            </w:pPr>
            <w:r>
              <w:rPr>
                <w:spacing w:val="-2"/>
              </w:rPr>
              <w:t>Environmental performance data is assured by a third party.</w:t>
            </w:r>
            <w:r>
              <w:rPr/>
              <w:t xml:space="preserve"> </w:t>
            </w:r>
            <w:r>
              <mc:AlternateContent>
                <mc:Choice Requires="wps">
                  <w:drawing>
                    <wp:anchor behindDoc="0" distT="50800" distB="0" distL="0" distR="0" simplePos="0" locked="0" layoutInCell="1" allowOverlap="1" relativeHeight="533">
                      <wp:simplePos x="0" y="0"/>
                      <wp:positionH relativeFrom="column">
                        <wp:align>left</wp:align>
                      </wp:positionH>
                      <wp:positionV relativeFrom="line">
                        <wp:align>top</wp:align>
                      </wp:positionV>
                      <wp:extent cx="114300" cy="350520"/>
                      <wp:effectExtent l="0" t="0" r="0" b="0"/>
                      <wp:wrapSquare wrapText="right"/>
                      <wp:docPr id="546" name="Frame253"/>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80" w:after="0"/>
              <w:ind w:left="180" w:right="0" w:hanging="0"/>
              <w:jc w:val="left"/>
              <w:rPr/>
            </w:pPr>
            <w:r>
              <w:rPr>
                <w:spacing w:val="-2"/>
              </w:rPr>
              <w:t>Physical environmental risk factors and transition risks related to environmental legislation are mitigated by energy management, long-term capital investments in energy efficiency, and tenant programs focused on sustainability.</w:t>
            </w:r>
            <w:r>
              <w:rPr/>
              <w:t xml:space="preserve"> </w:t>
            </w:r>
            <w:r>
              <mc:AlternateContent>
                <mc:Choice Requires="wps">
                  <w:drawing>
                    <wp:anchor behindDoc="0" distT="50800" distB="0" distL="0" distR="0" simplePos="0" locked="0" layoutInCell="1" allowOverlap="1" relativeHeight="532">
                      <wp:simplePos x="0" y="0"/>
                      <wp:positionH relativeFrom="column">
                        <wp:align>left</wp:align>
                      </wp:positionH>
                      <wp:positionV relativeFrom="line">
                        <wp:align>top</wp:align>
                      </wp:positionV>
                      <wp:extent cx="114300" cy="350520"/>
                      <wp:effectExtent l="0" t="0" r="0" b="0"/>
                      <wp:wrapSquare wrapText="right"/>
                      <wp:docPr id="547" name="Frame254"/>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80" w:after="50"/>
              <w:ind w:left="180" w:right="0" w:hanging="0"/>
              <w:jc w:val="left"/>
              <w:rPr>
                <w:spacing w:val="-2"/>
              </w:rPr>
            </w:pPr>
            <w:r>
              <w:rPr>
                <w:spacing w:val="-2"/>
              </w:rPr>
              <w:t xml:space="preserve">More information can be found in our 2025 ESG Report. </w:t>
            </w:r>
            <w:r>
              <mc:AlternateContent>
                <mc:Choice Requires="wps">
                  <w:drawing>
                    <wp:anchor behindDoc="0" distT="50800" distB="31750" distL="0" distR="0" simplePos="0" locked="0" layoutInCell="1" allowOverlap="1" relativeHeight="531">
                      <wp:simplePos x="0" y="0"/>
                      <wp:positionH relativeFrom="column">
                        <wp:align>left</wp:align>
                      </wp:positionH>
                      <wp:positionV relativeFrom="line">
                        <wp:align>top</wp:align>
                      </wp:positionV>
                      <wp:extent cx="114300" cy="350520"/>
                      <wp:effectExtent l="0" t="0" r="0" b="0"/>
                      <wp:wrapSquare wrapText="right"/>
                      <wp:docPr id="548" name="Frame255"/>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4pt;mso-wrap-distance-bottom:2.5pt;margin-top:4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bottom w:val="single" w:sz="6" w:space="0" w:color="83AD40"/>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613" w:type="dxa"/>
            <w:tcBorders/>
            <w:tcMar>
              <w:bottom w:w="0" w:type="dxa"/>
            </w:tcMar>
            <w:vAlign w:val="center"/>
          </w:tcPr>
          <w:p>
            <w:pPr>
              <w:pStyle w:val="TableContents"/>
              <w:bidi w:val="0"/>
              <w:spacing w:before="0" w:after="0"/>
              <w:jc w:val="left"/>
              <w:rPr/>
            </w:pPr>
            <w:r>
              <w:rPr/>
              <w:drawing>
                <wp:inline distT="0" distB="0" distL="0" distR="0">
                  <wp:extent cx="676275" cy="914400"/>
                  <wp:effectExtent l="0" t="0" r="0" b="0"/>
                  <wp:docPr id="549" name="Image2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9" name="Image213" descr=""/>
                          <pic:cNvPicPr>
                            <a:picLocks noChangeAspect="1" noChangeArrowheads="1"/>
                          </pic:cNvPicPr>
                        </pic:nvPicPr>
                        <pic:blipFill>
                          <a:blip r:embed="rId301"/>
                          <a:stretch>
                            <a:fillRect/>
                          </a:stretch>
                        </pic:blipFill>
                        <pic:spPr bwMode="auto">
                          <a:xfrm>
                            <a:off x="0" y="0"/>
                            <a:ext cx="676275" cy="914400"/>
                          </a:xfrm>
                          <a:prstGeom prst="rect">
                            <a:avLst/>
                          </a:prstGeom>
                        </pic:spPr>
                      </pic:pic>
                    </a:graphicData>
                  </a:graphic>
                </wp:inline>
              </w:drawing>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95" w:type="dxa"/>
            <w:tcBorders/>
            <w:tcMar>
              <w:bottom w:w="0" w:type="dxa"/>
            </w:tcMar>
            <w:vAlign w:val="center"/>
          </w:tcPr>
          <w:p>
            <w:pPr>
              <w:pStyle w:val="TableContents"/>
              <w:bidi w:val="0"/>
              <w:spacing w:lineRule="atLeast" w:line="240" w:before="0" w:after="0"/>
              <w:jc w:val="left"/>
              <w:rPr>
                <w:b/>
                <w:color w:val="83AD40"/>
                <w:sz w:val="22"/>
              </w:rPr>
            </w:pPr>
            <w:r>
              <w:rPr>
                <w:b/>
                <w:color w:val="83AD40"/>
                <w:spacing w:val="-2"/>
                <w:sz w:val="22"/>
              </w:rPr>
              <w:t>Emission Management Strategy</w:t>
            </w:r>
            <w:r>
              <w:rPr>
                <w:b/>
                <w:color w:val="83AD40"/>
                <w:sz w:val="22"/>
              </w:rPr>
              <w:t xml:space="preserve"> </w:t>
            </w:r>
          </w:p>
          <w:p>
            <w:pPr>
              <w:pStyle w:val="TableContents"/>
              <w:bidi w:val="0"/>
              <w:spacing w:lineRule="atLeast" w:line="200" w:before="140" w:after="283"/>
              <w:ind w:left="180" w:right="0" w:hanging="0"/>
              <w:jc w:val="left"/>
              <w:rPr/>
            </w:pPr>
            <w:r>
              <w:rPr>
                <w:spacing w:val="-2"/>
              </w:rPr>
              <w:t>1. Operational Efficiency</w:t>
            </w:r>
            <w:r>
              <w:rPr/>
              <w:t xml:space="preserve"> </w:t>
            </w:r>
          </w:p>
          <w:p>
            <w:pPr>
              <w:pStyle w:val="TableContents"/>
              <w:bidi w:val="0"/>
              <w:spacing w:lineRule="atLeast" w:line="200" w:before="120" w:after="283"/>
              <w:ind w:left="180" w:right="0" w:hanging="0"/>
              <w:jc w:val="left"/>
              <w:rPr/>
            </w:pPr>
            <w:r>
              <w:rPr>
                <w:spacing w:val="-2"/>
              </w:rPr>
              <w:t>2. Capital Improvements</w:t>
            </w:r>
            <w:r>
              <w:rPr/>
              <w:t xml:space="preserve"> </w:t>
            </w:r>
          </w:p>
          <w:p>
            <w:pPr>
              <w:pStyle w:val="TableContents"/>
              <w:bidi w:val="0"/>
              <w:spacing w:lineRule="atLeast" w:line="200" w:before="120" w:after="283"/>
              <w:ind w:left="180" w:right="0" w:hanging="0"/>
              <w:jc w:val="left"/>
              <w:rPr/>
            </w:pPr>
            <w:r>
              <w:rPr>
                <w:spacing w:val="-2"/>
              </w:rPr>
              <w:t>3. Energy Demand Management</w:t>
            </w:r>
            <w:r>
              <w:rPr/>
              <w:t xml:space="preserve"> </w:t>
            </w:r>
          </w:p>
          <w:p>
            <w:pPr>
              <w:pStyle w:val="TableContents"/>
              <w:bidi w:val="0"/>
              <w:spacing w:lineRule="atLeast" w:line="200" w:before="120" w:after="283"/>
              <w:ind w:left="180" w:right="0" w:hanging="0"/>
              <w:jc w:val="left"/>
              <w:rPr/>
            </w:pPr>
            <w:r>
              <w:rPr>
                <w:spacing w:val="-2"/>
              </w:rPr>
              <w:t>4. Training &amp; Development</w:t>
            </w:r>
            <w:r>
              <w:rPr/>
              <w:t xml:space="preserve"> </w:t>
            </w:r>
          </w:p>
          <w:p>
            <w:pPr>
              <w:pStyle w:val="TableContents"/>
              <w:bidi w:val="0"/>
              <w:spacing w:lineRule="atLeast" w:line="200" w:before="120" w:after="283"/>
              <w:ind w:left="180" w:right="0" w:hanging="0"/>
              <w:jc w:val="left"/>
              <w:rPr/>
            </w:pPr>
            <w:r>
              <w:rPr>
                <w:spacing w:val="-2"/>
              </w:rPr>
              <w:t>5. Tenant Engagement</w:t>
            </w:r>
            <w:r>
              <w:rPr/>
              <w:t xml:space="preserve"> </w:t>
            </w:r>
          </w:p>
          <w:p>
            <w:pPr>
              <w:pStyle w:val="TableContents"/>
              <w:bidi w:val="0"/>
              <w:spacing w:lineRule="atLeast" w:line="200" w:before="120" w:after="283"/>
              <w:ind w:left="180" w:right="0" w:hanging="0"/>
              <w:jc w:val="left"/>
              <w:rPr/>
            </w:pPr>
            <w:r>
              <w:rPr>
                <w:spacing w:val="-2"/>
              </w:rPr>
              <w:t>6. Embodied Carbon Reduction</w:t>
            </w:r>
            <w:r>
              <w:rPr/>
              <w:t xml:space="preserve"> </w:t>
            </w:r>
          </w:p>
          <w:p>
            <w:pPr>
              <w:pStyle w:val="TableContents"/>
              <w:bidi w:val="0"/>
              <w:spacing w:lineRule="atLeast" w:line="200" w:before="120" w:after="283"/>
              <w:ind w:left="180" w:right="0" w:hanging="0"/>
              <w:jc w:val="left"/>
              <w:rPr/>
            </w:pPr>
            <w:r>
              <w:rPr>
                <w:spacing w:val="-2"/>
              </w:rPr>
              <w:t>7. Supply Chain Management</w:t>
            </w:r>
            <w:r>
              <w:rPr/>
              <w:t xml:space="preserve"> </w:t>
            </w:r>
          </w:p>
          <w:p>
            <w:pPr>
              <w:pStyle w:val="TableContents"/>
              <w:bidi w:val="0"/>
              <w:spacing w:lineRule="atLeast" w:line="200" w:before="120" w:after="283"/>
              <w:ind w:left="180" w:right="0" w:hanging="0"/>
              <w:jc w:val="left"/>
              <w:rPr/>
            </w:pPr>
            <w:r>
              <w:rPr>
                <w:spacing w:val="-2"/>
              </w:rPr>
              <w:t>8. Renewables, Credits &amp; Offsets</w:t>
            </w:r>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225" w:type="dxa"/>
        <w:jc w:val="left"/>
        <w:tblInd w:w="900" w:type="dxa"/>
        <w:tblLayout w:type="fixed"/>
        <w:tblCellMar>
          <w:top w:w="0" w:type="dxa"/>
          <w:left w:w="0" w:type="dxa"/>
          <w:bottom w:w="0" w:type="dxa"/>
          <w:right w:w="0" w:type="dxa"/>
        </w:tblCellMar>
      </w:tblPr>
      <w:tblGrid>
        <w:gridCol w:w="124"/>
        <w:gridCol w:w="346"/>
        <w:gridCol w:w="109"/>
        <w:gridCol w:w="109"/>
        <w:gridCol w:w="4383"/>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34</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383" w:type="dxa"/>
            <w:tcBorders/>
            <w:vAlign w:val="center"/>
          </w:tcPr>
          <w:p>
            <w:pPr>
              <w:pStyle w:val="TableContents"/>
              <w:bidi w:val="0"/>
              <w:spacing w:lineRule="atLeast" w:line="200" w:before="0" w:after="0"/>
              <w:jc w:val="left"/>
              <w:rPr/>
            </w:pPr>
            <w:r>
              <w:rPr>
                <w:spacing w:val="-2"/>
              </w:rPr>
              <w:t>    </w:t>
            </w:r>
            <w:r>
              <w:rPr>
                <w:spacing w:val="-2"/>
                <w:sz w:val="16"/>
              </w:rPr>
              <w:t>SL GREEN REALTY CORP. 2026 PROXY STATEMENT</w:t>
            </w:r>
            <w:r>
              <w:rPr>
                <w:sz w:val="16"/>
              </w:rPr>
              <w:t xml:space="preserve"> </w:t>
            </w:r>
          </w:p>
        </w:tc>
        <w:tc>
          <w:tcPr>
            <w:tcW w:w="154" w:type="dxa"/>
            <w:tcBorders/>
            <w:vAlign w:val="center"/>
          </w:tcPr>
          <w:p>
            <w:pPr>
              <w:pStyle w:val="TableContents"/>
              <w:bidi w:val="0"/>
              <w:spacing w:before="0" w:after="283"/>
              <w:jc w:val="left"/>
              <w:rPr/>
            </w:pPr>
            <w:r>
              <w:rPr/>
              <w:t>​</w:t>
            </w:r>
          </w:p>
        </w:tc>
      </w:tr>
    </w:tbl>
    <w:tbl>
      <w:tblPr>
        <w:tblW w:w="9305" w:type="dxa"/>
        <w:jc w:val="left"/>
        <w:tblInd w:w="900" w:type="dxa"/>
        <w:tblLayout w:type="fixed"/>
        <w:tblCellMar>
          <w:top w:w="0" w:type="dxa"/>
          <w:left w:w="0" w:type="dxa"/>
          <w:bottom w:w="28" w:type="dxa"/>
          <w:right w:w="0" w:type="dxa"/>
        </w:tblCellMar>
      </w:tblPr>
      <w:tblGrid>
        <w:gridCol w:w="124"/>
        <w:gridCol w:w="1611"/>
        <w:gridCol w:w="109"/>
        <w:gridCol w:w="109"/>
        <w:gridCol w:w="7197"/>
        <w:gridCol w:w="155"/>
      </w:tblGrid>
      <w:tr>
        <w:trPr/>
        <w:tc>
          <w:tcPr>
            <w:tcW w:w="124" w:type="dxa"/>
            <w:tcBorders>
              <w:bottom w:val="single" w:sz="6" w:space="0" w:color="83AD40"/>
            </w:tcBorders>
            <w:vAlign w:val="center"/>
          </w:tcPr>
          <w:p>
            <w:pPr>
              <w:pStyle w:val="TableContents"/>
              <w:bidi w:val="0"/>
              <w:spacing w:before="0" w:after="283"/>
              <w:jc w:val="left"/>
              <w:rPr/>
            </w:pPr>
            <w:r>
              <w:rPr/>
              <w:t>​</w:t>
            </w:r>
          </w:p>
        </w:tc>
        <w:tc>
          <w:tcPr>
            <w:tcW w:w="1611" w:type="dxa"/>
            <w:tcBorders>
              <w:bottom w:val="single" w:sz="6" w:space="0" w:color="83AD40"/>
            </w:tcBorders>
            <w:vAlign w:val="center"/>
          </w:tcPr>
          <w:p>
            <w:pPr>
              <w:pStyle w:val="TableContents"/>
              <w:bidi w:val="0"/>
              <w:spacing w:lineRule="atLeast" w:line="200" w:before="0" w:after="0"/>
              <w:jc w:val="left"/>
              <w:rPr/>
            </w:pPr>
            <w:r>
              <w:rPr>
                <w:spacing w:val="-2"/>
              </w:rPr>
              <w:t xml:space="preserve">  </w:t>
            </w:r>
            <w:r>
              <w:rPr>
                <w:spacing w:val="-2"/>
              </w:rPr>
              <w:br/>
              <w:t> </w:t>
            </w:r>
            <w:r>
              <w:rPr/>
              <w:t xml:space="preserve"> </w:t>
            </w:r>
          </w:p>
          <w:p>
            <w:pPr>
              <w:pStyle w:val="TableContents"/>
              <w:bidi w:val="0"/>
              <w:spacing w:before="20" w:after="283"/>
              <w:jc w:val="left"/>
              <w:rPr/>
            </w:pPr>
            <w:r>
              <w:rPr/>
              <w:drawing>
                <wp:inline distT="0" distB="0" distL="0" distR="0">
                  <wp:extent cx="619125" cy="809625"/>
                  <wp:effectExtent l="0" t="0" r="0" b="0"/>
                  <wp:docPr id="550" name="Image2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0" name="Image214" descr=""/>
                          <pic:cNvPicPr>
                            <a:picLocks noChangeAspect="1" noChangeArrowheads="1"/>
                          </pic:cNvPicPr>
                        </pic:nvPicPr>
                        <pic:blipFill>
                          <a:blip r:embed="rId302"/>
                          <a:stretch>
                            <a:fillRect/>
                          </a:stretch>
                        </pic:blipFill>
                        <pic:spPr bwMode="auto">
                          <a:xfrm>
                            <a:off x="0" y="0"/>
                            <a:ext cx="619125" cy="809625"/>
                          </a:xfrm>
                          <a:prstGeom prst="rect">
                            <a:avLst/>
                          </a:prstGeom>
                        </pic:spPr>
                      </pic:pic>
                    </a:graphicData>
                  </a:graphic>
                </wp:inline>
              </w:drawing>
            </w:r>
            <w:r>
              <w:rPr/>
              <w:t xml:space="preserve"> </w:t>
            </w:r>
          </w:p>
        </w:tc>
        <w:tc>
          <w:tcPr>
            <w:tcW w:w="109" w:type="dxa"/>
            <w:tcBorders>
              <w:bottom w:val="single" w:sz="6" w:space="0" w:color="83AD40"/>
            </w:tcBorders>
            <w:vAlign w:val="center"/>
          </w:tcPr>
          <w:p>
            <w:pPr>
              <w:pStyle w:val="TableContents"/>
              <w:bidi w:val="0"/>
              <w:spacing w:before="0" w:after="283"/>
              <w:jc w:val="left"/>
              <w:rPr/>
            </w:pPr>
            <w:r>
              <w:rPr/>
              <w:t>​</w:t>
            </w:r>
          </w:p>
        </w:tc>
        <w:tc>
          <w:tcPr>
            <w:tcW w:w="109" w:type="dxa"/>
            <w:tcBorders>
              <w:bottom w:val="single" w:sz="6" w:space="0" w:color="83AD40"/>
            </w:tcBorders>
            <w:vAlign w:val="center"/>
          </w:tcPr>
          <w:p>
            <w:pPr>
              <w:pStyle w:val="TableContents"/>
              <w:bidi w:val="0"/>
              <w:spacing w:before="0" w:after="283"/>
              <w:jc w:val="left"/>
              <w:rPr/>
            </w:pPr>
            <w:r>
              <w:rPr/>
              <w:t>​</w:t>
            </w:r>
          </w:p>
        </w:tc>
        <w:tc>
          <w:tcPr>
            <w:tcW w:w="7197" w:type="dxa"/>
            <w:tcBorders>
              <w:bottom w:val="single" w:sz="6" w:space="0" w:color="83AD40"/>
            </w:tcBorders>
            <w:tcMar>
              <w:bottom w:w="235" w:type="dxa"/>
            </w:tcMar>
            <w:vAlign w:val="center"/>
          </w:tcPr>
          <w:p>
            <w:pPr>
              <w:pStyle w:val="TableContents"/>
              <w:bidi w:val="0"/>
              <w:spacing w:before="130" w:after="283"/>
              <w:ind w:left="0" w:right="0" w:hanging="0"/>
              <w:jc w:val="both"/>
              <w:rPr>
                <w:bdr w:val="single" w:sz="8" w:space="1" w:color="83AD40"/>
              </w:rPr>
            </w:pPr>
            <w:r>
              <w:rPr>
                <w:bdr w:val="single" w:sz="8" w:space="1" w:color="83AD40"/>
              </w:rPr>
              <w:t>​</w:t>
            </w:r>
          </w:p>
          <w:p>
            <w:pPr>
              <w:pStyle w:val="TableContents"/>
              <w:bidi w:val="0"/>
              <w:spacing w:lineRule="atLeast" w:line="240" w:before="300" w:after="283"/>
              <w:jc w:val="left"/>
              <w:rPr>
                <w:b/>
                <w:color w:val="83AD40"/>
                <w:sz w:val="22"/>
              </w:rPr>
            </w:pPr>
            <w:r>
              <w:rPr>
                <w:b/>
                <w:color w:val="83AD40"/>
                <w:spacing w:val="-2"/>
                <w:sz w:val="22"/>
              </w:rPr>
              <w:t>NYC Climate Regulation—Local Law 97 (LL97)—Response</w:t>
            </w:r>
            <w:r>
              <w:rPr>
                <w:b/>
                <w:color w:val="83AD40"/>
                <w:sz w:val="22"/>
              </w:rPr>
              <w:t xml:space="preserve"> </w:t>
            </w:r>
          </w:p>
          <w:p>
            <w:pPr>
              <w:pStyle w:val="TableContents"/>
              <w:bidi w:val="0"/>
              <w:spacing w:lineRule="atLeast" w:line="200" w:before="140" w:after="0"/>
              <w:ind w:left="180" w:right="0" w:hanging="0"/>
              <w:jc w:val="left"/>
              <w:rPr/>
            </w:pPr>
            <w:r>
              <w:rPr>
                <w:spacing w:val="-2"/>
              </w:rPr>
              <w:t>New York City’s Climate Mobilization Act’s Local Law 97 (LL97) requires buildings greater than 25,000 square feet to meet strict emissions limits.</w:t>
            </w:r>
            <w:r>
              <w:rPr/>
              <w:t xml:space="preserve"> </w:t>
            </w:r>
            <w:r>
              <mc:AlternateContent>
                <mc:Choice Requires="wps">
                  <w:drawing>
                    <wp:anchor behindDoc="0" distT="88900" distB="0" distL="0" distR="0" simplePos="0" locked="0" layoutInCell="1" allowOverlap="1" relativeHeight="854">
                      <wp:simplePos x="0" y="0"/>
                      <wp:positionH relativeFrom="column">
                        <wp:align>left</wp:align>
                      </wp:positionH>
                      <wp:positionV relativeFrom="line">
                        <wp:align>top</wp:align>
                      </wp:positionV>
                      <wp:extent cx="114300" cy="350520"/>
                      <wp:effectExtent l="0" t="0" r="0" b="0"/>
                      <wp:wrapSquare wrapText="right"/>
                      <wp:docPr id="551" name="Frame256"/>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60" w:after="0"/>
              <w:ind w:left="180" w:right="0" w:hanging="0"/>
              <w:jc w:val="left"/>
              <w:rPr/>
            </w:pPr>
            <w:r>
              <w:rPr>
                <w:spacing w:val="-2"/>
              </w:rPr>
              <w:t>SL Green’s entire portfolio is fully compliant with LL97 initial compliance period 2024—2029 emission limits.</w:t>
            </w:r>
            <w:r>
              <w:rPr/>
              <w:t xml:space="preserve"> </w:t>
            </w:r>
            <w:r>
              <mc:AlternateContent>
                <mc:Choice Requires="wps">
                  <w:drawing>
                    <wp:anchor behindDoc="0" distT="38100" distB="0" distL="0" distR="0" simplePos="0" locked="0" layoutInCell="1" allowOverlap="1" relativeHeight="857">
                      <wp:simplePos x="0" y="0"/>
                      <wp:positionH relativeFrom="column">
                        <wp:align>left</wp:align>
                      </wp:positionH>
                      <wp:positionV relativeFrom="line">
                        <wp:align>top</wp:align>
                      </wp:positionV>
                      <wp:extent cx="114300" cy="350520"/>
                      <wp:effectExtent l="0" t="0" r="0" b="0"/>
                      <wp:wrapSquare wrapText="right"/>
                      <wp:docPr id="552" name="Frame257"/>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20" w:after="0"/>
              <w:ind w:left="180" w:right="0" w:hanging="0"/>
              <w:jc w:val="left"/>
              <w:rPr/>
            </w:pPr>
            <w:r>
              <w:rPr>
                <w:spacing w:val="-2"/>
              </w:rPr>
              <w:t>We are taking critical steps to manage and further reduce emissions in order to meet more stringent LL97 compliance requirements starting in 2030. These steps include:</w:t>
            </w:r>
            <w:r>
              <w:rPr/>
              <w:t xml:space="preserve"> </w:t>
            </w:r>
            <w:r>
              <mc:AlternateContent>
                <mc:Choice Requires="wps">
                  <w:drawing>
                    <wp:anchor behindDoc="0" distT="76200" distB="0" distL="0" distR="0" simplePos="0" locked="0" layoutInCell="1" allowOverlap="1" relativeHeight="858">
                      <wp:simplePos x="0" y="0"/>
                      <wp:positionH relativeFrom="column">
                        <wp:align>left</wp:align>
                      </wp:positionH>
                      <wp:positionV relativeFrom="line">
                        <wp:align>top</wp:align>
                      </wp:positionV>
                      <wp:extent cx="114300" cy="350520"/>
                      <wp:effectExtent l="0" t="0" r="0" b="0"/>
                      <wp:wrapSquare wrapText="right"/>
                      <wp:docPr id="553" name="Frame258"/>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40" w:after="0"/>
              <w:ind w:left="360" w:right="0" w:hanging="0"/>
              <w:jc w:val="left"/>
              <w:rPr/>
            </w:pPr>
            <w:r>
              <w:rPr>
                <w:spacing w:val="-2"/>
              </w:rPr>
              <w:t>Ongoing Retro Commissioning</w:t>
            </w:r>
            <w:r>
              <w:rPr/>
              <w:t xml:space="preserve"> </w:t>
            </w:r>
            <w:r>
              <mc:AlternateContent>
                <mc:Choice Requires="wps">
                  <w:drawing>
                    <wp:anchor behindDoc="0" distT="88900" distB="0" distL="114300" distR="0" simplePos="0" locked="0" layoutInCell="1" allowOverlap="1" relativeHeight="861">
                      <wp:simplePos x="0" y="0"/>
                      <wp:positionH relativeFrom="column">
                        <wp:align>left</wp:align>
                      </wp:positionH>
                      <wp:positionV relativeFrom="line">
                        <wp:align>top</wp:align>
                      </wp:positionV>
                      <wp:extent cx="114300" cy="350520"/>
                      <wp:effectExtent l="0" t="0" r="0" b="0"/>
                      <wp:wrapSquare wrapText="right"/>
                      <wp:docPr id="554" name="Frame259"/>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7pt;mso-wrap-distance-bottom:0pt;margin-top:7pt;mso-position-vertical:top;mso-position-vertical-relative:text;margin-left:9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80" w:after="0"/>
              <w:ind w:left="360" w:right="0" w:hanging="0"/>
              <w:jc w:val="left"/>
              <w:rPr/>
            </w:pPr>
            <w:r>
              <w:rPr>
                <w:spacing w:val="-2"/>
              </w:rPr>
              <w:t>Identified Energy Conservation Measures (ECMs)</w:t>
            </w:r>
            <w:r>
              <w:rPr/>
              <w:t xml:space="preserve"> </w:t>
            </w:r>
            <w:r>
              <mc:AlternateContent>
                <mc:Choice Requires="wps">
                  <w:drawing>
                    <wp:anchor behindDoc="0" distT="50800" distB="0" distL="114300" distR="0" simplePos="0" locked="0" layoutInCell="1" allowOverlap="1" relativeHeight="862">
                      <wp:simplePos x="0" y="0"/>
                      <wp:positionH relativeFrom="column">
                        <wp:align>left</wp:align>
                      </wp:positionH>
                      <wp:positionV relativeFrom="line">
                        <wp:align>top</wp:align>
                      </wp:positionV>
                      <wp:extent cx="114300" cy="350520"/>
                      <wp:effectExtent l="0" t="0" r="0" b="0"/>
                      <wp:wrapSquare wrapText="right"/>
                      <wp:docPr id="555" name="Frame260"/>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4pt;mso-wrap-distance-bottom:0pt;margin-top:4pt;mso-position-vertical:top;mso-position-vertical-relative:text;margin-left:9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80" w:after="0"/>
              <w:ind w:left="360" w:right="0" w:hanging="0"/>
              <w:jc w:val="left"/>
              <w:rPr/>
            </w:pPr>
            <w:r>
              <w:rPr>
                <w:spacing w:val="-2"/>
              </w:rPr>
              <w:t>Semi-annually reprioritizing 5- and 10-year Capital Plans</w:t>
            </w:r>
            <w:r>
              <w:rPr/>
              <w:t xml:space="preserve"> </w:t>
            </w:r>
            <w:r>
              <mc:AlternateContent>
                <mc:Choice Requires="wps">
                  <w:drawing>
                    <wp:anchor behindDoc="0" distT="50800" distB="0" distL="114300" distR="0" simplePos="0" locked="0" layoutInCell="1" allowOverlap="1" relativeHeight="859">
                      <wp:simplePos x="0" y="0"/>
                      <wp:positionH relativeFrom="column">
                        <wp:align>left</wp:align>
                      </wp:positionH>
                      <wp:positionV relativeFrom="line">
                        <wp:align>top</wp:align>
                      </wp:positionV>
                      <wp:extent cx="114300" cy="350520"/>
                      <wp:effectExtent l="0" t="0" r="0" b="0"/>
                      <wp:wrapSquare wrapText="right"/>
                      <wp:docPr id="556" name="Frame261"/>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4pt;mso-wrap-distance-bottom:0pt;margin-top:4pt;mso-position-vertical:top;mso-position-vertical-relative:text;margin-left:9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80" w:after="0"/>
              <w:ind w:left="360" w:right="0" w:hanging="0"/>
              <w:jc w:val="left"/>
              <w:rPr/>
            </w:pPr>
            <w:r>
              <w:rPr>
                <w:spacing w:val="-2"/>
              </w:rPr>
              <w:t>Evaluating Incentive Opportunities</w:t>
            </w:r>
            <w:r>
              <w:rPr/>
              <w:t xml:space="preserve"> </w:t>
            </w:r>
            <w:r>
              <mc:AlternateContent>
                <mc:Choice Requires="wps">
                  <w:drawing>
                    <wp:anchor behindDoc="0" distT="50800" distB="0" distL="114300" distR="0" simplePos="0" locked="0" layoutInCell="1" allowOverlap="1" relativeHeight="855">
                      <wp:simplePos x="0" y="0"/>
                      <wp:positionH relativeFrom="column">
                        <wp:align>left</wp:align>
                      </wp:positionH>
                      <wp:positionV relativeFrom="line">
                        <wp:align>top</wp:align>
                      </wp:positionV>
                      <wp:extent cx="114300" cy="350520"/>
                      <wp:effectExtent l="0" t="0" r="0" b="0"/>
                      <wp:wrapSquare wrapText="right"/>
                      <wp:docPr id="557" name="Frame262"/>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4pt;mso-wrap-distance-bottom:0pt;margin-top:4pt;mso-position-vertical:top;mso-position-vertical-relative:text;margin-left:9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80" w:after="0"/>
              <w:ind w:left="360" w:right="0" w:hanging="0"/>
              <w:jc w:val="left"/>
              <w:rPr/>
            </w:pPr>
            <w:r>
              <w:rPr>
                <w:spacing w:val="-2"/>
              </w:rPr>
              <w:t>Facilitating Tenant Energy Incentives</w:t>
            </w:r>
            <w:r>
              <w:rPr/>
              <w:t xml:space="preserve"> </w:t>
            </w:r>
            <w:r>
              <mc:AlternateContent>
                <mc:Choice Requires="wps">
                  <w:drawing>
                    <wp:anchor behindDoc="0" distT="50800" distB="0" distL="114300" distR="0" simplePos="0" locked="0" layoutInCell="1" allowOverlap="1" relativeHeight="852">
                      <wp:simplePos x="0" y="0"/>
                      <wp:positionH relativeFrom="column">
                        <wp:align>left</wp:align>
                      </wp:positionH>
                      <wp:positionV relativeFrom="line">
                        <wp:align>top</wp:align>
                      </wp:positionV>
                      <wp:extent cx="114300" cy="350520"/>
                      <wp:effectExtent l="0" t="0" r="0" b="0"/>
                      <wp:wrapSquare wrapText="right"/>
                      <wp:docPr id="558" name="Frame263"/>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4pt;mso-wrap-distance-bottom:0pt;margin-top:4pt;mso-position-vertical:top;mso-position-vertical-relative:text;margin-left:9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80" w:after="0"/>
              <w:ind w:left="360" w:right="0" w:hanging="0"/>
              <w:jc w:val="left"/>
              <w:rPr/>
            </w:pPr>
            <w:r>
              <w:rPr>
                <w:spacing w:val="-2"/>
              </w:rPr>
              <w:t>Educating Stakeholders on Compliance Requirements</w:t>
            </w:r>
            <w:r>
              <w:rPr/>
              <w:t xml:space="preserve"> </w:t>
            </w:r>
            <w:r>
              <mc:AlternateContent>
                <mc:Choice Requires="wps">
                  <w:drawing>
                    <wp:anchor behindDoc="0" distT="50800" distB="0" distL="114300" distR="0" simplePos="0" locked="0" layoutInCell="1" allowOverlap="1" relativeHeight="851">
                      <wp:simplePos x="0" y="0"/>
                      <wp:positionH relativeFrom="column">
                        <wp:align>left</wp:align>
                      </wp:positionH>
                      <wp:positionV relativeFrom="line">
                        <wp:align>top</wp:align>
                      </wp:positionV>
                      <wp:extent cx="114300" cy="350520"/>
                      <wp:effectExtent l="0" t="0" r="0" b="0"/>
                      <wp:wrapSquare wrapText="right"/>
                      <wp:docPr id="559" name="Frame264"/>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4pt;mso-wrap-distance-bottom:0pt;margin-top:4pt;mso-position-vertical:top;mso-position-vertical-relative:text;margin-left:9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80" w:after="0"/>
              <w:ind w:left="360" w:right="0" w:hanging="0"/>
              <w:jc w:val="left"/>
              <w:rPr/>
            </w:pPr>
            <w:r>
              <w:rPr>
                <w:spacing w:val="-2"/>
              </w:rPr>
              <w:t>Participating in Industry Committees to Provide Feedback on Proposed Rulemaking</w:t>
            </w:r>
            <w:r>
              <w:rPr/>
              <w:t xml:space="preserve"> </w:t>
            </w:r>
            <w:r>
              <mc:AlternateContent>
                <mc:Choice Requires="wps">
                  <w:drawing>
                    <wp:anchor behindDoc="0" distT="50800" distB="0" distL="114300" distR="0" simplePos="0" locked="0" layoutInCell="1" allowOverlap="1" relativeHeight="768">
                      <wp:simplePos x="0" y="0"/>
                      <wp:positionH relativeFrom="column">
                        <wp:align>left</wp:align>
                      </wp:positionH>
                      <wp:positionV relativeFrom="line">
                        <wp:align>top</wp:align>
                      </wp:positionV>
                      <wp:extent cx="114300" cy="350520"/>
                      <wp:effectExtent l="0" t="0" r="0" b="0"/>
                      <wp:wrapSquare wrapText="right"/>
                      <wp:docPr id="560" name="Frame265"/>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4pt;mso-wrap-distance-bottom:0pt;margin-top:4pt;mso-position-vertical:top;mso-position-vertical-relative:text;margin-left:9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80" w:after="50"/>
              <w:ind w:left="360" w:right="0" w:hanging="0"/>
              <w:jc w:val="left"/>
              <w:rPr/>
            </w:pPr>
            <w:r>
              <w:rPr>
                <w:spacing w:val="-2"/>
              </w:rPr>
              <w:t>Analyzing Building Composition to Identify Energy-Intensive Spaces</w:t>
            </w:r>
            <w:r>
              <w:rPr/>
              <w:t xml:space="preserve"> </w:t>
            </w:r>
            <w:r>
              <mc:AlternateContent>
                <mc:Choice Requires="wps">
                  <w:drawing>
                    <wp:anchor behindDoc="0" distT="50800" distB="31750" distL="114300" distR="0" simplePos="0" locked="0" layoutInCell="1" allowOverlap="1" relativeHeight="536">
                      <wp:simplePos x="0" y="0"/>
                      <wp:positionH relativeFrom="column">
                        <wp:align>left</wp:align>
                      </wp:positionH>
                      <wp:positionV relativeFrom="line">
                        <wp:align>top</wp:align>
                      </wp:positionV>
                      <wp:extent cx="114300" cy="350520"/>
                      <wp:effectExtent l="0" t="0" r="0" b="0"/>
                      <wp:wrapSquare wrapText="right"/>
                      <wp:docPr id="561" name="Frame266"/>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4pt;mso-wrap-distance-bottom:2.5pt;margin-top:4pt;mso-position-vertical:top;mso-position-vertical-relative:text;margin-left:9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bottom w:val="single" w:sz="6" w:space="0" w:color="83AD40"/>
            </w:tcBorders>
            <w:vAlign w:val="center"/>
          </w:tcPr>
          <w:p>
            <w:pPr>
              <w:pStyle w:val="TableContents"/>
              <w:bidi w:val="0"/>
              <w:spacing w:before="0" w:after="283"/>
              <w:jc w:val="left"/>
              <w:rPr/>
            </w:pPr>
            <w:r>
              <w:rPr/>
              <w:t>​</w:t>
            </w:r>
          </w:p>
        </w:tc>
      </w:tr>
      <w:tr>
        <w:trPr/>
        <w:tc>
          <w:tcPr>
            <w:tcW w:w="124" w:type="dxa"/>
            <w:tcBorders>
              <w:bottom w:val="single" w:sz="6" w:space="0" w:color="83AD40"/>
            </w:tcBorders>
            <w:vAlign w:val="center"/>
          </w:tcPr>
          <w:p>
            <w:pPr>
              <w:pStyle w:val="TableContents"/>
              <w:bidi w:val="0"/>
              <w:spacing w:before="0" w:after="283"/>
              <w:jc w:val="left"/>
              <w:rPr/>
            </w:pPr>
            <w:r>
              <w:rPr/>
              <w:t>​</w:t>
            </w:r>
          </w:p>
        </w:tc>
        <w:tc>
          <w:tcPr>
            <w:tcW w:w="1611" w:type="dxa"/>
            <w:tcBorders>
              <w:bottom w:val="single" w:sz="6" w:space="0" w:color="83AD40"/>
            </w:tcBorders>
            <w:vAlign w:val="center"/>
          </w:tcPr>
          <w:p>
            <w:pPr>
              <w:pStyle w:val="TableContents"/>
              <w:bidi w:val="0"/>
              <w:spacing w:before="0" w:after="0"/>
              <w:jc w:val="left"/>
              <w:rPr/>
            </w:pPr>
            <w:r>
              <w:rPr/>
              <w:drawing>
                <wp:inline distT="0" distB="0" distL="0" distR="0">
                  <wp:extent cx="952500" cy="847725"/>
                  <wp:effectExtent l="0" t="0" r="0" b="0"/>
                  <wp:docPr id="562" name="Image2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2" name="Image215" descr=""/>
                          <pic:cNvPicPr>
                            <a:picLocks noChangeAspect="1" noChangeArrowheads="1"/>
                          </pic:cNvPicPr>
                        </pic:nvPicPr>
                        <pic:blipFill>
                          <a:blip r:embed="rId303"/>
                          <a:stretch>
                            <a:fillRect/>
                          </a:stretch>
                        </pic:blipFill>
                        <pic:spPr bwMode="auto">
                          <a:xfrm>
                            <a:off x="0" y="0"/>
                            <a:ext cx="952500" cy="847725"/>
                          </a:xfrm>
                          <a:prstGeom prst="rect">
                            <a:avLst/>
                          </a:prstGeom>
                        </pic:spPr>
                      </pic:pic>
                    </a:graphicData>
                  </a:graphic>
                </wp:inline>
              </w:drawing>
            </w:r>
            <w:r>
              <w:rPr/>
              <w:t xml:space="preserve"> </w:t>
            </w:r>
          </w:p>
        </w:tc>
        <w:tc>
          <w:tcPr>
            <w:tcW w:w="109" w:type="dxa"/>
            <w:tcBorders>
              <w:bottom w:val="single" w:sz="6" w:space="0" w:color="83AD40"/>
            </w:tcBorders>
            <w:vAlign w:val="center"/>
          </w:tcPr>
          <w:p>
            <w:pPr>
              <w:pStyle w:val="TableContents"/>
              <w:bidi w:val="0"/>
              <w:spacing w:before="0" w:after="283"/>
              <w:jc w:val="left"/>
              <w:rPr/>
            </w:pPr>
            <w:r>
              <w:rPr/>
              <w:t>​</w:t>
            </w:r>
          </w:p>
        </w:tc>
        <w:tc>
          <w:tcPr>
            <w:tcW w:w="109" w:type="dxa"/>
            <w:tcBorders>
              <w:bottom w:val="single" w:sz="6" w:space="0" w:color="83AD40"/>
            </w:tcBorders>
            <w:vAlign w:val="center"/>
          </w:tcPr>
          <w:p>
            <w:pPr>
              <w:pStyle w:val="TableContents"/>
              <w:bidi w:val="0"/>
              <w:spacing w:before="0" w:after="283"/>
              <w:jc w:val="left"/>
              <w:rPr/>
            </w:pPr>
            <w:r>
              <w:rPr/>
              <w:t>​</w:t>
            </w:r>
          </w:p>
        </w:tc>
        <w:tc>
          <w:tcPr>
            <w:tcW w:w="7197" w:type="dxa"/>
            <w:tcBorders>
              <w:bottom w:val="single" w:sz="6" w:space="0" w:color="83AD40"/>
            </w:tcBorders>
            <w:tcMar>
              <w:bottom w:w="235" w:type="dxa"/>
            </w:tcMar>
            <w:vAlign w:val="center"/>
          </w:tcPr>
          <w:p>
            <w:pPr>
              <w:pStyle w:val="TableContents"/>
              <w:bidi w:val="0"/>
              <w:spacing w:lineRule="atLeast" w:line="240" w:before="0" w:after="0"/>
              <w:jc w:val="left"/>
              <w:rPr>
                <w:b/>
                <w:color w:val="83AD40"/>
                <w:sz w:val="22"/>
              </w:rPr>
            </w:pPr>
            <w:r>
              <w:rPr>
                <w:b/>
                <w:color w:val="83AD40"/>
                <w:spacing w:val="-2"/>
                <w:sz w:val="22"/>
              </w:rPr>
              <w:t>Human Capital Management</w:t>
            </w:r>
            <w:r>
              <w:rPr>
                <w:b/>
                <w:color w:val="83AD40"/>
                <w:sz w:val="22"/>
              </w:rPr>
              <w:t xml:space="preserve"> </w:t>
            </w:r>
          </w:p>
          <w:p>
            <w:pPr>
              <w:pStyle w:val="TableContents"/>
              <w:bidi w:val="0"/>
              <w:spacing w:lineRule="atLeast" w:line="180" w:before="140" w:after="0"/>
              <w:ind w:left="180" w:right="0" w:hanging="0"/>
              <w:jc w:val="left"/>
              <w:rPr/>
            </w:pPr>
            <w:r>
              <w:rPr>
                <w:spacing w:val="-2"/>
              </w:rPr>
              <w:t>Proud to be recognized as a Great Place to Work for four consecutive years</w:t>
            </w:r>
            <w:r>
              <w:rPr/>
              <w:t xml:space="preserve"> </w:t>
            </w:r>
            <w:r>
              <mc:AlternateContent>
                <mc:Choice Requires="wps">
                  <w:drawing>
                    <wp:anchor behindDoc="0" distT="88900" distB="0" distL="0" distR="0" simplePos="0" locked="0" layoutInCell="1" allowOverlap="1" relativeHeight="537">
                      <wp:simplePos x="0" y="0"/>
                      <wp:positionH relativeFrom="column">
                        <wp:align>left</wp:align>
                      </wp:positionH>
                      <wp:positionV relativeFrom="line">
                        <wp:align>top</wp:align>
                      </wp:positionV>
                      <wp:extent cx="114300" cy="350520"/>
                      <wp:effectExtent l="0" t="0" r="0" b="0"/>
                      <wp:wrapSquare wrapText="right"/>
                      <wp:docPr id="563" name="Frame267"/>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60" w:after="0"/>
              <w:ind w:left="180" w:right="0" w:hanging="0"/>
              <w:jc w:val="left"/>
              <w:rPr/>
            </w:pPr>
            <w:r>
              <w:rPr>
                <w:spacing w:val="-2"/>
              </w:rPr>
              <w:t>25% of corporate employees have worked at SL Green for &gt;10 years, and 76% of open corporate management positions were filled by internal promotions</w:t>
            </w:r>
            <w:r>
              <w:rPr/>
              <w:t xml:space="preserve"> </w:t>
            </w:r>
            <w:r>
              <mc:AlternateContent>
                <mc:Choice Requires="wps">
                  <w:drawing>
                    <wp:anchor behindDoc="0" distT="38100" distB="0" distL="0" distR="0" simplePos="0" locked="0" layoutInCell="1" allowOverlap="1" relativeHeight="538">
                      <wp:simplePos x="0" y="0"/>
                      <wp:positionH relativeFrom="column">
                        <wp:align>left</wp:align>
                      </wp:positionH>
                      <wp:positionV relativeFrom="line">
                        <wp:align>top</wp:align>
                      </wp:positionV>
                      <wp:extent cx="114300" cy="350520"/>
                      <wp:effectExtent l="0" t="0" r="0" b="0"/>
                      <wp:wrapSquare wrapText="right"/>
                      <wp:docPr id="564" name="Frame268"/>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60" w:after="0"/>
              <w:ind w:left="180" w:right="0" w:hanging="0"/>
              <w:jc w:val="left"/>
              <w:rPr/>
            </w:pPr>
            <w:r>
              <w:rPr>
                <w:spacing w:val="-2"/>
              </w:rPr>
              <w:t>Market-leading benefits program spanning healthcare, 401(k) match, employee stock purchase plan, disability and advanced fertility coverage, wellness and life insurance</w:t>
            </w:r>
            <w:r>
              <w:rPr/>
              <w:t xml:space="preserve"> </w:t>
            </w:r>
            <w:r>
              <mc:AlternateContent>
                <mc:Choice Requires="wps">
                  <w:drawing>
                    <wp:anchor behindDoc="0" distT="38100" distB="0" distL="0" distR="0" simplePos="0" locked="0" layoutInCell="1" allowOverlap="1" relativeHeight="539">
                      <wp:simplePos x="0" y="0"/>
                      <wp:positionH relativeFrom="column">
                        <wp:align>left</wp:align>
                      </wp:positionH>
                      <wp:positionV relativeFrom="line">
                        <wp:align>top</wp:align>
                      </wp:positionV>
                      <wp:extent cx="114300" cy="350520"/>
                      <wp:effectExtent l="0" t="0" r="0" b="0"/>
                      <wp:wrapSquare wrapText="right"/>
                      <wp:docPr id="565" name="Frame269"/>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60" w:after="0"/>
              <w:ind w:left="180" w:right="0" w:hanging="0"/>
              <w:jc w:val="left"/>
              <w:rPr/>
            </w:pPr>
            <w:r>
              <w:rPr>
                <w:spacing w:val="-2"/>
              </w:rPr>
              <w:t>Investments in human capital development through training programs, tuition reimbursement and ongoing education</w:t>
            </w:r>
            <w:r>
              <w:rPr/>
              <w:t xml:space="preserve"> </w:t>
            </w:r>
            <w:r>
              <mc:AlternateContent>
                <mc:Choice Requires="wps">
                  <w:drawing>
                    <wp:anchor behindDoc="0" distT="38100" distB="0" distL="0" distR="0" simplePos="0" locked="0" layoutInCell="1" allowOverlap="1" relativeHeight="540">
                      <wp:simplePos x="0" y="0"/>
                      <wp:positionH relativeFrom="column">
                        <wp:align>left</wp:align>
                      </wp:positionH>
                      <wp:positionV relativeFrom="line">
                        <wp:align>top</wp:align>
                      </wp:positionV>
                      <wp:extent cx="114300" cy="350520"/>
                      <wp:effectExtent l="0" t="0" r="0" b="0"/>
                      <wp:wrapSquare wrapText="right"/>
                      <wp:docPr id="566" name="Frame270"/>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80" w:after="50"/>
              <w:ind w:left="180" w:right="0" w:hanging="0"/>
              <w:jc w:val="left"/>
              <w:rPr>
                <w:spacing w:val="-2"/>
              </w:rPr>
            </w:pPr>
            <w:r>
              <w:rPr>
                <w:spacing w:val="-2"/>
              </w:rPr>
              <w:t xml:space="preserve">Zero tolerance, anti-discrimination and anti-harassment policies and training </w:t>
            </w:r>
            <w:r>
              <mc:AlternateContent>
                <mc:Choice Requires="wps">
                  <w:drawing>
                    <wp:anchor behindDoc="0" distT="50800" distB="31750" distL="0" distR="0" simplePos="0" locked="0" layoutInCell="1" allowOverlap="1" relativeHeight="541">
                      <wp:simplePos x="0" y="0"/>
                      <wp:positionH relativeFrom="column">
                        <wp:align>left</wp:align>
                      </wp:positionH>
                      <wp:positionV relativeFrom="line">
                        <wp:align>top</wp:align>
                      </wp:positionV>
                      <wp:extent cx="114300" cy="350520"/>
                      <wp:effectExtent l="0" t="0" r="0" b="0"/>
                      <wp:wrapSquare wrapText="right"/>
                      <wp:docPr id="567" name="Frame271"/>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4pt;mso-wrap-distance-bottom:2.5pt;margin-top:4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bottom w:val="single" w:sz="6" w:space="0" w:color="83AD40"/>
            </w:tcBorders>
            <w:vAlign w:val="center"/>
          </w:tcPr>
          <w:p>
            <w:pPr>
              <w:pStyle w:val="TableContents"/>
              <w:bidi w:val="0"/>
              <w:spacing w:before="0" w:after="283"/>
              <w:jc w:val="left"/>
              <w:rPr/>
            </w:pPr>
            <w:r>
              <w:rPr/>
              <w:t>​</w:t>
            </w:r>
          </w:p>
        </w:tc>
      </w:tr>
      <w:tr>
        <w:trPr/>
        <w:tc>
          <w:tcPr>
            <w:tcW w:w="124" w:type="dxa"/>
            <w:tcBorders>
              <w:bottom w:val="single" w:sz="2" w:space="0" w:color="83AD40"/>
            </w:tcBorders>
            <w:vAlign w:val="center"/>
          </w:tcPr>
          <w:p>
            <w:pPr>
              <w:pStyle w:val="TableContents"/>
              <w:bidi w:val="0"/>
              <w:spacing w:before="0" w:after="283"/>
              <w:jc w:val="left"/>
              <w:rPr/>
            </w:pPr>
            <w:r>
              <w:rPr/>
              <w:t>​</w:t>
            </w:r>
          </w:p>
        </w:tc>
        <w:tc>
          <w:tcPr>
            <w:tcW w:w="1611" w:type="dxa"/>
            <w:tcBorders>
              <w:bottom w:val="single" w:sz="2" w:space="0" w:color="83AD40"/>
            </w:tcBorders>
            <w:vAlign w:val="center"/>
          </w:tcPr>
          <w:p>
            <w:pPr>
              <w:pStyle w:val="TableContents"/>
              <w:bidi w:val="0"/>
              <w:spacing w:before="0" w:after="0"/>
              <w:jc w:val="both"/>
              <w:rPr/>
            </w:pPr>
            <w:r>
              <w:rPr/>
              <w:drawing>
                <wp:inline distT="0" distB="0" distL="0" distR="0">
                  <wp:extent cx="962025" cy="942975"/>
                  <wp:effectExtent l="0" t="0" r="0" b="0"/>
                  <wp:docPr id="568" name="Image2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8" name="Image216" descr=""/>
                          <pic:cNvPicPr>
                            <a:picLocks noChangeAspect="1" noChangeArrowheads="1"/>
                          </pic:cNvPicPr>
                        </pic:nvPicPr>
                        <pic:blipFill>
                          <a:blip r:embed="rId304"/>
                          <a:stretch>
                            <a:fillRect/>
                          </a:stretch>
                        </pic:blipFill>
                        <pic:spPr bwMode="auto">
                          <a:xfrm>
                            <a:off x="0" y="0"/>
                            <a:ext cx="962025" cy="942975"/>
                          </a:xfrm>
                          <a:prstGeom prst="rect">
                            <a:avLst/>
                          </a:prstGeom>
                        </pic:spPr>
                      </pic:pic>
                    </a:graphicData>
                  </a:graphic>
                </wp:inline>
              </w:drawing>
            </w:r>
            <w:r>
              <w:rPr/>
              <w:t xml:space="preserve"> </w:t>
            </w:r>
          </w:p>
        </w:tc>
        <w:tc>
          <w:tcPr>
            <w:tcW w:w="109" w:type="dxa"/>
            <w:tcBorders>
              <w:bottom w:val="single" w:sz="2" w:space="0" w:color="83AD40"/>
            </w:tcBorders>
            <w:vAlign w:val="center"/>
          </w:tcPr>
          <w:p>
            <w:pPr>
              <w:pStyle w:val="TableContents"/>
              <w:bidi w:val="0"/>
              <w:spacing w:before="0" w:after="283"/>
              <w:jc w:val="left"/>
              <w:rPr/>
            </w:pPr>
            <w:r>
              <w:rPr/>
              <w:t>​</w:t>
            </w:r>
          </w:p>
        </w:tc>
        <w:tc>
          <w:tcPr>
            <w:tcW w:w="109" w:type="dxa"/>
            <w:tcBorders>
              <w:bottom w:val="single" w:sz="2" w:space="0" w:color="83AD40"/>
            </w:tcBorders>
            <w:vAlign w:val="center"/>
          </w:tcPr>
          <w:p>
            <w:pPr>
              <w:pStyle w:val="TableContents"/>
              <w:bidi w:val="0"/>
              <w:spacing w:before="0" w:after="283"/>
              <w:jc w:val="left"/>
              <w:rPr/>
            </w:pPr>
            <w:r>
              <w:rPr/>
              <w:t>​</w:t>
            </w:r>
          </w:p>
        </w:tc>
        <w:tc>
          <w:tcPr>
            <w:tcW w:w="7197" w:type="dxa"/>
            <w:tcBorders>
              <w:bottom w:val="single" w:sz="2" w:space="0" w:color="83AD40"/>
            </w:tcBorders>
            <w:tcMar>
              <w:bottom w:w="235" w:type="dxa"/>
            </w:tcMar>
            <w:vAlign w:val="center"/>
          </w:tcPr>
          <w:p>
            <w:pPr>
              <w:pStyle w:val="TableContents"/>
              <w:bidi w:val="0"/>
              <w:spacing w:lineRule="atLeast" w:line="240" w:before="0" w:after="0"/>
              <w:jc w:val="left"/>
              <w:rPr>
                <w:b/>
                <w:color w:val="83AD40"/>
                <w:sz w:val="22"/>
              </w:rPr>
            </w:pPr>
            <w:r>
              <w:rPr>
                <w:b/>
                <w:color w:val="83AD40"/>
                <w:spacing w:val="-2"/>
                <w:sz w:val="22"/>
              </w:rPr>
              <w:t>Corporate Philanthropy</w:t>
            </w:r>
            <w:r>
              <w:rPr>
                <w:b/>
                <w:color w:val="83AD40"/>
                <w:sz w:val="22"/>
              </w:rPr>
              <w:t xml:space="preserve"> </w:t>
            </w:r>
          </w:p>
          <w:p>
            <w:pPr>
              <w:pStyle w:val="TableContents"/>
              <w:bidi w:val="0"/>
              <w:spacing w:lineRule="atLeast" w:line="200" w:before="140" w:after="0"/>
              <w:ind w:left="180" w:right="0" w:hanging="0"/>
              <w:jc w:val="left"/>
              <w:rPr/>
            </w:pPr>
            <w:r>
              <w:rPr>
                <w:spacing w:val="-2"/>
              </w:rPr>
              <w:t>Over $23 million in financial support contributed to over 500 charitable organizations in New York City and beyond since 2014</w:t>
            </w:r>
            <w:r>
              <w:rPr/>
              <w:t xml:space="preserve"> </w:t>
            </w:r>
            <w:r>
              <mc:AlternateContent>
                <mc:Choice Requires="wps">
                  <w:drawing>
                    <wp:anchor behindDoc="0" distT="88900" distB="0" distL="0" distR="0" simplePos="0" locked="0" layoutInCell="1" allowOverlap="1" relativeHeight="863">
                      <wp:simplePos x="0" y="0"/>
                      <wp:positionH relativeFrom="column">
                        <wp:align>left</wp:align>
                      </wp:positionH>
                      <wp:positionV relativeFrom="line">
                        <wp:align>top</wp:align>
                      </wp:positionV>
                      <wp:extent cx="114300" cy="350520"/>
                      <wp:effectExtent l="0" t="0" r="0" b="0"/>
                      <wp:wrapSquare wrapText="right"/>
                      <wp:docPr id="569" name="Frame272"/>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60" w:after="0"/>
              <w:ind w:left="180" w:right="0" w:hanging="0"/>
              <w:jc w:val="left"/>
              <w:rPr/>
            </w:pPr>
            <w:r>
              <w:rPr>
                <w:spacing w:val="-2"/>
              </w:rPr>
              <w:t>Co-founded FOOD1st to address NYC food insecurity; delivered over 1,000,000 meals since April 2020</w:t>
            </w:r>
            <w:r>
              <w:rPr/>
              <w:t xml:space="preserve"> </w:t>
            </w:r>
            <w:r>
              <mc:AlternateContent>
                <mc:Choice Requires="wps">
                  <w:drawing>
                    <wp:anchor behindDoc="0" distT="38100" distB="0" distL="0" distR="0" simplePos="0" locked="0" layoutInCell="1" allowOverlap="1" relativeHeight="860">
                      <wp:simplePos x="0" y="0"/>
                      <wp:positionH relativeFrom="column">
                        <wp:align>left</wp:align>
                      </wp:positionH>
                      <wp:positionV relativeFrom="line">
                        <wp:align>top</wp:align>
                      </wp:positionV>
                      <wp:extent cx="114300" cy="350520"/>
                      <wp:effectExtent l="0" t="0" r="0" b="0"/>
                      <wp:wrapSquare wrapText="right"/>
                      <wp:docPr id="570" name="Frame273"/>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60" w:after="0"/>
              <w:ind w:left="180" w:right="0" w:hanging="0"/>
              <w:jc w:val="left"/>
              <w:rPr/>
            </w:pPr>
            <w:r>
              <w:rPr>
                <w:spacing w:val="-2"/>
              </w:rPr>
              <w:t>Under the Governor’s Committee on Scholastic Achievement, a non-for-profit that connects high school students from underperforming New York communities with corporate mentors, SL Green employees volunteer as mentors, intended to provide local high school students with the knowledge of what is required to succeed in the “real world”</w:t>
            </w:r>
            <w:r>
              <w:rPr/>
              <w:t xml:space="preserve"> </w:t>
            </w:r>
            <w:r>
              <mc:AlternateContent>
                <mc:Choice Requires="wps">
                  <w:drawing>
                    <wp:anchor behindDoc="0" distT="38100" distB="0" distL="0" distR="0" simplePos="0" locked="0" layoutInCell="1" allowOverlap="1" relativeHeight="856">
                      <wp:simplePos x="0" y="0"/>
                      <wp:positionH relativeFrom="column">
                        <wp:align>left</wp:align>
                      </wp:positionH>
                      <wp:positionV relativeFrom="line">
                        <wp:align>top</wp:align>
                      </wp:positionV>
                      <wp:extent cx="114300" cy="350520"/>
                      <wp:effectExtent l="0" t="0" r="0" b="0"/>
                      <wp:wrapSquare wrapText="right"/>
                      <wp:docPr id="571" name="Frame274"/>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60" w:after="0"/>
              <w:ind w:left="180" w:right="0" w:hanging="0"/>
              <w:jc w:val="left"/>
              <w:rPr/>
            </w:pPr>
            <w:r>
              <w:rPr>
                <w:spacing w:val="-2"/>
              </w:rPr>
              <w:t>Encourage employees to give back to the community by offering one paid day off per year to participate in volunteer or community outreach activities with the organization of their choice</w:t>
            </w:r>
            <w:r>
              <w:rPr/>
              <w:t xml:space="preserve"> </w:t>
            </w:r>
            <w:r>
              <mc:AlternateContent>
                <mc:Choice Requires="wps">
                  <w:drawing>
                    <wp:anchor behindDoc="0" distT="38100" distB="0" distL="0" distR="0" simplePos="0" locked="0" layoutInCell="1" allowOverlap="1" relativeHeight="853">
                      <wp:simplePos x="0" y="0"/>
                      <wp:positionH relativeFrom="column">
                        <wp:align>left</wp:align>
                      </wp:positionH>
                      <wp:positionV relativeFrom="line">
                        <wp:align>top</wp:align>
                      </wp:positionV>
                      <wp:extent cx="114300" cy="350520"/>
                      <wp:effectExtent l="0" t="0" r="0" b="0"/>
                      <wp:wrapSquare wrapText="right"/>
                      <wp:docPr id="572" name="Frame275"/>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60" w:after="55"/>
              <w:ind w:left="180" w:right="0" w:hanging="0"/>
              <w:jc w:val="left"/>
              <w:rPr/>
            </w:pPr>
            <w:r>
              <w:rPr>
                <w:spacing w:val="-2"/>
              </w:rPr>
              <w:t>Ongoing donation of one percent of gross ticket sales at SUMMIT, One Vanderbilt’s immersive observatory experience, to New York focused charities through the SUMMIT Foundation</w:t>
            </w:r>
            <w:r>
              <w:rPr/>
              <w:t xml:space="preserve"> </w:t>
            </w:r>
            <w:r>
              <mc:AlternateContent>
                <mc:Choice Requires="wps">
                  <w:drawing>
                    <wp:anchor behindDoc="0" distT="38100" distB="34925" distL="0" distR="0" simplePos="0" locked="0" layoutInCell="1" allowOverlap="1" relativeHeight="542">
                      <wp:simplePos x="0" y="0"/>
                      <wp:positionH relativeFrom="column">
                        <wp:align>left</wp:align>
                      </wp:positionH>
                      <wp:positionV relativeFrom="line">
                        <wp:align>top</wp:align>
                      </wp:positionV>
                      <wp:extent cx="114300" cy="350520"/>
                      <wp:effectExtent l="0" t="0" r="0" b="0"/>
                      <wp:wrapSquare wrapText="right"/>
                      <wp:docPr id="573" name="Frame276"/>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3pt;mso-wrap-distance-bottom:2.75pt;margin-top:3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bottom w:val="single" w:sz="2" w:space="0" w:color="83AD40"/>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8095" w:type="dxa"/>
        <w:jc w:val="left"/>
        <w:tblInd w:w="900" w:type="dxa"/>
        <w:tblLayout w:type="fixed"/>
        <w:tblCellMar>
          <w:top w:w="0" w:type="dxa"/>
          <w:left w:w="0" w:type="dxa"/>
          <w:bottom w:w="0" w:type="dxa"/>
          <w:right w:w="0" w:type="dxa"/>
        </w:tblCellMar>
      </w:tblPr>
      <w:tblGrid>
        <w:gridCol w:w="124"/>
        <w:gridCol w:w="7253"/>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7253" w:type="dxa"/>
            <w:tcBorders/>
            <w:vAlign w:val="center"/>
          </w:tcPr>
          <w:p>
            <w:pPr>
              <w:pStyle w:val="TableContents"/>
              <w:bidi w:val="0"/>
              <w:spacing w:lineRule="atLeast" w:line="200" w:before="0" w:after="0"/>
              <w:jc w:val="left"/>
              <w:rPr/>
            </w:pPr>
            <w:r>
              <w:rPr>
                <w:spacing w:val="-2"/>
              </w:rPr>
              <w:t>OUR BOARD OF DIRECTORS AND CORPORATE GOVERNANCE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color w:val="1F2668"/>
                <w:sz w:val="24"/>
              </w:rPr>
            </w:pPr>
            <w:r>
              <w:rPr>
                <w:color w:val="1F2668"/>
                <w:sz w:val="24"/>
              </w:rPr>
              <w:t>35</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300" w:before="560" w:after="154"/>
        <w:ind w:left="900" w:right="0" w:hanging="0"/>
        <w:jc w:val="left"/>
        <w:rPr>
          <w:rFonts w:ascii="Arial;Helvetica;sans-serif" w:hAnsi="Arial;Helvetica;sans-serif"/>
          <w:b/>
          <w:i w:val="false"/>
          <w:caps w:val="false"/>
          <w:smallCaps w:val="false"/>
          <w:color w:val="1F2668"/>
          <w:sz w:val="26"/>
        </w:rPr>
      </w:pPr>
      <w:r>
        <w:rPr>
          <w:rFonts w:ascii="Arial;Helvetica;sans-serif" w:hAnsi="Arial;Helvetica;sans-serif"/>
          <w:b/>
          <w:i w:val="false"/>
          <w:caps w:val="false"/>
          <w:smallCaps w:val="false"/>
          <w:color w:val="1F2668"/>
          <w:spacing w:val="-3"/>
          <w:sz w:val="26"/>
        </w:rPr>
        <w:t>Governance Principles</w:t>
      </w:r>
      <w:r>
        <w:rPr>
          <w:rFonts w:ascii="Arial;Helvetica;sans-serif" w:hAnsi="Arial;Helvetica;sans-serif"/>
          <w:b/>
          <w:i w:val="false"/>
          <w:caps w:val="false"/>
          <w:smallCaps w:val="false"/>
          <w:color w:val="000000"/>
          <w:spacing w:val="5"/>
          <w:sz w:val="26"/>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The Board adopted Governance Principles that address significant issues of corporate governance and set forth procedures by which the Board carries out its responsibilities. A copy of the Governance Principles is available on our website at https://slgreen.gcs-web.com/corporate-governance. Among the areas addressed by the Governance Principles are director qualification standards, director responsibilities, director access to management and independent advisors, director compensation, director orientation and continuing education, management succession, annual performance evaluation of the Board and management responsibilities. Our Nominating and Corporate Governance Committee is responsible for, among other things, assessing and periodically reviewing the adequacy of the Governance Principles and will recommend, as appropriate, proposed changes to the Board. Although there is no one-size-fits all approach to corporate governance, we believe that our Governance Principles are aligned with the expectations of our stockholders.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300" w:before="360" w:after="283"/>
        <w:jc w:val="left"/>
        <w:rPr>
          <w:rFonts w:ascii="Arial;Helvetica;sans-serif" w:hAnsi="Arial;Helvetica;sans-serif"/>
          <w:b/>
          <w:i w:val="false"/>
          <w:caps w:val="false"/>
          <w:smallCaps w:val="false"/>
          <w:color w:val="1F2668"/>
          <w:sz w:val="26"/>
        </w:rPr>
      </w:pPr>
      <w:r>
        <w:rPr>
          <w:rFonts w:ascii="Arial;Helvetica;sans-serif" w:hAnsi="Arial;Helvetica;sans-serif"/>
          <w:b/>
          <w:i w:val="false"/>
          <w:caps w:val="false"/>
          <w:smallCaps w:val="false"/>
          <w:color w:val="1F2668"/>
          <w:spacing w:val="-3"/>
          <w:sz w:val="26"/>
        </w:rPr>
        <w:t>Code of Ethics</w:t>
      </w:r>
      <w:r>
        <w:rPr>
          <w:rFonts w:ascii="Arial;Helvetica;sans-serif" w:hAnsi="Arial;Helvetica;sans-serif"/>
          <w:b/>
          <w:i w:val="false"/>
          <w:caps w:val="false"/>
          <w:smallCaps w:val="false"/>
          <w:color w:val="000000"/>
          <w:spacing w:val="5"/>
          <w:sz w:val="26"/>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The Board adopted a Code of Ethics that applies to our directors, executive officers and employees. The Code of Ethics is available on our website at https://slgreen.gcs-web.com/corporate-governance. The Code of Ethics is designed to assist our directors, executive officers and employees in complying with legal requirements and in resolving moral and ethical issues that may arise, and in complying with our policies and procedures. Among the areas addressed by the Code of Ethics are legal compliance, conflicts of interest, use and protection of the Company’s assets, confidentiality, communications with the public, accounting matters, records retention, fair dealing, discrimination, harassment and health and safety. We intend to disclose on our corporate website, at the address listed above, any amendment to, or waiver of, any provisions of this Code applicable to our directors and executive officers that would otherwise be required to be disclosed under the rules of the SEC or the NYSE.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300" w:before="360" w:after="283"/>
        <w:jc w:val="left"/>
        <w:rPr>
          <w:rFonts w:ascii="Arial;Helvetica;sans-serif" w:hAnsi="Arial;Helvetica;sans-serif"/>
          <w:b/>
          <w:i w:val="false"/>
          <w:caps w:val="false"/>
          <w:smallCaps w:val="false"/>
          <w:color w:val="1F2668"/>
          <w:sz w:val="26"/>
        </w:rPr>
      </w:pPr>
      <w:r>
        <w:rPr>
          <w:rFonts w:ascii="Arial;Helvetica;sans-serif" w:hAnsi="Arial;Helvetica;sans-serif"/>
          <w:b/>
          <w:i w:val="false"/>
          <w:caps w:val="false"/>
          <w:smallCaps w:val="false"/>
          <w:color w:val="1F2668"/>
          <w:spacing w:val="-3"/>
          <w:sz w:val="26"/>
        </w:rPr>
        <w:t>Whistleblowing and Whistleblower Protection Policy</w:t>
      </w:r>
      <w:r>
        <w:rPr>
          <w:rFonts w:ascii="Arial;Helvetica;sans-serif" w:hAnsi="Arial;Helvetica;sans-serif"/>
          <w:b/>
          <w:i w:val="false"/>
          <w:caps w:val="false"/>
          <w:smallCaps w:val="false"/>
          <w:color w:val="000000"/>
          <w:spacing w:val="5"/>
          <w:sz w:val="26"/>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We have adopted a Whistleblowing and Whistleblower Protection Policy, requiring our employees to report if they observe, suspect or become aware of a violation of applicable laws, regulations, or business ethics standards. Pursuant to that policy, the Audit Committee established procedures for (1) the receipt, retention and treatment of complaints received by the Company regarding accounting, internal accounting controls or auditing matters, and (2) the confidential and anonymous submission by our employees of concerns regarding questionable accounting or auditing matters. If you wish to contact our Audit Committee to report complaints or concerns relating to the financial reporting of the Company, you may do so in writing to the Chair of our Audit Committee, c/o Andrew S. Levine, Secretary, SL Green Realty Corp., One Vanderbilt Avenue, New York, New York 10017-3852. Any such communications may be made anonymously.</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300" w:before="360" w:after="283"/>
        <w:jc w:val="left"/>
        <w:rPr>
          <w:rFonts w:ascii="Arial;Helvetica;sans-serif" w:hAnsi="Arial;Helvetica;sans-serif"/>
          <w:b/>
          <w:i w:val="false"/>
          <w:caps w:val="false"/>
          <w:smallCaps w:val="false"/>
          <w:color w:val="1F2668"/>
          <w:sz w:val="26"/>
        </w:rPr>
      </w:pPr>
      <w:r>
        <w:rPr>
          <w:rFonts w:ascii="Arial;Helvetica;sans-serif" w:hAnsi="Arial;Helvetica;sans-serif"/>
          <w:b/>
          <w:i w:val="false"/>
          <w:caps w:val="false"/>
          <w:smallCaps w:val="false"/>
          <w:color w:val="1F2668"/>
          <w:spacing w:val="-3"/>
          <w:sz w:val="26"/>
        </w:rPr>
        <w:t>Additional Information</w:t>
      </w:r>
      <w:r>
        <w:rPr>
          <w:rFonts w:ascii="Arial;Helvetica;sans-serif" w:hAnsi="Arial;Helvetica;sans-serif"/>
          <w:b/>
          <w:i w:val="false"/>
          <w:caps w:val="false"/>
          <w:smallCaps w:val="false"/>
          <w:color w:val="000000"/>
          <w:spacing w:val="5"/>
          <w:sz w:val="26"/>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You are encouraged to visit the “Investors—Corporate Governance” section of our corporate website at www.slgreen.com to view or obtain copies of our committee charters, Code of Ethics, Governance Principles and director independence standards. The information found on, or accessible through, our website is not incorporated into, and does not form a part of, this proxy statement or any other report or document we file with, or furnish to, the SEC. You also may obtain, free of charge, a copy of the respective charters of our committees, Code of Ethics, Governance Principles and director independence standards by directing your request in writing to SL Green Realty Corp., One Vanderbilt Avenue, New York, New York 10017-3852.</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300" w:before="360" w:after="283"/>
        <w:jc w:val="left"/>
        <w:rPr>
          <w:rFonts w:ascii="Arial;Helvetica;sans-serif" w:hAnsi="Arial;Helvetica;sans-serif"/>
          <w:b/>
          <w:i w:val="false"/>
          <w:caps w:val="false"/>
          <w:smallCaps w:val="false"/>
          <w:color w:val="1F2668"/>
          <w:sz w:val="26"/>
        </w:rPr>
      </w:pPr>
      <w:r>
        <w:rPr>
          <w:rFonts w:ascii="Arial;Helvetica;sans-serif" w:hAnsi="Arial;Helvetica;sans-serif"/>
          <w:b/>
          <w:i w:val="false"/>
          <w:caps w:val="false"/>
          <w:smallCaps w:val="false"/>
          <w:color w:val="1F2668"/>
          <w:spacing w:val="-3"/>
          <w:sz w:val="26"/>
        </w:rPr>
        <w:t>Lobbying, Political Contributions and Trade Associations</w:t>
      </w:r>
      <w:r>
        <w:rPr>
          <w:rFonts w:ascii="Arial;Helvetica;sans-serif" w:hAnsi="Arial;Helvetica;sans-serif"/>
          <w:b/>
          <w:i w:val="false"/>
          <w:caps w:val="false"/>
          <w:smallCaps w:val="false"/>
          <w:color w:val="000000"/>
          <w:spacing w:val="5"/>
          <w:sz w:val="26"/>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pacing w:val="-2"/>
          <w:sz w:val="18"/>
        </w:rPr>
      </w:pPr>
      <w:r>
        <w:rPr>
          <w:rFonts w:ascii="Arial;Helvetica;sans-serif" w:hAnsi="Arial;Helvetica;sans-serif"/>
          <w:b w:val="false"/>
          <w:i w:val="false"/>
          <w:caps w:val="false"/>
          <w:smallCaps w:val="false"/>
          <w:color w:val="000000"/>
          <w:spacing w:val="-2"/>
          <w:sz w:val="18"/>
        </w:rPr>
        <w:t xml:space="preserve">The Company believes that participation in the public policy process is an important and essential means of enhancing stockholder value. Our efforts in this area are directly overseen by our CEO and reviewed periodically by the full Board and on an ongoing basis by our legal department to ensure compliance with applicable laws.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tDICO"/>
      <w:bookmarkEnd w:id="14"/>
      <w:r>
        <w:rPr>
          <w:rFonts w:ascii="calibri;arial;sans-serif" w:hAnsi="calibri;arial;sans-serif"/>
          <w:b w:val="false"/>
          <w:i w:val="false"/>
          <w:caps w:val="false"/>
          <w:smallCaps w:val="false"/>
          <w:color w:val="000000"/>
          <w:sz w:val="16"/>
        </w:rPr>
        <w:t xml:space="preserve">​ </w:t>
      </w:r>
    </w:p>
    <w:tbl>
      <w:tblPr>
        <w:tblW w:w="5225" w:type="dxa"/>
        <w:jc w:val="left"/>
        <w:tblInd w:w="900" w:type="dxa"/>
        <w:tblLayout w:type="fixed"/>
        <w:tblCellMar>
          <w:top w:w="0" w:type="dxa"/>
          <w:left w:w="0" w:type="dxa"/>
          <w:bottom w:w="0" w:type="dxa"/>
          <w:right w:w="0" w:type="dxa"/>
        </w:tblCellMar>
      </w:tblPr>
      <w:tblGrid>
        <w:gridCol w:w="124"/>
        <w:gridCol w:w="346"/>
        <w:gridCol w:w="109"/>
        <w:gridCol w:w="109"/>
        <w:gridCol w:w="4383"/>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36</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383" w:type="dxa"/>
            <w:tcBorders/>
            <w:vAlign w:val="center"/>
          </w:tcPr>
          <w:p>
            <w:pPr>
              <w:pStyle w:val="TableContents"/>
              <w:bidi w:val="0"/>
              <w:spacing w:lineRule="atLeast" w:line="200" w:before="0" w:after="0"/>
              <w:jc w:val="left"/>
              <w:rPr/>
            </w:pPr>
            <w:r>
              <w:rPr>
                <w:spacing w:val="-2"/>
              </w:rPr>
              <w:t>    </w:t>
            </w:r>
            <w:r>
              <w:rPr>
                <w:spacing w:val="-2"/>
                <w:sz w:val="16"/>
              </w:rPr>
              <w:t>SL GREEN REALTY CORP. 2026 PROXY STATEMENT</w:t>
            </w:r>
            <w:r>
              <w:rPr>
                <w:sz w:val="16"/>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360" w:before="560" w:after="154"/>
        <w:ind w:left="900" w:right="0" w:hanging="0"/>
        <w:jc w:val="left"/>
        <w:rPr>
          <w:rFonts w:ascii="Arial;Helvetica;sans-serif" w:hAnsi="Arial;Helvetica;sans-serif"/>
          <w:b/>
          <w:i w:val="false"/>
          <w:caps w:val="false"/>
          <w:smallCaps w:val="false"/>
          <w:color w:val="83AD40"/>
          <w:sz w:val="32"/>
        </w:rPr>
      </w:pPr>
      <w:r>
        <w:rPr>
          <w:rFonts w:ascii="Arial;Helvetica;sans-serif" w:hAnsi="Arial;Helvetica;sans-serif"/>
          <w:b/>
          <w:i w:val="false"/>
          <w:caps/>
          <w:color w:val="83AD40"/>
          <w:spacing w:val="-3"/>
          <w:sz w:val="32"/>
        </w:rPr>
        <w:t>DIRECTOR COMPENSATION</w:t>
      </w:r>
      <w:r>
        <w:rPr>
          <w:rFonts w:ascii="Arial;Helvetica;sans-serif" w:hAnsi="Arial;Helvetica;sans-serif"/>
          <w:b/>
          <w:i w:val="false"/>
          <w:caps w:val="false"/>
          <w:smallCaps w:val="false"/>
          <w:color w:val="000000"/>
          <w:spacing w:val="6"/>
          <w:sz w:val="32"/>
        </w:rPr>
        <w:t xml:space="preserve"> </w:t>
      </w:r>
    </w:p>
    <w:p>
      <w:pPr>
        <w:pStyle w:val="TextBody"/>
        <w:bidi w:val="0"/>
        <w:spacing w:lineRule="atLeast" w:line="300" w:before="320" w:after="283"/>
        <w:jc w:val="left"/>
        <w:rPr>
          <w:rFonts w:ascii="Arial;Helvetica;sans-serif" w:hAnsi="Arial;Helvetica;sans-serif"/>
          <w:b/>
          <w:i w:val="false"/>
          <w:caps w:val="false"/>
          <w:smallCaps w:val="false"/>
          <w:color w:val="1F2668"/>
          <w:sz w:val="26"/>
        </w:rPr>
      </w:pPr>
      <w:r>
        <w:rPr>
          <w:rFonts w:ascii="Arial;Helvetica;sans-serif" w:hAnsi="Arial;Helvetica;sans-serif"/>
          <w:b/>
          <w:i w:val="false"/>
          <w:caps w:val="false"/>
          <w:smallCaps w:val="false"/>
          <w:color w:val="1F2668"/>
          <w:spacing w:val="-3"/>
          <w:sz w:val="26"/>
        </w:rPr>
        <w:t>Director Compensation Process</w:t>
      </w:r>
      <w:r>
        <w:rPr>
          <w:rFonts w:ascii="Arial;Helvetica;sans-serif" w:hAnsi="Arial;Helvetica;sans-serif"/>
          <w:b/>
          <w:i w:val="false"/>
          <w:caps w:val="false"/>
          <w:smallCaps w:val="false"/>
          <w:color w:val="000000"/>
          <w:spacing w:val="5"/>
          <w:sz w:val="26"/>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We review our director compensation annually, including engagement of our compensation consultants to evaluate the structure and competitiveness of our non-employee director compensation and recommend changes as appropriate.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Most recently, in December 2025, the Compensation Committee again conducted a full review of our director compensation. No changes were implemented as a result of that review.</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300" w:before="360" w:after="283"/>
        <w:jc w:val="left"/>
        <w:rPr>
          <w:rFonts w:ascii="Arial;Helvetica;sans-serif" w:hAnsi="Arial;Helvetica;sans-serif"/>
          <w:b/>
          <w:i w:val="false"/>
          <w:caps w:val="false"/>
          <w:smallCaps w:val="false"/>
          <w:color w:val="1F2668"/>
          <w:sz w:val="26"/>
        </w:rPr>
      </w:pPr>
      <w:r>
        <w:rPr>
          <w:rFonts w:ascii="Arial;Helvetica;sans-serif" w:hAnsi="Arial;Helvetica;sans-serif"/>
          <w:b/>
          <w:i w:val="false"/>
          <w:caps w:val="false"/>
          <w:smallCaps w:val="false"/>
          <w:color w:val="1F2668"/>
          <w:spacing w:val="-3"/>
          <w:sz w:val="26"/>
        </w:rPr>
        <w:t>Elements of Director Compensation</w:t>
      </w:r>
      <w:r>
        <w:rPr>
          <w:rFonts w:ascii="Arial;Helvetica;sans-serif" w:hAnsi="Arial;Helvetica;sans-serif"/>
          <w:b/>
          <w:i w:val="false"/>
          <w:caps w:val="false"/>
          <w:smallCaps w:val="false"/>
          <w:color w:val="000000"/>
          <w:spacing w:val="5"/>
          <w:sz w:val="26"/>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Only non-employee Directors are compensated for service on the Board. During the fiscal year ended December 31, 2025, the fees for non-employee Directors were:</w:t>
      </w:r>
      <w:r>
        <w:rPr>
          <w:rFonts w:ascii="Arial;Helvetica;sans-serif" w:hAnsi="Arial;Helvetica;sans-serif"/>
          <w:b w:val="false"/>
          <w:i w:val="false"/>
          <w:caps w:val="false"/>
          <w:smallCaps w:val="false"/>
          <w:color w:val="000000"/>
          <w:spacing w:val="4"/>
          <w:sz w:val="18"/>
        </w:rPr>
        <w:t xml:space="preserve"> </w:t>
      </w:r>
    </w:p>
    <w:tbl>
      <w:tblPr>
        <w:tblW w:w="9305" w:type="dxa"/>
        <w:jc w:val="left"/>
        <w:tblInd w:w="900" w:type="dxa"/>
        <w:tblLayout w:type="fixed"/>
        <w:tblCellMar>
          <w:top w:w="0" w:type="dxa"/>
          <w:left w:w="0" w:type="dxa"/>
          <w:bottom w:w="70" w:type="dxa"/>
          <w:right w:w="0" w:type="dxa"/>
        </w:tblCellMar>
      </w:tblPr>
      <w:tblGrid>
        <w:gridCol w:w="7603"/>
        <w:gridCol w:w="109"/>
        <w:gridCol w:w="109"/>
        <w:gridCol w:w="109"/>
        <w:gridCol w:w="226"/>
        <w:gridCol w:w="886"/>
        <w:gridCol w:w="109"/>
        <w:gridCol w:w="154"/>
      </w:tblGrid>
      <w:tr>
        <w:trPr/>
        <w:tc>
          <w:tcPr>
            <w:tcW w:w="7603" w:type="dxa"/>
            <w:tcBorders>
              <w:bottom w:val="single" w:sz="2" w:space="0" w:color="1F2668"/>
            </w:tcBorders>
            <w:vAlign w:val="center"/>
          </w:tcPr>
          <w:p>
            <w:pPr>
              <w:pStyle w:val="TableContents"/>
              <w:bidi w:val="0"/>
              <w:spacing w:before="0" w:after="0"/>
              <w:jc w:val="left"/>
              <w:rPr>
                <w:spacing w:val="-2"/>
              </w:rPr>
            </w:pPr>
            <w:r>
              <w:rPr>
                <w:spacing w:val="-2"/>
              </w:rPr>
              <w:t xml:space="preserve">Annual cash retainers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226" w:type="dxa"/>
            <w:tcBorders>
              <w:bottom w:val="single" w:sz="2" w:space="0" w:color="1F2668"/>
            </w:tcBorders>
            <w:tcMar>
              <w:bottom w:w="28" w:type="dxa"/>
            </w:tcMar>
            <w:vAlign w:val="center"/>
          </w:tcPr>
          <w:p>
            <w:pPr>
              <w:pStyle w:val="TableContents"/>
              <w:bidi w:val="0"/>
              <w:spacing w:before="0" w:after="283"/>
              <w:jc w:val="right"/>
              <w:rPr/>
            </w:pPr>
            <w:r>
              <w:rPr/>
              <w:t>​</w:t>
            </w:r>
          </w:p>
        </w:tc>
        <w:tc>
          <w:tcPr>
            <w:tcW w:w="886" w:type="dxa"/>
            <w:tcBorders>
              <w:bottom w:val="single" w:sz="2" w:space="0" w:color="1F2668"/>
            </w:tcBorders>
            <w:tcMar>
              <w:bottom w:w="28" w:type="dxa"/>
            </w:tcMar>
            <w:vAlign w:val="center"/>
          </w:tcPr>
          <w:p>
            <w:pPr>
              <w:pStyle w:val="TableContents"/>
              <w:bidi w:val="0"/>
              <w:spacing w:before="0" w:after="283"/>
              <w:jc w:val="righ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603" w:type="dxa"/>
            <w:tcBorders>
              <w:bottom w:val="single" w:sz="2" w:space="0" w:color="4B5088"/>
            </w:tcBorders>
            <w:vAlign w:val="center"/>
          </w:tcPr>
          <w:p>
            <w:pPr>
              <w:pStyle w:val="TableContents"/>
              <w:bidi w:val="0"/>
              <w:spacing w:before="0" w:after="283"/>
              <w:jc w:val="left"/>
              <w:rPr>
                <w:spacing w:val="-2"/>
              </w:rPr>
            </w:pPr>
            <w:r>
              <w:rPr>
                <w:spacing w:val="-2"/>
              </w:rPr>
              <w:t xml:space="preserve">Cash retainer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vAlign w:val="center"/>
          </w:tcPr>
          <w:p>
            <w:pPr>
              <w:pStyle w:val="TableContents"/>
              <w:bidi w:val="0"/>
              <w:spacing w:before="0" w:after="283"/>
              <w:jc w:val="right"/>
              <w:rPr/>
            </w:pPr>
            <w:r>
              <w:rPr/>
              <w:t>$</w:t>
            </w:r>
          </w:p>
        </w:tc>
        <w:tc>
          <w:tcPr>
            <w:tcW w:w="886" w:type="dxa"/>
            <w:tcBorders>
              <w:bottom w:val="single" w:sz="2" w:space="0" w:color="4B5088"/>
            </w:tcBorders>
            <w:vAlign w:val="center"/>
          </w:tcPr>
          <w:p>
            <w:pPr>
              <w:pStyle w:val="TableContents"/>
              <w:bidi w:val="0"/>
              <w:spacing w:before="0" w:after="283"/>
              <w:jc w:val="right"/>
              <w:rPr/>
            </w:pPr>
            <w:r>
              <w:rPr/>
              <w:t>50,000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603" w:type="dxa"/>
            <w:tcBorders>
              <w:bottom w:val="single" w:sz="2" w:space="0" w:color="4B5088"/>
            </w:tcBorders>
            <w:vAlign w:val="center"/>
          </w:tcPr>
          <w:p>
            <w:pPr>
              <w:pStyle w:val="TableContents"/>
              <w:bidi w:val="0"/>
              <w:spacing w:before="0" w:after="283"/>
              <w:jc w:val="left"/>
              <w:rPr>
                <w:spacing w:val="-2"/>
              </w:rPr>
            </w:pPr>
            <w:r>
              <w:rPr>
                <w:spacing w:val="-2"/>
              </w:rPr>
              <w:t xml:space="preserve">Additional cash retainer if serving as the Lead Independent Director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vAlign w:val="center"/>
          </w:tcPr>
          <w:p>
            <w:pPr>
              <w:pStyle w:val="TableContents"/>
              <w:bidi w:val="0"/>
              <w:spacing w:before="0" w:after="283"/>
              <w:jc w:val="right"/>
              <w:rPr/>
            </w:pPr>
            <w:r>
              <w:rPr/>
              <w:t>$</w:t>
            </w:r>
          </w:p>
        </w:tc>
        <w:tc>
          <w:tcPr>
            <w:tcW w:w="886" w:type="dxa"/>
            <w:tcBorders>
              <w:bottom w:val="single" w:sz="2" w:space="0" w:color="4B5088"/>
            </w:tcBorders>
            <w:vAlign w:val="center"/>
          </w:tcPr>
          <w:p>
            <w:pPr>
              <w:pStyle w:val="TableContents"/>
              <w:bidi w:val="0"/>
              <w:spacing w:before="0" w:after="283"/>
              <w:jc w:val="right"/>
              <w:rPr/>
            </w:pPr>
            <w:r>
              <w:rPr/>
              <w:t>70,000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603" w:type="dxa"/>
            <w:tcBorders>
              <w:bottom w:val="single" w:sz="2" w:space="0" w:color="4B5088"/>
            </w:tcBorders>
            <w:vAlign w:val="center"/>
          </w:tcPr>
          <w:p>
            <w:pPr>
              <w:pStyle w:val="TableContents"/>
              <w:bidi w:val="0"/>
              <w:spacing w:before="0" w:after="283"/>
              <w:jc w:val="left"/>
              <w:rPr>
                <w:spacing w:val="-2"/>
              </w:rPr>
            </w:pPr>
            <w:r>
              <w:rPr>
                <w:spacing w:val="-2"/>
              </w:rPr>
              <w:t xml:space="preserve">Additional cash retainer if serving as a chair of the Audit Committee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vAlign w:val="center"/>
          </w:tcPr>
          <w:p>
            <w:pPr>
              <w:pStyle w:val="TableContents"/>
              <w:bidi w:val="0"/>
              <w:spacing w:before="0" w:after="283"/>
              <w:jc w:val="right"/>
              <w:rPr/>
            </w:pPr>
            <w:r>
              <w:rPr/>
              <w:t>$</w:t>
            </w:r>
          </w:p>
        </w:tc>
        <w:tc>
          <w:tcPr>
            <w:tcW w:w="886" w:type="dxa"/>
            <w:tcBorders>
              <w:bottom w:val="single" w:sz="2" w:space="0" w:color="4B5088"/>
            </w:tcBorders>
            <w:vAlign w:val="center"/>
          </w:tcPr>
          <w:p>
            <w:pPr>
              <w:pStyle w:val="TableContents"/>
              <w:bidi w:val="0"/>
              <w:spacing w:before="0" w:after="283"/>
              <w:jc w:val="right"/>
              <w:rPr/>
            </w:pPr>
            <w:r>
              <w:rPr/>
              <w:t>25,000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603" w:type="dxa"/>
            <w:tcBorders>
              <w:bottom w:val="single" w:sz="2" w:space="0" w:color="4B5088"/>
            </w:tcBorders>
            <w:vAlign w:val="center"/>
          </w:tcPr>
          <w:p>
            <w:pPr>
              <w:pStyle w:val="TableContents"/>
              <w:bidi w:val="0"/>
              <w:spacing w:before="0" w:after="283"/>
              <w:jc w:val="left"/>
              <w:rPr>
                <w:spacing w:val="-2"/>
              </w:rPr>
            </w:pPr>
            <w:r>
              <w:rPr>
                <w:spacing w:val="-2"/>
              </w:rPr>
              <w:t xml:space="preserve">Additional cash retainer if serving as a chair of the Compensation Committee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vAlign w:val="center"/>
          </w:tcPr>
          <w:p>
            <w:pPr>
              <w:pStyle w:val="TableContents"/>
              <w:bidi w:val="0"/>
              <w:spacing w:before="0" w:after="283"/>
              <w:jc w:val="right"/>
              <w:rPr/>
            </w:pPr>
            <w:r>
              <w:rPr/>
              <w:t>$</w:t>
            </w:r>
          </w:p>
        </w:tc>
        <w:tc>
          <w:tcPr>
            <w:tcW w:w="886" w:type="dxa"/>
            <w:tcBorders>
              <w:bottom w:val="single" w:sz="2" w:space="0" w:color="4B5088"/>
            </w:tcBorders>
            <w:vAlign w:val="center"/>
          </w:tcPr>
          <w:p>
            <w:pPr>
              <w:pStyle w:val="TableContents"/>
              <w:bidi w:val="0"/>
              <w:spacing w:before="0" w:after="283"/>
              <w:jc w:val="right"/>
              <w:rPr/>
            </w:pPr>
            <w:r>
              <w:rPr/>
              <w:t>20,000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603" w:type="dxa"/>
            <w:tcBorders>
              <w:bottom w:val="single" w:sz="2" w:space="0" w:color="4B5088"/>
            </w:tcBorders>
            <w:vAlign w:val="center"/>
          </w:tcPr>
          <w:p>
            <w:pPr>
              <w:pStyle w:val="TableContents"/>
              <w:bidi w:val="0"/>
              <w:spacing w:before="0" w:after="283"/>
              <w:jc w:val="left"/>
              <w:rPr>
                <w:spacing w:val="-2"/>
              </w:rPr>
            </w:pPr>
            <w:r>
              <w:rPr>
                <w:spacing w:val="-2"/>
              </w:rPr>
              <w:t xml:space="preserve">Additional cash retainer if serving as a chair of the Corporate Governance Committee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vAlign w:val="center"/>
          </w:tcPr>
          <w:p>
            <w:pPr>
              <w:pStyle w:val="TableContents"/>
              <w:bidi w:val="0"/>
              <w:spacing w:before="0" w:after="283"/>
              <w:jc w:val="right"/>
              <w:rPr/>
            </w:pPr>
            <w:r>
              <w:rPr/>
              <w:t>$</w:t>
            </w:r>
          </w:p>
        </w:tc>
        <w:tc>
          <w:tcPr>
            <w:tcW w:w="886" w:type="dxa"/>
            <w:tcBorders>
              <w:bottom w:val="single" w:sz="2" w:space="0" w:color="4B5088"/>
            </w:tcBorders>
            <w:vAlign w:val="center"/>
          </w:tcPr>
          <w:p>
            <w:pPr>
              <w:pStyle w:val="TableContents"/>
              <w:bidi w:val="0"/>
              <w:spacing w:before="0" w:after="283"/>
              <w:jc w:val="right"/>
              <w:rPr/>
            </w:pPr>
            <w:r>
              <w:rPr/>
              <w:t>5,000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603" w:type="dxa"/>
            <w:tcBorders>
              <w:bottom w:val="single" w:sz="2" w:space="0" w:color="4B5088"/>
            </w:tcBorders>
            <w:vAlign w:val="center"/>
          </w:tcPr>
          <w:p>
            <w:pPr>
              <w:pStyle w:val="TableContents"/>
              <w:bidi w:val="0"/>
              <w:spacing w:before="0" w:after="283"/>
              <w:jc w:val="left"/>
              <w:rPr/>
            </w:pPr>
            <w:r>
              <w:rPr/>
              <w:t>Meeting fees</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vAlign w:val="center"/>
          </w:tcPr>
          <w:p>
            <w:pPr>
              <w:pStyle w:val="TableContents"/>
              <w:bidi w:val="0"/>
              <w:spacing w:before="0" w:after="283"/>
              <w:jc w:val="right"/>
              <w:rPr/>
            </w:pPr>
            <w:r>
              <w:rPr/>
              <w:t>​</w:t>
            </w:r>
          </w:p>
        </w:tc>
        <w:tc>
          <w:tcPr>
            <w:tcW w:w="886" w:type="dxa"/>
            <w:tcBorders>
              <w:bottom w:val="single" w:sz="2" w:space="0" w:color="4B5088"/>
            </w:tcBorders>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603" w:type="dxa"/>
            <w:tcBorders>
              <w:bottom w:val="single" w:sz="2" w:space="0" w:color="4B5088"/>
            </w:tcBorders>
            <w:vAlign w:val="center"/>
          </w:tcPr>
          <w:p>
            <w:pPr>
              <w:pStyle w:val="TableContents"/>
              <w:bidi w:val="0"/>
              <w:spacing w:before="0" w:after="283"/>
              <w:jc w:val="left"/>
              <w:rPr>
                <w:spacing w:val="-2"/>
              </w:rPr>
            </w:pPr>
            <w:r>
              <w:rPr>
                <w:spacing w:val="-2"/>
              </w:rPr>
              <w:t xml:space="preserve">For each meeting of the Board or a committee of the Board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vAlign w:val="center"/>
          </w:tcPr>
          <w:p>
            <w:pPr>
              <w:pStyle w:val="TableContents"/>
              <w:bidi w:val="0"/>
              <w:spacing w:before="0" w:after="283"/>
              <w:jc w:val="right"/>
              <w:rPr/>
            </w:pPr>
            <w:r>
              <w:rPr/>
              <w:t>$</w:t>
            </w:r>
          </w:p>
        </w:tc>
        <w:tc>
          <w:tcPr>
            <w:tcW w:w="886" w:type="dxa"/>
            <w:tcBorders>
              <w:bottom w:val="single" w:sz="2" w:space="0" w:color="4B5088"/>
            </w:tcBorders>
            <w:vAlign w:val="center"/>
          </w:tcPr>
          <w:p>
            <w:pPr>
              <w:pStyle w:val="TableContents"/>
              <w:bidi w:val="0"/>
              <w:spacing w:before="0" w:after="283"/>
              <w:jc w:val="right"/>
              <w:rPr/>
            </w:pPr>
            <w:r>
              <w:rPr/>
              <w:t>1,500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603" w:type="dxa"/>
            <w:tcBorders>
              <w:bottom w:val="single" w:sz="2" w:space="0" w:color="4B5088"/>
            </w:tcBorders>
            <w:vAlign w:val="center"/>
          </w:tcPr>
          <w:p>
            <w:pPr>
              <w:pStyle w:val="TableContents"/>
              <w:bidi w:val="0"/>
              <w:spacing w:before="0" w:after="283"/>
              <w:jc w:val="left"/>
              <w:rPr>
                <w:spacing w:val="-2"/>
              </w:rPr>
            </w:pPr>
            <w:r>
              <w:rPr>
                <w:spacing w:val="-2"/>
              </w:rPr>
              <w:t xml:space="preserve">For each special meeting of the Audit Committee held independently of Board meetings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vAlign w:val="center"/>
          </w:tcPr>
          <w:p>
            <w:pPr>
              <w:pStyle w:val="TableContents"/>
              <w:bidi w:val="0"/>
              <w:spacing w:before="0" w:after="283"/>
              <w:jc w:val="right"/>
              <w:rPr/>
            </w:pPr>
            <w:r>
              <w:rPr/>
              <w:t>$</w:t>
            </w:r>
          </w:p>
        </w:tc>
        <w:tc>
          <w:tcPr>
            <w:tcW w:w="886" w:type="dxa"/>
            <w:tcBorders>
              <w:bottom w:val="single" w:sz="2" w:space="0" w:color="4B5088"/>
            </w:tcBorders>
            <w:vAlign w:val="center"/>
          </w:tcPr>
          <w:p>
            <w:pPr>
              <w:pStyle w:val="TableContents"/>
              <w:bidi w:val="0"/>
              <w:spacing w:before="0" w:after="283"/>
              <w:jc w:val="right"/>
              <w:rPr/>
            </w:pPr>
            <w:r>
              <w:rPr/>
              <w:t>4,000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603" w:type="dxa"/>
            <w:tcBorders>
              <w:bottom w:val="single" w:sz="2" w:space="0" w:color="4B5088"/>
            </w:tcBorders>
            <w:vAlign w:val="center"/>
          </w:tcPr>
          <w:p>
            <w:pPr>
              <w:pStyle w:val="TableContents"/>
              <w:bidi w:val="0"/>
              <w:spacing w:before="0" w:after="283"/>
              <w:jc w:val="left"/>
              <w:rPr/>
            </w:pPr>
            <w:r>
              <w:rPr/>
              <w:t>Stock grant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vAlign w:val="center"/>
          </w:tcPr>
          <w:p>
            <w:pPr>
              <w:pStyle w:val="TableContents"/>
              <w:bidi w:val="0"/>
              <w:spacing w:before="0" w:after="283"/>
              <w:jc w:val="right"/>
              <w:rPr/>
            </w:pPr>
            <w:r>
              <w:rPr/>
              <w:t>​</w:t>
            </w:r>
          </w:p>
        </w:tc>
        <w:tc>
          <w:tcPr>
            <w:tcW w:w="886" w:type="dxa"/>
            <w:tcBorders>
              <w:bottom w:val="single" w:sz="2" w:space="0" w:color="4B5088"/>
            </w:tcBorders>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603" w:type="dxa"/>
            <w:tcBorders>
              <w:bottom w:val="single" w:sz="2" w:space="0" w:color="1F2668"/>
            </w:tcBorders>
            <w:vAlign w:val="center"/>
          </w:tcPr>
          <w:p>
            <w:pPr>
              <w:pStyle w:val="TableContents"/>
              <w:bidi w:val="0"/>
              <w:spacing w:before="0" w:after="283"/>
              <w:jc w:val="left"/>
              <w:rPr>
                <w:spacing w:val="-2"/>
              </w:rPr>
            </w:pPr>
            <w:r>
              <w:rPr>
                <w:spacing w:val="-2"/>
              </w:rPr>
              <w:t xml:space="preserve">Valued at the grant date with shares fully vested on such grant date.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226" w:type="dxa"/>
            <w:tcBorders>
              <w:bottom w:val="single" w:sz="2" w:space="0" w:color="1F2668"/>
            </w:tcBorders>
            <w:vAlign w:val="center"/>
          </w:tcPr>
          <w:p>
            <w:pPr>
              <w:pStyle w:val="TableContents"/>
              <w:bidi w:val="0"/>
              <w:spacing w:before="0" w:after="283"/>
              <w:jc w:val="right"/>
              <w:rPr/>
            </w:pPr>
            <w:r>
              <w:rPr/>
              <w:t>$</w:t>
            </w:r>
          </w:p>
        </w:tc>
        <w:tc>
          <w:tcPr>
            <w:tcW w:w="886" w:type="dxa"/>
            <w:tcBorders>
              <w:bottom w:val="single" w:sz="2" w:space="0" w:color="1F2668"/>
            </w:tcBorders>
            <w:vAlign w:val="center"/>
          </w:tcPr>
          <w:p>
            <w:pPr>
              <w:pStyle w:val="TableContents"/>
              <w:bidi w:val="0"/>
              <w:spacing w:before="0" w:after="283"/>
              <w:jc w:val="right"/>
              <w:rPr/>
            </w:pPr>
            <w:r>
              <w:rPr/>
              <w:t>235,000</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300" w:after="283"/>
        <w:ind w:left="9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The annual fees and meeting fees generally are payable quarterly in cash. Each director may elect to receive some or all of these fees in stock and, as noted below, may elect to defer some or all of these fees.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val="false"/>
          <w:i w:val="false"/>
          <w:caps w:val="false"/>
          <w:smallCaps w:val="false"/>
          <w:color w:val="000000"/>
          <w:spacing w:val="-2"/>
          <w:sz w:val="18"/>
        </w:rPr>
      </w:pPr>
      <w:r>
        <w:rPr>
          <w:rFonts w:ascii="Arial;Helvetica;sans-serif" w:hAnsi="Arial;Helvetica;sans-serif"/>
          <w:b w:val="false"/>
          <w:i w:val="false"/>
          <w:caps w:val="false"/>
          <w:smallCaps w:val="false"/>
          <w:color w:val="000000"/>
          <w:spacing w:val="-2"/>
          <w:sz w:val="18"/>
        </w:rPr>
        <w:t xml:space="preserve">Under our Non-Employee Directors’ Deferral Program, our non-employee directors were entitled to elect to defer up to 100% of their annual fees, meeting fees and annual stock grant. At each director’s election, cash fees deferred under the program could be credited in the form of either phantom stock units, account credits that accrue earnings or losses based on a 30-day SOFR-based rate at the beginning of each month plus 2.10% (or based on such other rate or the performance of such investments as may be determined in advance by the Board) or measurement fund credits that track the performance of one or more open-ended mutual funds selected by the director. Stock grants deferred under the program are credited in the form of phantom stock units. Subject to limitations contained in the program, on a fixed date each quarter, a director may convert phantom stock units into account credits or measurement fund credits or vice versa or change the mutual funds that some or all of the director’s measurement fund credits track. All cash fees credited as, and conversions of or into, phantom stock units or measurement fund credits are based on the fair market value of our common stock or the applicable mutual fund on the date the cash fees otherwise would have been paid or the date of the conversion, as applicable. Unless otherwise elected by a director, a director’s phantom stock units, account credits and measurement fund credits are payable on the earlier of the January 1st coincident with or next following the director’s termination of service from the Board, or a change in control of the Company, as defined by the program. Phantom stock units are payable in an equal number of shares of our common stock; provided that we may elect to instead settle a director’s phantom stock units by paying the director cash in an amount equal to the value of such shares of common stock. Account credits and measurement fund credits are payable in cash. Under the program, each director is entitled to receive dividend equivalents that are paid currently on the director’s phantom stock units, unless the director elected to defer payment of such dividend equivalents and have them concurrently reinvested into additional phantom stock units.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8095" w:type="dxa"/>
        <w:jc w:val="left"/>
        <w:tblInd w:w="900" w:type="dxa"/>
        <w:tblLayout w:type="fixed"/>
        <w:tblCellMar>
          <w:top w:w="0" w:type="dxa"/>
          <w:left w:w="0" w:type="dxa"/>
          <w:bottom w:w="0" w:type="dxa"/>
          <w:right w:w="0" w:type="dxa"/>
        </w:tblCellMar>
      </w:tblPr>
      <w:tblGrid>
        <w:gridCol w:w="124"/>
        <w:gridCol w:w="7253"/>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7253" w:type="dxa"/>
            <w:tcBorders/>
            <w:vAlign w:val="center"/>
          </w:tcPr>
          <w:p>
            <w:pPr>
              <w:pStyle w:val="TableContents"/>
              <w:bidi w:val="0"/>
              <w:spacing w:lineRule="atLeast" w:line="200" w:before="0" w:after="0"/>
              <w:jc w:val="left"/>
              <w:rPr/>
            </w:pPr>
            <w:r>
              <w:rPr>
                <w:spacing w:val="-2"/>
              </w:rPr>
              <w:t>OUR BOARD OF DIRECTORS AND CORPORATE GOVERNANCE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color w:val="1F2668"/>
                <w:sz w:val="24"/>
              </w:rPr>
            </w:pPr>
            <w:r>
              <w:rPr>
                <w:color w:val="1F2668"/>
                <w:sz w:val="24"/>
              </w:rPr>
              <w:t>37</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300" w:before="560" w:after="154"/>
        <w:ind w:left="900" w:right="0" w:hanging="0"/>
        <w:jc w:val="left"/>
        <w:rPr>
          <w:rFonts w:ascii="Arial;Helvetica;sans-serif" w:hAnsi="Arial;Helvetica;sans-serif"/>
          <w:b/>
          <w:i w:val="false"/>
          <w:caps w:val="false"/>
          <w:smallCaps w:val="false"/>
          <w:color w:val="1F2668"/>
          <w:sz w:val="26"/>
        </w:rPr>
      </w:pPr>
      <w:r>
        <w:rPr>
          <w:rFonts w:ascii="Arial;Helvetica;sans-serif" w:hAnsi="Arial;Helvetica;sans-serif"/>
          <w:b/>
          <w:i w:val="false"/>
          <w:caps w:val="false"/>
          <w:smallCaps w:val="false"/>
          <w:color w:val="1F2668"/>
          <w:spacing w:val="-3"/>
          <w:sz w:val="26"/>
        </w:rPr>
        <w:t>2025 Director Compensation</w:t>
      </w:r>
      <w:r>
        <w:rPr>
          <w:rFonts w:ascii="Arial;Helvetica;sans-serif" w:hAnsi="Arial;Helvetica;sans-serif"/>
          <w:b/>
          <w:i w:val="false"/>
          <w:caps w:val="false"/>
          <w:smallCaps w:val="false"/>
          <w:color w:val="000000"/>
          <w:spacing w:val="5"/>
          <w:sz w:val="26"/>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The following table sets forth information regarding the compensation paid to our non-employee directors for their service during the fiscal year ended December 31, 2025. Directors of the Company who are also employees receive no additional compensation for their services as directors.</w:t>
      </w:r>
      <w:r>
        <w:rPr>
          <w:rFonts w:ascii="Arial;Helvetica;sans-serif" w:hAnsi="Arial;Helvetica;sans-serif"/>
          <w:b w:val="false"/>
          <w:i w:val="false"/>
          <w:caps w:val="false"/>
          <w:smallCaps w:val="false"/>
          <w:color w:val="000000"/>
          <w:spacing w:val="4"/>
          <w:sz w:val="18"/>
        </w:rPr>
        <w:t xml:space="preserve"> </w:t>
      </w:r>
    </w:p>
    <w:tbl>
      <w:tblPr>
        <w:tblW w:w="9305" w:type="dxa"/>
        <w:jc w:val="left"/>
        <w:tblInd w:w="900" w:type="dxa"/>
        <w:tblLayout w:type="fixed"/>
        <w:tblCellMar>
          <w:top w:w="0" w:type="dxa"/>
          <w:left w:w="0" w:type="dxa"/>
          <w:bottom w:w="63" w:type="dxa"/>
          <w:right w:w="0" w:type="dxa"/>
        </w:tblCellMar>
      </w:tblPr>
      <w:tblGrid>
        <w:gridCol w:w="1451"/>
        <w:gridCol w:w="109"/>
        <w:gridCol w:w="109"/>
        <w:gridCol w:w="116"/>
        <w:gridCol w:w="242"/>
        <w:gridCol w:w="950"/>
        <w:gridCol w:w="116"/>
        <w:gridCol w:w="109"/>
        <w:gridCol w:w="109"/>
        <w:gridCol w:w="118"/>
        <w:gridCol w:w="245"/>
        <w:gridCol w:w="962"/>
        <w:gridCol w:w="118"/>
        <w:gridCol w:w="109"/>
        <w:gridCol w:w="109"/>
        <w:gridCol w:w="150"/>
        <w:gridCol w:w="150"/>
        <w:gridCol w:w="481"/>
        <w:gridCol w:w="153"/>
        <w:gridCol w:w="109"/>
        <w:gridCol w:w="109"/>
        <w:gridCol w:w="128"/>
        <w:gridCol w:w="266"/>
        <w:gridCol w:w="947"/>
        <w:gridCol w:w="129"/>
        <w:gridCol w:w="109"/>
        <w:gridCol w:w="109"/>
        <w:gridCol w:w="109"/>
        <w:gridCol w:w="226"/>
        <w:gridCol w:w="886"/>
        <w:gridCol w:w="109"/>
        <w:gridCol w:w="163"/>
      </w:tblGrid>
      <w:tr>
        <w:trPr/>
        <w:tc>
          <w:tcPr>
            <w:tcW w:w="1451" w:type="dxa"/>
            <w:tcBorders>
              <w:bottom w:val="single" w:sz="2" w:space="0" w:color="1F2668"/>
            </w:tcBorders>
            <w:vAlign w:val="center"/>
          </w:tcPr>
          <w:p>
            <w:pPr>
              <w:pStyle w:val="TableContents"/>
              <w:bidi w:val="0"/>
              <w:spacing w:before="0" w:after="0"/>
              <w:jc w:val="left"/>
              <w:rPr>
                <w:spacing w:val="-2"/>
              </w:rPr>
            </w:pPr>
            <w:r>
              <w:rPr>
                <w:spacing w:val="-2"/>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24" w:type="dxa"/>
            <w:gridSpan w:val="4"/>
            <w:tcBorders>
              <w:bottom w:val="single" w:sz="2" w:space="0" w:color="1F2668"/>
            </w:tcBorders>
            <w:vAlign w:val="center"/>
          </w:tcPr>
          <w:p>
            <w:pPr>
              <w:pStyle w:val="TableContents"/>
              <w:bidi w:val="0"/>
              <w:spacing w:lineRule="atLeast" w:line="142" w:before="0" w:after="0"/>
              <w:jc w:val="right"/>
              <w:rPr/>
            </w:pPr>
            <w:r>
              <w:rPr>
                <w:spacing w:val="-2"/>
              </w:rPr>
              <w:t xml:space="preserve">Fees Earned or </w:t>
              <w:br/>
              <w:t>Paid in Cash</w:t>
            </w:r>
            <w:r>
              <w:rPr>
                <w:spacing w:val="-1"/>
                <w:sz w:val="10"/>
              </w:rPr>
              <w:t>(1)</w:t>
            </w:r>
            <w:r>
              <w:rPr/>
              <w:t xml:space="preserve"> </w:t>
              <w:br/>
            </w:r>
            <w:r>
              <w:rPr>
                <w:spacing w:val="-2"/>
              </w:rPr>
              <w:t>($)</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43" w:type="dxa"/>
            <w:gridSpan w:val="4"/>
            <w:tcBorders>
              <w:bottom w:val="single" w:sz="2" w:space="0" w:color="1F2668"/>
            </w:tcBorders>
            <w:vAlign w:val="center"/>
          </w:tcPr>
          <w:p>
            <w:pPr>
              <w:pStyle w:val="TableContents"/>
              <w:bidi w:val="0"/>
              <w:spacing w:lineRule="atLeast" w:line="142" w:before="0" w:after="0"/>
              <w:jc w:val="right"/>
              <w:rPr/>
            </w:pPr>
            <w:r>
              <w:rPr>
                <w:spacing w:val="-2"/>
              </w:rPr>
              <w:t>Stock Awards</w:t>
            </w:r>
            <w:r>
              <w:rPr>
                <w:spacing w:val="-1"/>
                <w:sz w:val="10"/>
              </w:rPr>
              <w:t>(2)</w:t>
            </w:r>
            <w:r>
              <w:rPr/>
              <w:t xml:space="preserve"> </w:t>
              <w:br/>
            </w:r>
            <w:r>
              <w:rPr>
                <w:spacing w:val="-2"/>
              </w:rPr>
              <w:t>($)</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34" w:type="dxa"/>
            <w:gridSpan w:val="4"/>
            <w:tcBorders>
              <w:bottom w:val="single" w:sz="2" w:space="0" w:color="1F2668"/>
            </w:tcBorders>
            <w:vAlign w:val="center"/>
          </w:tcPr>
          <w:p>
            <w:pPr>
              <w:pStyle w:val="TableContents"/>
              <w:bidi w:val="0"/>
              <w:spacing w:lineRule="atLeast" w:line="142" w:before="0" w:after="0"/>
              <w:jc w:val="right"/>
              <w:rPr/>
            </w:pPr>
            <w:r>
              <w:rPr>
                <w:spacing w:val="-2"/>
              </w:rPr>
              <w:t xml:space="preserve">Option </w:t>
              <w:br/>
              <w:t>Awards</w:t>
            </w:r>
            <w:r>
              <w:rPr>
                <w:spacing w:val="-1"/>
                <w:sz w:val="10"/>
              </w:rPr>
              <w:t>(3)</w:t>
            </w:r>
            <w:r>
              <w:rPr/>
              <w:t xml:space="preserve"> </w:t>
              <w:br/>
            </w:r>
            <w:r>
              <w:rPr>
                <w:spacing w:val="-2"/>
              </w:rPr>
              <w:t>($)</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70" w:type="dxa"/>
            <w:gridSpan w:val="4"/>
            <w:tcBorders>
              <w:bottom w:val="single" w:sz="2" w:space="0" w:color="1F2668"/>
            </w:tcBorders>
            <w:vAlign w:val="center"/>
          </w:tcPr>
          <w:p>
            <w:pPr>
              <w:pStyle w:val="TableContents"/>
              <w:bidi w:val="0"/>
              <w:spacing w:before="0" w:after="0"/>
              <w:jc w:val="right"/>
              <w:rPr/>
            </w:pPr>
            <w:r>
              <w:rPr>
                <w:spacing w:val="-2"/>
              </w:rPr>
              <w:t xml:space="preserve">All Other </w:t>
              <w:br/>
              <w:t xml:space="preserve">Compensation </w:t>
              <w:br/>
              <w:t>($)</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30" w:type="dxa"/>
            <w:gridSpan w:val="4"/>
            <w:tcBorders>
              <w:bottom w:val="single" w:sz="2" w:space="0" w:color="1F2668"/>
            </w:tcBorders>
            <w:vAlign w:val="center"/>
          </w:tcPr>
          <w:p>
            <w:pPr>
              <w:pStyle w:val="TableContents"/>
              <w:bidi w:val="0"/>
              <w:spacing w:before="0" w:after="0"/>
              <w:jc w:val="right"/>
              <w:rPr/>
            </w:pPr>
            <w:r>
              <w:rPr>
                <w:spacing w:val="-2"/>
              </w:rPr>
              <w:t xml:space="preserve">Total </w:t>
              <w:br/>
              <w:t>($)</w:t>
            </w:r>
            <w:r>
              <w:rPr/>
              <w:t xml:space="preserve"> </w:t>
            </w:r>
          </w:p>
        </w:tc>
        <w:tc>
          <w:tcPr>
            <w:tcW w:w="163"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51" w:type="dxa"/>
            <w:tcBorders>
              <w:bottom w:val="single" w:sz="2" w:space="0" w:color="4B5088"/>
            </w:tcBorders>
            <w:tcMar>
              <w:bottom w:w="70" w:type="dxa"/>
            </w:tcMar>
            <w:vAlign w:val="center"/>
          </w:tcPr>
          <w:p>
            <w:pPr>
              <w:pStyle w:val="TableContents"/>
              <w:bidi w:val="0"/>
              <w:spacing w:before="0" w:after="0"/>
              <w:jc w:val="left"/>
              <w:rPr>
                <w:b/>
                <w:color w:val="1F2668"/>
              </w:rPr>
            </w:pPr>
            <w:r>
              <w:rPr>
                <w:b/>
                <w:color w:val="1F2668"/>
                <w:spacing w:val="-2"/>
              </w:rPr>
              <w:t>John H. Alschuler</w:t>
            </w:r>
            <w:r>
              <w:rPr>
                <w:b/>
                <w:color w:val="1F2668"/>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6" w:type="dxa"/>
            <w:tcBorders>
              <w:bottom w:val="single" w:sz="2" w:space="0" w:color="4B5088"/>
            </w:tcBorders>
            <w:tcMar>
              <w:bottom w:w="28" w:type="dxa"/>
            </w:tcMar>
            <w:vAlign w:val="center"/>
          </w:tcPr>
          <w:p>
            <w:pPr>
              <w:pStyle w:val="TableContents"/>
              <w:bidi w:val="0"/>
              <w:spacing w:before="0" w:after="283"/>
              <w:jc w:val="left"/>
              <w:rPr/>
            </w:pPr>
            <w:r>
              <w:rPr/>
              <w:t>​</w:t>
            </w:r>
          </w:p>
        </w:tc>
        <w:tc>
          <w:tcPr>
            <w:tcW w:w="242" w:type="dxa"/>
            <w:tcBorders>
              <w:bottom w:val="single" w:sz="2" w:space="0" w:color="4B5088"/>
            </w:tcBorders>
            <w:tcMar>
              <w:bottom w:w="70" w:type="dxa"/>
            </w:tcMar>
            <w:vAlign w:val="center"/>
          </w:tcPr>
          <w:p>
            <w:pPr>
              <w:pStyle w:val="TableContents"/>
              <w:bidi w:val="0"/>
              <w:spacing w:before="0" w:after="283"/>
              <w:jc w:val="right"/>
              <w:rPr/>
            </w:pPr>
            <w:r>
              <w:rPr/>
              <w:t>$</w:t>
            </w:r>
          </w:p>
        </w:tc>
        <w:tc>
          <w:tcPr>
            <w:tcW w:w="950" w:type="dxa"/>
            <w:tcBorders>
              <w:bottom w:val="single" w:sz="2" w:space="0" w:color="4B5088"/>
            </w:tcBorders>
            <w:tcMar>
              <w:bottom w:w="70" w:type="dxa"/>
            </w:tcMar>
            <w:vAlign w:val="center"/>
          </w:tcPr>
          <w:p>
            <w:pPr>
              <w:pStyle w:val="TableContents"/>
              <w:bidi w:val="0"/>
              <w:spacing w:before="0" w:after="283"/>
              <w:jc w:val="right"/>
              <w:rPr/>
            </w:pPr>
            <w:r>
              <w:rPr/>
              <w:t>138,000</w:t>
            </w:r>
          </w:p>
        </w:tc>
        <w:tc>
          <w:tcPr>
            <w:tcW w:w="116"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8" w:type="dxa"/>
            <w:tcBorders>
              <w:bottom w:val="single" w:sz="2" w:space="0" w:color="4B5088"/>
            </w:tcBorders>
            <w:tcMar>
              <w:bottom w:w="28" w:type="dxa"/>
            </w:tcMar>
            <w:vAlign w:val="center"/>
          </w:tcPr>
          <w:p>
            <w:pPr>
              <w:pStyle w:val="TableContents"/>
              <w:bidi w:val="0"/>
              <w:spacing w:before="0" w:after="283"/>
              <w:jc w:val="left"/>
              <w:rPr/>
            </w:pPr>
            <w:r>
              <w:rPr/>
              <w:t>​</w:t>
            </w:r>
          </w:p>
        </w:tc>
        <w:tc>
          <w:tcPr>
            <w:tcW w:w="245" w:type="dxa"/>
            <w:tcBorders>
              <w:bottom w:val="single" w:sz="2" w:space="0" w:color="4B5088"/>
            </w:tcBorders>
            <w:tcMar>
              <w:bottom w:w="70" w:type="dxa"/>
            </w:tcMar>
            <w:vAlign w:val="center"/>
          </w:tcPr>
          <w:p>
            <w:pPr>
              <w:pStyle w:val="TableContents"/>
              <w:bidi w:val="0"/>
              <w:spacing w:before="0" w:after="283"/>
              <w:jc w:val="right"/>
              <w:rPr/>
            </w:pPr>
            <w:r>
              <w:rPr/>
              <w:t>$</w:t>
            </w:r>
          </w:p>
        </w:tc>
        <w:tc>
          <w:tcPr>
            <w:tcW w:w="962" w:type="dxa"/>
            <w:tcBorders>
              <w:bottom w:val="single" w:sz="2" w:space="0" w:color="4B5088"/>
            </w:tcBorders>
            <w:tcMar>
              <w:bottom w:w="70" w:type="dxa"/>
            </w:tcMar>
            <w:vAlign w:val="center"/>
          </w:tcPr>
          <w:p>
            <w:pPr>
              <w:pStyle w:val="TableContents"/>
              <w:bidi w:val="0"/>
              <w:spacing w:before="0" w:after="283"/>
              <w:jc w:val="right"/>
              <w:rPr/>
            </w:pPr>
            <w:r>
              <w:rPr/>
              <w:t>235,000</w:t>
            </w:r>
          </w:p>
        </w:tc>
        <w:tc>
          <w:tcPr>
            <w:tcW w:w="118"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0" w:type="dxa"/>
            <w:tcBorders>
              <w:bottom w:val="single" w:sz="2" w:space="0" w:color="4B5088"/>
            </w:tcBorders>
            <w:tcMar>
              <w:bottom w:w="28" w:type="dxa"/>
            </w:tcMar>
            <w:vAlign w:val="center"/>
          </w:tcPr>
          <w:p>
            <w:pPr>
              <w:pStyle w:val="TableContents"/>
              <w:bidi w:val="0"/>
              <w:spacing w:before="0" w:after="283"/>
              <w:jc w:val="left"/>
              <w:rPr/>
            </w:pPr>
            <w:r>
              <w:rPr/>
              <w:t>​</w:t>
            </w:r>
          </w:p>
        </w:tc>
        <w:tc>
          <w:tcPr>
            <w:tcW w:w="150" w:type="dxa"/>
            <w:tcBorders>
              <w:bottom w:val="single" w:sz="2" w:space="0" w:color="4B5088"/>
            </w:tcBorders>
            <w:tcMar>
              <w:bottom w:w="70" w:type="dxa"/>
            </w:tcMar>
            <w:vAlign w:val="center"/>
          </w:tcPr>
          <w:p>
            <w:pPr>
              <w:pStyle w:val="TableContents"/>
              <w:bidi w:val="0"/>
              <w:spacing w:before="0" w:after="283"/>
              <w:jc w:val="right"/>
              <w:rPr/>
            </w:pPr>
            <w:r>
              <w:rPr/>
              <w:t>​</w:t>
            </w:r>
          </w:p>
        </w:tc>
        <w:tc>
          <w:tcPr>
            <w:tcW w:w="481" w:type="dxa"/>
            <w:tcBorders>
              <w:bottom w:val="single" w:sz="2" w:space="0" w:color="4B5088"/>
            </w:tcBorders>
            <w:tcMar>
              <w:bottom w:w="70" w:type="dxa"/>
            </w:tcMar>
            <w:vAlign w:val="center"/>
          </w:tcPr>
          <w:p>
            <w:pPr>
              <w:pStyle w:val="TableContents"/>
              <w:bidi w:val="0"/>
              <w:spacing w:before="0" w:after="283"/>
              <w:jc w:val="right"/>
              <w:rPr/>
            </w:pPr>
            <w:r>
              <w:rPr/>
              <w:t>—</w:t>
            </w:r>
          </w:p>
        </w:tc>
        <w:tc>
          <w:tcPr>
            <w:tcW w:w="153"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8" w:type="dxa"/>
            <w:tcBorders>
              <w:bottom w:val="single" w:sz="2" w:space="0" w:color="4B5088"/>
            </w:tcBorders>
            <w:tcMar>
              <w:bottom w:w="28" w:type="dxa"/>
            </w:tcMar>
            <w:vAlign w:val="center"/>
          </w:tcPr>
          <w:p>
            <w:pPr>
              <w:pStyle w:val="TableContents"/>
              <w:bidi w:val="0"/>
              <w:spacing w:before="0" w:after="283"/>
              <w:jc w:val="left"/>
              <w:rPr/>
            </w:pPr>
            <w:r>
              <w:rPr/>
              <w:t>​</w:t>
            </w:r>
          </w:p>
        </w:tc>
        <w:tc>
          <w:tcPr>
            <w:tcW w:w="266" w:type="dxa"/>
            <w:tcBorders>
              <w:bottom w:val="single" w:sz="2" w:space="0" w:color="4B5088"/>
            </w:tcBorders>
            <w:tcMar>
              <w:bottom w:w="70" w:type="dxa"/>
            </w:tcMar>
            <w:vAlign w:val="center"/>
          </w:tcPr>
          <w:p>
            <w:pPr>
              <w:pStyle w:val="TableContents"/>
              <w:bidi w:val="0"/>
              <w:spacing w:before="0" w:after="283"/>
              <w:jc w:val="right"/>
              <w:rPr/>
            </w:pPr>
            <w:r>
              <w:rPr/>
              <w:t>​</w:t>
            </w:r>
          </w:p>
        </w:tc>
        <w:tc>
          <w:tcPr>
            <w:tcW w:w="947" w:type="dxa"/>
            <w:tcBorders>
              <w:bottom w:val="single" w:sz="2" w:space="0" w:color="4B5088"/>
            </w:tcBorders>
            <w:tcMar>
              <w:bottom w:w="70" w:type="dxa"/>
            </w:tcMar>
            <w:vAlign w:val="center"/>
          </w:tcPr>
          <w:p>
            <w:pPr>
              <w:pStyle w:val="TableContents"/>
              <w:bidi w:val="0"/>
              <w:spacing w:before="0" w:after="283"/>
              <w:jc w:val="right"/>
              <w:rPr/>
            </w:pPr>
            <w:r>
              <w:rPr/>
              <w:t>—</w:t>
            </w:r>
          </w:p>
        </w:tc>
        <w:tc>
          <w:tcPr>
            <w:tcW w:w="12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w:t>
            </w:r>
          </w:p>
        </w:tc>
        <w:tc>
          <w:tcPr>
            <w:tcW w:w="886" w:type="dxa"/>
            <w:tcBorders>
              <w:bottom w:val="single" w:sz="2" w:space="0" w:color="4B5088"/>
            </w:tcBorders>
            <w:tcMar>
              <w:bottom w:w="70" w:type="dxa"/>
            </w:tcMar>
            <w:vAlign w:val="center"/>
          </w:tcPr>
          <w:p>
            <w:pPr>
              <w:pStyle w:val="TableContents"/>
              <w:bidi w:val="0"/>
              <w:spacing w:before="0" w:after="283"/>
              <w:jc w:val="right"/>
              <w:rPr/>
            </w:pPr>
            <w:r>
              <w:rPr/>
              <w:t>373,000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63"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51" w:type="dxa"/>
            <w:tcBorders>
              <w:bottom w:val="single" w:sz="2" w:space="0" w:color="4B5088"/>
            </w:tcBorders>
            <w:tcMar>
              <w:bottom w:w="70" w:type="dxa"/>
            </w:tcMar>
            <w:vAlign w:val="center"/>
          </w:tcPr>
          <w:p>
            <w:pPr>
              <w:pStyle w:val="TableContents"/>
              <w:bidi w:val="0"/>
              <w:spacing w:before="0" w:after="0"/>
              <w:jc w:val="left"/>
              <w:rPr>
                <w:b/>
                <w:color w:val="1F2668"/>
              </w:rPr>
            </w:pPr>
            <w:r>
              <w:rPr>
                <w:b/>
                <w:color w:val="1F2668"/>
                <w:spacing w:val="-2"/>
              </w:rPr>
              <w:t>Peggy Lamb</w:t>
            </w:r>
            <w:r>
              <w:rPr>
                <w:b/>
                <w:color w:val="1F2668"/>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6" w:type="dxa"/>
            <w:tcBorders>
              <w:bottom w:val="single" w:sz="2" w:space="0" w:color="4B5088"/>
            </w:tcBorders>
            <w:tcMar>
              <w:bottom w:w="28" w:type="dxa"/>
            </w:tcMar>
            <w:vAlign w:val="center"/>
          </w:tcPr>
          <w:p>
            <w:pPr>
              <w:pStyle w:val="TableContents"/>
              <w:bidi w:val="0"/>
              <w:spacing w:before="0" w:after="283"/>
              <w:jc w:val="left"/>
              <w:rPr/>
            </w:pPr>
            <w:r>
              <w:rPr/>
              <w:t>​</w:t>
            </w:r>
          </w:p>
        </w:tc>
        <w:tc>
          <w:tcPr>
            <w:tcW w:w="242" w:type="dxa"/>
            <w:tcBorders>
              <w:bottom w:val="single" w:sz="2" w:space="0" w:color="4B5088"/>
            </w:tcBorders>
            <w:tcMar>
              <w:bottom w:w="70" w:type="dxa"/>
            </w:tcMar>
            <w:vAlign w:val="center"/>
          </w:tcPr>
          <w:p>
            <w:pPr>
              <w:pStyle w:val="TableContents"/>
              <w:bidi w:val="0"/>
              <w:spacing w:before="0" w:after="283"/>
              <w:jc w:val="right"/>
              <w:rPr/>
            </w:pPr>
            <w:r>
              <w:rPr/>
              <w:t>$</w:t>
            </w:r>
          </w:p>
        </w:tc>
        <w:tc>
          <w:tcPr>
            <w:tcW w:w="950" w:type="dxa"/>
            <w:tcBorders>
              <w:bottom w:val="single" w:sz="2" w:space="0" w:color="4B5088"/>
            </w:tcBorders>
            <w:tcMar>
              <w:bottom w:w="70" w:type="dxa"/>
            </w:tcMar>
            <w:vAlign w:val="center"/>
          </w:tcPr>
          <w:p>
            <w:pPr>
              <w:pStyle w:val="TableContents"/>
              <w:bidi w:val="0"/>
              <w:spacing w:before="0" w:after="283"/>
              <w:jc w:val="right"/>
              <w:rPr/>
            </w:pPr>
            <w:r>
              <w:rPr/>
              <w:t>83,650</w:t>
            </w:r>
          </w:p>
        </w:tc>
        <w:tc>
          <w:tcPr>
            <w:tcW w:w="116"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8" w:type="dxa"/>
            <w:tcBorders>
              <w:bottom w:val="single" w:sz="2" w:space="0" w:color="4B5088"/>
            </w:tcBorders>
            <w:tcMar>
              <w:bottom w:w="28" w:type="dxa"/>
            </w:tcMar>
            <w:vAlign w:val="center"/>
          </w:tcPr>
          <w:p>
            <w:pPr>
              <w:pStyle w:val="TableContents"/>
              <w:bidi w:val="0"/>
              <w:spacing w:before="0" w:after="283"/>
              <w:jc w:val="left"/>
              <w:rPr/>
            </w:pPr>
            <w:r>
              <w:rPr/>
              <w:t>​</w:t>
            </w:r>
          </w:p>
        </w:tc>
        <w:tc>
          <w:tcPr>
            <w:tcW w:w="245" w:type="dxa"/>
            <w:tcBorders>
              <w:bottom w:val="single" w:sz="2" w:space="0" w:color="4B5088"/>
            </w:tcBorders>
            <w:tcMar>
              <w:bottom w:w="70" w:type="dxa"/>
            </w:tcMar>
            <w:vAlign w:val="center"/>
          </w:tcPr>
          <w:p>
            <w:pPr>
              <w:pStyle w:val="TableContents"/>
              <w:bidi w:val="0"/>
              <w:spacing w:before="0" w:after="283"/>
              <w:jc w:val="right"/>
              <w:rPr/>
            </w:pPr>
            <w:r>
              <w:rPr/>
              <w:t>$</w:t>
            </w:r>
          </w:p>
        </w:tc>
        <w:tc>
          <w:tcPr>
            <w:tcW w:w="962" w:type="dxa"/>
            <w:tcBorders>
              <w:bottom w:val="single" w:sz="2" w:space="0" w:color="4B5088"/>
            </w:tcBorders>
            <w:tcMar>
              <w:bottom w:w="70" w:type="dxa"/>
            </w:tcMar>
            <w:vAlign w:val="center"/>
          </w:tcPr>
          <w:p>
            <w:pPr>
              <w:pStyle w:val="TableContents"/>
              <w:bidi w:val="0"/>
              <w:spacing w:before="0" w:after="283"/>
              <w:jc w:val="right"/>
              <w:rPr/>
            </w:pPr>
            <w:r>
              <w:rPr/>
              <w:t>235,000</w:t>
            </w:r>
          </w:p>
        </w:tc>
        <w:tc>
          <w:tcPr>
            <w:tcW w:w="118"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0" w:type="dxa"/>
            <w:tcBorders>
              <w:bottom w:val="single" w:sz="2" w:space="0" w:color="4B5088"/>
            </w:tcBorders>
            <w:tcMar>
              <w:bottom w:w="28" w:type="dxa"/>
            </w:tcMar>
            <w:vAlign w:val="center"/>
          </w:tcPr>
          <w:p>
            <w:pPr>
              <w:pStyle w:val="TableContents"/>
              <w:bidi w:val="0"/>
              <w:spacing w:before="0" w:after="283"/>
              <w:jc w:val="left"/>
              <w:rPr/>
            </w:pPr>
            <w:r>
              <w:rPr/>
              <w:t>​</w:t>
            </w:r>
          </w:p>
        </w:tc>
        <w:tc>
          <w:tcPr>
            <w:tcW w:w="150" w:type="dxa"/>
            <w:tcBorders>
              <w:bottom w:val="single" w:sz="2" w:space="0" w:color="4B5088"/>
            </w:tcBorders>
            <w:tcMar>
              <w:bottom w:w="70" w:type="dxa"/>
            </w:tcMar>
            <w:vAlign w:val="center"/>
          </w:tcPr>
          <w:p>
            <w:pPr>
              <w:pStyle w:val="TableContents"/>
              <w:bidi w:val="0"/>
              <w:spacing w:before="0" w:after="283"/>
              <w:jc w:val="right"/>
              <w:rPr/>
            </w:pPr>
            <w:r>
              <w:rPr/>
              <w:t>​</w:t>
            </w:r>
          </w:p>
        </w:tc>
        <w:tc>
          <w:tcPr>
            <w:tcW w:w="481" w:type="dxa"/>
            <w:tcBorders>
              <w:bottom w:val="single" w:sz="2" w:space="0" w:color="4B5088"/>
            </w:tcBorders>
            <w:tcMar>
              <w:bottom w:w="70" w:type="dxa"/>
            </w:tcMar>
            <w:vAlign w:val="center"/>
          </w:tcPr>
          <w:p>
            <w:pPr>
              <w:pStyle w:val="TableContents"/>
              <w:bidi w:val="0"/>
              <w:spacing w:before="0" w:after="283"/>
              <w:jc w:val="right"/>
              <w:rPr/>
            </w:pPr>
            <w:r>
              <w:rPr/>
              <w:t>—</w:t>
            </w:r>
          </w:p>
        </w:tc>
        <w:tc>
          <w:tcPr>
            <w:tcW w:w="153"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8" w:type="dxa"/>
            <w:tcBorders>
              <w:bottom w:val="single" w:sz="2" w:space="0" w:color="4B5088"/>
            </w:tcBorders>
            <w:tcMar>
              <w:bottom w:w="28" w:type="dxa"/>
            </w:tcMar>
            <w:vAlign w:val="center"/>
          </w:tcPr>
          <w:p>
            <w:pPr>
              <w:pStyle w:val="TableContents"/>
              <w:bidi w:val="0"/>
              <w:spacing w:before="0" w:after="283"/>
              <w:jc w:val="left"/>
              <w:rPr/>
            </w:pPr>
            <w:r>
              <w:rPr/>
              <w:t>​</w:t>
            </w:r>
          </w:p>
        </w:tc>
        <w:tc>
          <w:tcPr>
            <w:tcW w:w="266" w:type="dxa"/>
            <w:tcBorders>
              <w:bottom w:val="single" w:sz="2" w:space="0" w:color="4B5088"/>
            </w:tcBorders>
            <w:tcMar>
              <w:bottom w:w="70" w:type="dxa"/>
            </w:tcMar>
            <w:vAlign w:val="center"/>
          </w:tcPr>
          <w:p>
            <w:pPr>
              <w:pStyle w:val="TableContents"/>
              <w:bidi w:val="0"/>
              <w:spacing w:before="0" w:after="283"/>
              <w:jc w:val="right"/>
              <w:rPr/>
            </w:pPr>
            <w:r>
              <w:rPr/>
              <w:t>​</w:t>
            </w:r>
          </w:p>
        </w:tc>
        <w:tc>
          <w:tcPr>
            <w:tcW w:w="947" w:type="dxa"/>
            <w:tcBorders>
              <w:bottom w:val="single" w:sz="2" w:space="0" w:color="4B5088"/>
            </w:tcBorders>
            <w:tcMar>
              <w:bottom w:w="70" w:type="dxa"/>
            </w:tcMar>
            <w:vAlign w:val="center"/>
          </w:tcPr>
          <w:p>
            <w:pPr>
              <w:pStyle w:val="TableContents"/>
              <w:bidi w:val="0"/>
              <w:spacing w:before="0" w:after="283"/>
              <w:jc w:val="right"/>
              <w:rPr/>
            </w:pPr>
            <w:r>
              <w:rPr/>
              <w:t>—</w:t>
            </w:r>
          </w:p>
        </w:tc>
        <w:tc>
          <w:tcPr>
            <w:tcW w:w="12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w:t>
            </w:r>
          </w:p>
        </w:tc>
        <w:tc>
          <w:tcPr>
            <w:tcW w:w="886" w:type="dxa"/>
            <w:tcBorders>
              <w:bottom w:val="single" w:sz="2" w:space="0" w:color="4B5088"/>
            </w:tcBorders>
            <w:tcMar>
              <w:bottom w:w="70" w:type="dxa"/>
            </w:tcMar>
            <w:vAlign w:val="center"/>
          </w:tcPr>
          <w:p>
            <w:pPr>
              <w:pStyle w:val="TableContents"/>
              <w:bidi w:val="0"/>
              <w:spacing w:before="0" w:after="283"/>
              <w:jc w:val="right"/>
              <w:rPr/>
            </w:pPr>
            <w:r>
              <w:rPr/>
              <w:t>318,650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63"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51" w:type="dxa"/>
            <w:tcBorders>
              <w:bottom w:val="single" w:sz="2" w:space="0" w:color="4B5088"/>
            </w:tcBorders>
            <w:tcMar>
              <w:bottom w:w="70" w:type="dxa"/>
            </w:tcMar>
            <w:vAlign w:val="center"/>
          </w:tcPr>
          <w:p>
            <w:pPr>
              <w:pStyle w:val="TableContents"/>
              <w:bidi w:val="0"/>
              <w:spacing w:before="0" w:after="0"/>
              <w:jc w:val="left"/>
              <w:rPr>
                <w:b/>
                <w:color w:val="1F2668"/>
              </w:rPr>
            </w:pPr>
            <w:r>
              <w:rPr>
                <w:b/>
                <w:color w:val="1F2668"/>
                <w:spacing w:val="-2"/>
              </w:rPr>
              <w:t>Carol N. Brown</w:t>
            </w:r>
            <w:r>
              <w:rPr>
                <w:b/>
                <w:color w:val="1F2668"/>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6" w:type="dxa"/>
            <w:tcBorders>
              <w:bottom w:val="single" w:sz="2" w:space="0" w:color="4B5088"/>
            </w:tcBorders>
            <w:tcMar>
              <w:bottom w:w="28" w:type="dxa"/>
            </w:tcMar>
            <w:vAlign w:val="center"/>
          </w:tcPr>
          <w:p>
            <w:pPr>
              <w:pStyle w:val="TableContents"/>
              <w:bidi w:val="0"/>
              <w:spacing w:before="0" w:after="283"/>
              <w:jc w:val="left"/>
              <w:rPr/>
            </w:pPr>
            <w:r>
              <w:rPr/>
              <w:t>​</w:t>
            </w:r>
          </w:p>
        </w:tc>
        <w:tc>
          <w:tcPr>
            <w:tcW w:w="242" w:type="dxa"/>
            <w:tcBorders>
              <w:bottom w:val="single" w:sz="2" w:space="0" w:color="4B5088"/>
            </w:tcBorders>
            <w:tcMar>
              <w:bottom w:w="70" w:type="dxa"/>
            </w:tcMar>
            <w:vAlign w:val="center"/>
          </w:tcPr>
          <w:p>
            <w:pPr>
              <w:pStyle w:val="TableContents"/>
              <w:bidi w:val="0"/>
              <w:spacing w:before="0" w:after="283"/>
              <w:jc w:val="right"/>
              <w:rPr/>
            </w:pPr>
            <w:r>
              <w:rPr/>
              <w:t>$</w:t>
            </w:r>
          </w:p>
        </w:tc>
        <w:tc>
          <w:tcPr>
            <w:tcW w:w="950" w:type="dxa"/>
            <w:tcBorders>
              <w:bottom w:val="single" w:sz="2" w:space="0" w:color="4B5088"/>
            </w:tcBorders>
            <w:tcMar>
              <w:bottom w:w="70" w:type="dxa"/>
            </w:tcMar>
            <w:vAlign w:val="center"/>
          </w:tcPr>
          <w:p>
            <w:pPr>
              <w:pStyle w:val="TableContents"/>
              <w:bidi w:val="0"/>
              <w:spacing w:before="0" w:after="283"/>
              <w:jc w:val="right"/>
              <w:rPr/>
            </w:pPr>
            <w:r>
              <w:rPr/>
              <w:t>81,500</w:t>
            </w:r>
          </w:p>
        </w:tc>
        <w:tc>
          <w:tcPr>
            <w:tcW w:w="116"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8" w:type="dxa"/>
            <w:tcBorders>
              <w:bottom w:val="single" w:sz="2" w:space="0" w:color="4B5088"/>
            </w:tcBorders>
            <w:tcMar>
              <w:bottom w:w="28" w:type="dxa"/>
            </w:tcMar>
            <w:vAlign w:val="center"/>
          </w:tcPr>
          <w:p>
            <w:pPr>
              <w:pStyle w:val="TableContents"/>
              <w:bidi w:val="0"/>
              <w:spacing w:before="0" w:after="283"/>
              <w:jc w:val="left"/>
              <w:rPr/>
            </w:pPr>
            <w:r>
              <w:rPr/>
              <w:t>​</w:t>
            </w:r>
          </w:p>
        </w:tc>
        <w:tc>
          <w:tcPr>
            <w:tcW w:w="245" w:type="dxa"/>
            <w:tcBorders>
              <w:bottom w:val="single" w:sz="2" w:space="0" w:color="4B5088"/>
            </w:tcBorders>
            <w:tcMar>
              <w:bottom w:w="70" w:type="dxa"/>
            </w:tcMar>
            <w:vAlign w:val="center"/>
          </w:tcPr>
          <w:p>
            <w:pPr>
              <w:pStyle w:val="TableContents"/>
              <w:bidi w:val="0"/>
              <w:spacing w:before="0" w:after="283"/>
              <w:jc w:val="right"/>
              <w:rPr/>
            </w:pPr>
            <w:r>
              <w:rPr/>
              <w:t>$</w:t>
            </w:r>
          </w:p>
        </w:tc>
        <w:tc>
          <w:tcPr>
            <w:tcW w:w="962" w:type="dxa"/>
            <w:tcBorders>
              <w:bottom w:val="single" w:sz="2" w:space="0" w:color="4B5088"/>
            </w:tcBorders>
            <w:tcMar>
              <w:bottom w:w="70" w:type="dxa"/>
            </w:tcMar>
            <w:vAlign w:val="center"/>
          </w:tcPr>
          <w:p>
            <w:pPr>
              <w:pStyle w:val="TableContents"/>
              <w:bidi w:val="0"/>
              <w:spacing w:before="0" w:after="283"/>
              <w:jc w:val="right"/>
              <w:rPr/>
            </w:pPr>
            <w:r>
              <w:rPr/>
              <w:t>235,000</w:t>
            </w:r>
          </w:p>
        </w:tc>
        <w:tc>
          <w:tcPr>
            <w:tcW w:w="118"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0" w:type="dxa"/>
            <w:tcBorders>
              <w:bottom w:val="single" w:sz="2" w:space="0" w:color="4B5088"/>
            </w:tcBorders>
            <w:tcMar>
              <w:bottom w:w="28" w:type="dxa"/>
            </w:tcMar>
            <w:vAlign w:val="center"/>
          </w:tcPr>
          <w:p>
            <w:pPr>
              <w:pStyle w:val="TableContents"/>
              <w:bidi w:val="0"/>
              <w:spacing w:before="0" w:after="283"/>
              <w:jc w:val="left"/>
              <w:rPr/>
            </w:pPr>
            <w:r>
              <w:rPr/>
              <w:t>​</w:t>
            </w:r>
          </w:p>
        </w:tc>
        <w:tc>
          <w:tcPr>
            <w:tcW w:w="150" w:type="dxa"/>
            <w:tcBorders>
              <w:bottom w:val="single" w:sz="2" w:space="0" w:color="4B5088"/>
            </w:tcBorders>
            <w:tcMar>
              <w:bottom w:w="70" w:type="dxa"/>
            </w:tcMar>
            <w:vAlign w:val="center"/>
          </w:tcPr>
          <w:p>
            <w:pPr>
              <w:pStyle w:val="TableContents"/>
              <w:bidi w:val="0"/>
              <w:spacing w:before="0" w:after="283"/>
              <w:jc w:val="right"/>
              <w:rPr/>
            </w:pPr>
            <w:r>
              <w:rPr/>
              <w:t>​</w:t>
            </w:r>
          </w:p>
        </w:tc>
        <w:tc>
          <w:tcPr>
            <w:tcW w:w="481" w:type="dxa"/>
            <w:tcBorders>
              <w:bottom w:val="single" w:sz="2" w:space="0" w:color="4B5088"/>
            </w:tcBorders>
            <w:tcMar>
              <w:bottom w:w="70" w:type="dxa"/>
            </w:tcMar>
            <w:vAlign w:val="center"/>
          </w:tcPr>
          <w:p>
            <w:pPr>
              <w:pStyle w:val="TableContents"/>
              <w:bidi w:val="0"/>
              <w:spacing w:before="0" w:after="283"/>
              <w:jc w:val="right"/>
              <w:rPr/>
            </w:pPr>
            <w:r>
              <w:rPr/>
              <w:t>—</w:t>
            </w:r>
          </w:p>
        </w:tc>
        <w:tc>
          <w:tcPr>
            <w:tcW w:w="153"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8" w:type="dxa"/>
            <w:tcBorders>
              <w:bottom w:val="single" w:sz="2" w:space="0" w:color="4B5088"/>
            </w:tcBorders>
            <w:tcMar>
              <w:bottom w:w="28" w:type="dxa"/>
            </w:tcMar>
            <w:vAlign w:val="center"/>
          </w:tcPr>
          <w:p>
            <w:pPr>
              <w:pStyle w:val="TableContents"/>
              <w:bidi w:val="0"/>
              <w:spacing w:before="0" w:after="283"/>
              <w:jc w:val="left"/>
              <w:rPr/>
            </w:pPr>
            <w:r>
              <w:rPr/>
              <w:t>​</w:t>
            </w:r>
          </w:p>
        </w:tc>
        <w:tc>
          <w:tcPr>
            <w:tcW w:w="266" w:type="dxa"/>
            <w:tcBorders>
              <w:bottom w:val="single" w:sz="2" w:space="0" w:color="4B5088"/>
            </w:tcBorders>
            <w:tcMar>
              <w:bottom w:w="70" w:type="dxa"/>
            </w:tcMar>
            <w:vAlign w:val="center"/>
          </w:tcPr>
          <w:p>
            <w:pPr>
              <w:pStyle w:val="TableContents"/>
              <w:bidi w:val="0"/>
              <w:spacing w:before="0" w:after="283"/>
              <w:jc w:val="right"/>
              <w:rPr/>
            </w:pPr>
            <w:r>
              <w:rPr/>
              <w:t>​</w:t>
            </w:r>
          </w:p>
        </w:tc>
        <w:tc>
          <w:tcPr>
            <w:tcW w:w="947" w:type="dxa"/>
            <w:tcBorders>
              <w:bottom w:val="single" w:sz="2" w:space="0" w:color="4B5088"/>
            </w:tcBorders>
            <w:tcMar>
              <w:bottom w:w="70" w:type="dxa"/>
            </w:tcMar>
            <w:vAlign w:val="center"/>
          </w:tcPr>
          <w:p>
            <w:pPr>
              <w:pStyle w:val="TableContents"/>
              <w:bidi w:val="0"/>
              <w:spacing w:before="0" w:after="283"/>
              <w:jc w:val="right"/>
              <w:rPr/>
            </w:pPr>
            <w:r>
              <w:rPr/>
              <w:t>—</w:t>
            </w:r>
          </w:p>
        </w:tc>
        <w:tc>
          <w:tcPr>
            <w:tcW w:w="12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w:t>
            </w:r>
          </w:p>
        </w:tc>
        <w:tc>
          <w:tcPr>
            <w:tcW w:w="886" w:type="dxa"/>
            <w:tcBorders>
              <w:bottom w:val="single" w:sz="2" w:space="0" w:color="4B5088"/>
            </w:tcBorders>
            <w:tcMar>
              <w:bottom w:w="70" w:type="dxa"/>
            </w:tcMar>
            <w:vAlign w:val="center"/>
          </w:tcPr>
          <w:p>
            <w:pPr>
              <w:pStyle w:val="TableContents"/>
              <w:bidi w:val="0"/>
              <w:spacing w:before="0" w:after="283"/>
              <w:jc w:val="right"/>
              <w:rPr/>
            </w:pPr>
            <w:r>
              <w:rPr/>
              <w:t>316,500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63"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51" w:type="dxa"/>
            <w:tcBorders>
              <w:bottom w:val="single" w:sz="2" w:space="0" w:color="4B5088"/>
            </w:tcBorders>
            <w:tcMar>
              <w:bottom w:w="70" w:type="dxa"/>
            </w:tcMar>
            <w:vAlign w:val="center"/>
          </w:tcPr>
          <w:p>
            <w:pPr>
              <w:pStyle w:val="TableContents"/>
              <w:bidi w:val="0"/>
              <w:spacing w:before="0" w:after="0"/>
              <w:jc w:val="left"/>
              <w:rPr>
                <w:b/>
                <w:color w:val="1F2668"/>
              </w:rPr>
            </w:pPr>
            <w:r>
              <w:rPr>
                <w:b/>
                <w:color w:val="1F2668"/>
                <w:spacing w:val="-2"/>
              </w:rPr>
              <w:t>Lauren B. Dillard</w:t>
            </w:r>
            <w:r>
              <w:rPr>
                <w:b/>
                <w:color w:val="1F2668"/>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6" w:type="dxa"/>
            <w:tcBorders>
              <w:bottom w:val="single" w:sz="2" w:space="0" w:color="4B5088"/>
            </w:tcBorders>
            <w:tcMar>
              <w:bottom w:w="28" w:type="dxa"/>
            </w:tcMar>
            <w:vAlign w:val="center"/>
          </w:tcPr>
          <w:p>
            <w:pPr>
              <w:pStyle w:val="TableContents"/>
              <w:bidi w:val="0"/>
              <w:spacing w:before="0" w:after="283"/>
              <w:jc w:val="left"/>
              <w:rPr/>
            </w:pPr>
            <w:r>
              <w:rPr/>
              <w:t>​</w:t>
            </w:r>
          </w:p>
        </w:tc>
        <w:tc>
          <w:tcPr>
            <w:tcW w:w="242" w:type="dxa"/>
            <w:tcBorders>
              <w:bottom w:val="single" w:sz="2" w:space="0" w:color="4B5088"/>
            </w:tcBorders>
            <w:tcMar>
              <w:bottom w:w="70" w:type="dxa"/>
            </w:tcMar>
            <w:vAlign w:val="center"/>
          </w:tcPr>
          <w:p>
            <w:pPr>
              <w:pStyle w:val="TableContents"/>
              <w:bidi w:val="0"/>
              <w:spacing w:before="0" w:after="283"/>
              <w:jc w:val="right"/>
              <w:rPr/>
            </w:pPr>
            <w:r>
              <w:rPr/>
              <w:t>$</w:t>
            </w:r>
          </w:p>
        </w:tc>
        <w:tc>
          <w:tcPr>
            <w:tcW w:w="950" w:type="dxa"/>
            <w:tcBorders>
              <w:bottom w:val="single" w:sz="2" w:space="0" w:color="4B5088"/>
            </w:tcBorders>
            <w:tcMar>
              <w:bottom w:w="70" w:type="dxa"/>
            </w:tcMar>
            <w:vAlign w:val="center"/>
          </w:tcPr>
          <w:p>
            <w:pPr>
              <w:pStyle w:val="TableContents"/>
              <w:bidi w:val="0"/>
              <w:spacing w:before="0" w:after="283"/>
              <w:jc w:val="right"/>
              <w:rPr/>
            </w:pPr>
            <w:r>
              <w:rPr/>
              <w:t>139,000</w:t>
            </w:r>
          </w:p>
        </w:tc>
        <w:tc>
          <w:tcPr>
            <w:tcW w:w="116"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8" w:type="dxa"/>
            <w:tcBorders>
              <w:bottom w:val="single" w:sz="2" w:space="0" w:color="4B5088"/>
            </w:tcBorders>
            <w:tcMar>
              <w:bottom w:w="28" w:type="dxa"/>
            </w:tcMar>
            <w:vAlign w:val="center"/>
          </w:tcPr>
          <w:p>
            <w:pPr>
              <w:pStyle w:val="TableContents"/>
              <w:bidi w:val="0"/>
              <w:spacing w:before="0" w:after="283"/>
              <w:jc w:val="left"/>
              <w:rPr/>
            </w:pPr>
            <w:r>
              <w:rPr/>
              <w:t>​</w:t>
            </w:r>
          </w:p>
        </w:tc>
        <w:tc>
          <w:tcPr>
            <w:tcW w:w="245" w:type="dxa"/>
            <w:tcBorders>
              <w:bottom w:val="single" w:sz="2" w:space="0" w:color="4B5088"/>
            </w:tcBorders>
            <w:tcMar>
              <w:bottom w:w="70" w:type="dxa"/>
            </w:tcMar>
            <w:vAlign w:val="center"/>
          </w:tcPr>
          <w:p>
            <w:pPr>
              <w:pStyle w:val="TableContents"/>
              <w:bidi w:val="0"/>
              <w:spacing w:before="0" w:after="283"/>
              <w:jc w:val="right"/>
              <w:rPr/>
            </w:pPr>
            <w:r>
              <w:rPr/>
              <w:t>$</w:t>
            </w:r>
          </w:p>
        </w:tc>
        <w:tc>
          <w:tcPr>
            <w:tcW w:w="962" w:type="dxa"/>
            <w:tcBorders>
              <w:bottom w:val="single" w:sz="2" w:space="0" w:color="4B5088"/>
            </w:tcBorders>
            <w:tcMar>
              <w:bottom w:w="70" w:type="dxa"/>
            </w:tcMar>
            <w:vAlign w:val="center"/>
          </w:tcPr>
          <w:p>
            <w:pPr>
              <w:pStyle w:val="TableContents"/>
              <w:bidi w:val="0"/>
              <w:spacing w:before="0" w:after="283"/>
              <w:jc w:val="right"/>
              <w:rPr/>
            </w:pPr>
            <w:r>
              <w:rPr/>
              <w:t>235,000</w:t>
            </w:r>
          </w:p>
        </w:tc>
        <w:tc>
          <w:tcPr>
            <w:tcW w:w="118"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0" w:type="dxa"/>
            <w:tcBorders>
              <w:bottom w:val="single" w:sz="2" w:space="0" w:color="4B5088"/>
            </w:tcBorders>
            <w:tcMar>
              <w:bottom w:w="28" w:type="dxa"/>
            </w:tcMar>
            <w:vAlign w:val="center"/>
          </w:tcPr>
          <w:p>
            <w:pPr>
              <w:pStyle w:val="TableContents"/>
              <w:bidi w:val="0"/>
              <w:spacing w:before="0" w:after="283"/>
              <w:jc w:val="left"/>
              <w:rPr/>
            </w:pPr>
            <w:r>
              <w:rPr/>
              <w:t>​</w:t>
            </w:r>
          </w:p>
        </w:tc>
        <w:tc>
          <w:tcPr>
            <w:tcW w:w="150" w:type="dxa"/>
            <w:tcBorders>
              <w:bottom w:val="single" w:sz="2" w:space="0" w:color="4B5088"/>
            </w:tcBorders>
            <w:tcMar>
              <w:bottom w:w="70" w:type="dxa"/>
            </w:tcMar>
            <w:vAlign w:val="center"/>
          </w:tcPr>
          <w:p>
            <w:pPr>
              <w:pStyle w:val="TableContents"/>
              <w:bidi w:val="0"/>
              <w:spacing w:before="0" w:after="283"/>
              <w:jc w:val="right"/>
              <w:rPr/>
            </w:pPr>
            <w:r>
              <w:rPr/>
              <w:t>​</w:t>
            </w:r>
          </w:p>
        </w:tc>
        <w:tc>
          <w:tcPr>
            <w:tcW w:w="481" w:type="dxa"/>
            <w:tcBorders>
              <w:bottom w:val="single" w:sz="2" w:space="0" w:color="4B5088"/>
            </w:tcBorders>
            <w:tcMar>
              <w:bottom w:w="70" w:type="dxa"/>
            </w:tcMar>
            <w:vAlign w:val="center"/>
          </w:tcPr>
          <w:p>
            <w:pPr>
              <w:pStyle w:val="TableContents"/>
              <w:bidi w:val="0"/>
              <w:spacing w:before="0" w:after="283"/>
              <w:jc w:val="right"/>
              <w:rPr/>
            </w:pPr>
            <w:r>
              <w:rPr/>
              <w:t>—</w:t>
            </w:r>
          </w:p>
        </w:tc>
        <w:tc>
          <w:tcPr>
            <w:tcW w:w="153"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8" w:type="dxa"/>
            <w:tcBorders>
              <w:bottom w:val="single" w:sz="2" w:space="0" w:color="4B5088"/>
            </w:tcBorders>
            <w:tcMar>
              <w:bottom w:w="28" w:type="dxa"/>
            </w:tcMar>
            <w:vAlign w:val="center"/>
          </w:tcPr>
          <w:p>
            <w:pPr>
              <w:pStyle w:val="TableContents"/>
              <w:bidi w:val="0"/>
              <w:spacing w:before="0" w:after="283"/>
              <w:jc w:val="left"/>
              <w:rPr/>
            </w:pPr>
            <w:r>
              <w:rPr/>
              <w:t>​</w:t>
            </w:r>
          </w:p>
        </w:tc>
        <w:tc>
          <w:tcPr>
            <w:tcW w:w="266" w:type="dxa"/>
            <w:tcBorders>
              <w:bottom w:val="single" w:sz="2" w:space="0" w:color="4B5088"/>
            </w:tcBorders>
            <w:tcMar>
              <w:bottom w:w="70" w:type="dxa"/>
            </w:tcMar>
            <w:vAlign w:val="center"/>
          </w:tcPr>
          <w:p>
            <w:pPr>
              <w:pStyle w:val="TableContents"/>
              <w:bidi w:val="0"/>
              <w:spacing w:before="0" w:after="283"/>
              <w:jc w:val="right"/>
              <w:rPr/>
            </w:pPr>
            <w:r>
              <w:rPr/>
              <w:t>​</w:t>
            </w:r>
          </w:p>
        </w:tc>
        <w:tc>
          <w:tcPr>
            <w:tcW w:w="947" w:type="dxa"/>
            <w:tcBorders>
              <w:bottom w:val="single" w:sz="2" w:space="0" w:color="4B5088"/>
            </w:tcBorders>
            <w:tcMar>
              <w:bottom w:w="70" w:type="dxa"/>
            </w:tcMar>
            <w:vAlign w:val="center"/>
          </w:tcPr>
          <w:p>
            <w:pPr>
              <w:pStyle w:val="TableContents"/>
              <w:bidi w:val="0"/>
              <w:spacing w:before="0" w:after="283"/>
              <w:jc w:val="right"/>
              <w:rPr/>
            </w:pPr>
            <w:r>
              <w:rPr/>
              <w:t>—</w:t>
            </w:r>
          </w:p>
        </w:tc>
        <w:tc>
          <w:tcPr>
            <w:tcW w:w="12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w:t>
            </w:r>
          </w:p>
        </w:tc>
        <w:tc>
          <w:tcPr>
            <w:tcW w:w="886" w:type="dxa"/>
            <w:tcBorders>
              <w:bottom w:val="single" w:sz="2" w:space="0" w:color="4B5088"/>
            </w:tcBorders>
            <w:tcMar>
              <w:bottom w:w="70" w:type="dxa"/>
            </w:tcMar>
            <w:vAlign w:val="center"/>
          </w:tcPr>
          <w:p>
            <w:pPr>
              <w:pStyle w:val="TableContents"/>
              <w:bidi w:val="0"/>
              <w:spacing w:before="0" w:after="283"/>
              <w:jc w:val="right"/>
              <w:rPr/>
            </w:pPr>
            <w:r>
              <w:rPr/>
              <w:t>374,000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63"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51" w:type="dxa"/>
            <w:tcBorders>
              <w:bottom w:val="single" w:sz="2" w:space="0" w:color="4B5088"/>
            </w:tcBorders>
            <w:tcMar>
              <w:bottom w:w="70" w:type="dxa"/>
            </w:tcMar>
            <w:vAlign w:val="center"/>
          </w:tcPr>
          <w:p>
            <w:pPr>
              <w:pStyle w:val="TableContents"/>
              <w:bidi w:val="0"/>
              <w:spacing w:before="0" w:after="0"/>
              <w:jc w:val="left"/>
              <w:rPr>
                <w:b/>
                <w:color w:val="1F2668"/>
              </w:rPr>
            </w:pPr>
            <w:r>
              <w:rPr>
                <w:b/>
                <w:color w:val="1F2668"/>
                <w:spacing w:val="-2"/>
              </w:rPr>
              <w:t>Stephen L. Green</w:t>
            </w:r>
            <w:r>
              <w:rPr>
                <w:b/>
                <w:color w:val="1F2668"/>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6" w:type="dxa"/>
            <w:tcBorders>
              <w:bottom w:val="single" w:sz="2" w:space="0" w:color="4B5088"/>
            </w:tcBorders>
            <w:tcMar>
              <w:bottom w:w="28" w:type="dxa"/>
            </w:tcMar>
            <w:vAlign w:val="center"/>
          </w:tcPr>
          <w:p>
            <w:pPr>
              <w:pStyle w:val="TableContents"/>
              <w:bidi w:val="0"/>
              <w:spacing w:before="0" w:after="283"/>
              <w:jc w:val="left"/>
              <w:rPr/>
            </w:pPr>
            <w:r>
              <w:rPr/>
              <w:t>​</w:t>
            </w:r>
          </w:p>
        </w:tc>
        <w:tc>
          <w:tcPr>
            <w:tcW w:w="242" w:type="dxa"/>
            <w:tcBorders>
              <w:bottom w:val="single" w:sz="2" w:space="0" w:color="4B5088"/>
            </w:tcBorders>
            <w:tcMar>
              <w:bottom w:w="70" w:type="dxa"/>
            </w:tcMar>
            <w:vAlign w:val="center"/>
          </w:tcPr>
          <w:p>
            <w:pPr>
              <w:pStyle w:val="TableContents"/>
              <w:bidi w:val="0"/>
              <w:spacing w:before="0" w:after="283"/>
              <w:jc w:val="right"/>
              <w:rPr/>
            </w:pPr>
            <w:r>
              <w:rPr/>
              <w:t>$</w:t>
            </w:r>
          </w:p>
        </w:tc>
        <w:tc>
          <w:tcPr>
            <w:tcW w:w="950" w:type="dxa"/>
            <w:tcBorders>
              <w:bottom w:val="single" w:sz="2" w:space="0" w:color="4B5088"/>
            </w:tcBorders>
            <w:tcMar>
              <w:bottom w:w="70" w:type="dxa"/>
            </w:tcMar>
            <w:vAlign w:val="center"/>
          </w:tcPr>
          <w:p>
            <w:pPr>
              <w:pStyle w:val="TableContents"/>
              <w:bidi w:val="0"/>
              <w:spacing w:before="0" w:after="283"/>
              <w:jc w:val="right"/>
              <w:rPr/>
            </w:pPr>
            <w:r>
              <w:rPr/>
              <w:t>62,000</w:t>
            </w:r>
          </w:p>
        </w:tc>
        <w:tc>
          <w:tcPr>
            <w:tcW w:w="116"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8" w:type="dxa"/>
            <w:tcBorders>
              <w:bottom w:val="single" w:sz="2" w:space="0" w:color="4B5088"/>
            </w:tcBorders>
            <w:tcMar>
              <w:bottom w:w="28" w:type="dxa"/>
            </w:tcMar>
            <w:vAlign w:val="center"/>
          </w:tcPr>
          <w:p>
            <w:pPr>
              <w:pStyle w:val="TableContents"/>
              <w:bidi w:val="0"/>
              <w:spacing w:before="0" w:after="283"/>
              <w:jc w:val="left"/>
              <w:rPr/>
            </w:pPr>
            <w:r>
              <w:rPr/>
              <w:t>​</w:t>
            </w:r>
          </w:p>
        </w:tc>
        <w:tc>
          <w:tcPr>
            <w:tcW w:w="245" w:type="dxa"/>
            <w:tcBorders>
              <w:bottom w:val="single" w:sz="2" w:space="0" w:color="4B5088"/>
            </w:tcBorders>
            <w:tcMar>
              <w:bottom w:w="70" w:type="dxa"/>
            </w:tcMar>
            <w:vAlign w:val="center"/>
          </w:tcPr>
          <w:p>
            <w:pPr>
              <w:pStyle w:val="TableContents"/>
              <w:bidi w:val="0"/>
              <w:spacing w:before="0" w:after="283"/>
              <w:jc w:val="right"/>
              <w:rPr/>
            </w:pPr>
            <w:r>
              <w:rPr/>
              <w:t>$</w:t>
            </w:r>
          </w:p>
        </w:tc>
        <w:tc>
          <w:tcPr>
            <w:tcW w:w="962" w:type="dxa"/>
            <w:tcBorders>
              <w:bottom w:val="single" w:sz="2" w:space="0" w:color="4B5088"/>
            </w:tcBorders>
            <w:tcMar>
              <w:bottom w:w="70" w:type="dxa"/>
            </w:tcMar>
            <w:vAlign w:val="center"/>
          </w:tcPr>
          <w:p>
            <w:pPr>
              <w:pStyle w:val="TableContents"/>
              <w:bidi w:val="0"/>
              <w:spacing w:before="0" w:after="283"/>
              <w:jc w:val="right"/>
              <w:rPr/>
            </w:pPr>
            <w:r>
              <w:rPr/>
              <w:t>235,000</w:t>
            </w:r>
          </w:p>
        </w:tc>
        <w:tc>
          <w:tcPr>
            <w:tcW w:w="118"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0" w:type="dxa"/>
            <w:tcBorders>
              <w:bottom w:val="single" w:sz="2" w:space="0" w:color="4B5088"/>
            </w:tcBorders>
            <w:tcMar>
              <w:bottom w:w="28" w:type="dxa"/>
            </w:tcMar>
            <w:vAlign w:val="center"/>
          </w:tcPr>
          <w:p>
            <w:pPr>
              <w:pStyle w:val="TableContents"/>
              <w:bidi w:val="0"/>
              <w:spacing w:before="0" w:after="283"/>
              <w:jc w:val="left"/>
              <w:rPr/>
            </w:pPr>
            <w:r>
              <w:rPr/>
              <w:t>​</w:t>
            </w:r>
          </w:p>
        </w:tc>
        <w:tc>
          <w:tcPr>
            <w:tcW w:w="150" w:type="dxa"/>
            <w:tcBorders>
              <w:bottom w:val="single" w:sz="2" w:space="0" w:color="4B5088"/>
            </w:tcBorders>
            <w:tcMar>
              <w:bottom w:w="70" w:type="dxa"/>
            </w:tcMar>
            <w:vAlign w:val="center"/>
          </w:tcPr>
          <w:p>
            <w:pPr>
              <w:pStyle w:val="TableContents"/>
              <w:bidi w:val="0"/>
              <w:spacing w:before="0" w:after="283"/>
              <w:jc w:val="right"/>
              <w:rPr/>
            </w:pPr>
            <w:r>
              <w:rPr/>
              <w:t>​</w:t>
            </w:r>
          </w:p>
        </w:tc>
        <w:tc>
          <w:tcPr>
            <w:tcW w:w="481" w:type="dxa"/>
            <w:tcBorders>
              <w:bottom w:val="single" w:sz="2" w:space="0" w:color="4B5088"/>
            </w:tcBorders>
            <w:tcMar>
              <w:bottom w:w="70" w:type="dxa"/>
            </w:tcMar>
            <w:vAlign w:val="center"/>
          </w:tcPr>
          <w:p>
            <w:pPr>
              <w:pStyle w:val="TableContents"/>
              <w:bidi w:val="0"/>
              <w:spacing w:before="0" w:after="283"/>
              <w:jc w:val="right"/>
              <w:rPr/>
            </w:pPr>
            <w:r>
              <w:rPr/>
              <w:t>—</w:t>
            </w:r>
          </w:p>
        </w:tc>
        <w:tc>
          <w:tcPr>
            <w:tcW w:w="153"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8" w:type="dxa"/>
            <w:tcBorders>
              <w:bottom w:val="single" w:sz="2" w:space="0" w:color="4B5088"/>
            </w:tcBorders>
            <w:tcMar>
              <w:bottom w:w="28" w:type="dxa"/>
            </w:tcMar>
            <w:vAlign w:val="center"/>
          </w:tcPr>
          <w:p>
            <w:pPr>
              <w:pStyle w:val="TableContents"/>
              <w:bidi w:val="0"/>
              <w:spacing w:before="0" w:after="283"/>
              <w:jc w:val="left"/>
              <w:rPr/>
            </w:pPr>
            <w:r>
              <w:rPr/>
              <w:t>​</w:t>
            </w:r>
          </w:p>
        </w:tc>
        <w:tc>
          <w:tcPr>
            <w:tcW w:w="266" w:type="dxa"/>
            <w:tcBorders>
              <w:bottom w:val="single" w:sz="2" w:space="0" w:color="4B5088"/>
            </w:tcBorders>
            <w:tcMar>
              <w:bottom w:w="70" w:type="dxa"/>
            </w:tcMar>
            <w:vAlign w:val="center"/>
          </w:tcPr>
          <w:p>
            <w:pPr>
              <w:pStyle w:val="TableContents"/>
              <w:bidi w:val="0"/>
              <w:spacing w:before="0" w:after="283"/>
              <w:jc w:val="right"/>
              <w:rPr/>
            </w:pPr>
            <w:r>
              <w:rPr/>
              <w:t>​</w:t>
            </w:r>
          </w:p>
        </w:tc>
        <w:tc>
          <w:tcPr>
            <w:tcW w:w="947" w:type="dxa"/>
            <w:tcBorders>
              <w:bottom w:val="single" w:sz="2" w:space="0" w:color="4B5088"/>
            </w:tcBorders>
            <w:tcMar>
              <w:bottom w:w="70" w:type="dxa"/>
            </w:tcMar>
            <w:vAlign w:val="center"/>
          </w:tcPr>
          <w:p>
            <w:pPr>
              <w:pStyle w:val="TableContents"/>
              <w:bidi w:val="0"/>
              <w:spacing w:before="0" w:after="283"/>
              <w:jc w:val="right"/>
              <w:rPr/>
            </w:pPr>
            <w:r>
              <w:rPr/>
              <w:t>—</w:t>
            </w:r>
          </w:p>
        </w:tc>
        <w:tc>
          <w:tcPr>
            <w:tcW w:w="12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w:t>
            </w:r>
          </w:p>
        </w:tc>
        <w:tc>
          <w:tcPr>
            <w:tcW w:w="886" w:type="dxa"/>
            <w:tcBorders>
              <w:bottom w:val="single" w:sz="2" w:space="0" w:color="4B5088"/>
            </w:tcBorders>
            <w:tcMar>
              <w:bottom w:w="70" w:type="dxa"/>
            </w:tcMar>
            <w:vAlign w:val="center"/>
          </w:tcPr>
          <w:p>
            <w:pPr>
              <w:pStyle w:val="TableContents"/>
              <w:bidi w:val="0"/>
              <w:spacing w:before="0" w:after="283"/>
              <w:jc w:val="right"/>
              <w:rPr/>
            </w:pPr>
            <w:r>
              <w:rPr/>
              <w:t>297,000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63"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51" w:type="dxa"/>
            <w:tcBorders>
              <w:bottom w:val="single" w:sz="2" w:space="0" w:color="4B5088"/>
            </w:tcBorders>
            <w:tcMar>
              <w:bottom w:w="70" w:type="dxa"/>
            </w:tcMar>
            <w:vAlign w:val="center"/>
          </w:tcPr>
          <w:p>
            <w:pPr>
              <w:pStyle w:val="TableContents"/>
              <w:bidi w:val="0"/>
              <w:spacing w:before="0" w:after="0"/>
              <w:jc w:val="left"/>
              <w:rPr>
                <w:b/>
                <w:color w:val="1F2668"/>
              </w:rPr>
            </w:pPr>
            <w:r>
              <w:rPr>
                <w:b/>
                <w:color w:val="1F2668"/>
                <w:spacing w:val="-2"/>
              </w:rPr>
              <w:t>Craig M. Hatkoff</w:t>
            </w:r>
            <w:r>
              <w:rPr>
                <w:b/>
                <w:color w:val="1F2668"/>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6" w:type="dxa"/>
            <w:tcBorders>
              <w:bottom w:val="single" w:sz="2" w:space="0" w:color="4B5088"/>
            </w:tcBorders>
            <w:tcMar>
              <w:bottom w:w="28" w:type="dxa"/>
            </w:tcMar>
            <w:vAlign w:val="center"/>
          </w:tcPr>
          <w:p>
            <w:pPr>
              <w:pStyle w:val="TableContents"/>
              <w:bidi w:val="0"/>
              <w:spacing w:before="0" w:after="283"/>
              <w:jc w:val="left"/>
              <w:rPr/>
            </w:pPr>
            <w:r>
              <w:rPr/>
              <w:t>​</w:t>
            </w:r>
          </w:p>
        </w:tc>
        <w:tc>
          <w:tcPr>
            <w:tcW w:w="242" w:type="dxa"/>
            <w:tcBorders>
              <w:bottom w:val="single" w:sz="2" w:space="0" w:color="4B5088"/>
            </w:tcBorders>
            <w:tcMar>
              <w:bottom w:w="70" w:type="dxa"/>
            </w:tcMar>
            <w:vAlign w:val="center"/>
          </w:tcPr>
          <w:p>
            <w:pPr>
              <w:pStyle w:val="TableContents"/>
              <w:bidi w:val="0"/>
              <w:spacing w:before="0" w:after="283"/>
              <w:jc w:val="right"/>
              <w:rPr/>
            </w:pPr>
            <w:r>
              <w:rPr/>
              <w:t>$</w:t>
            </w:r>
          </w:p>
        </w:tc>
        <w:tc>
          <w:tcPr>
            <w:tcW w:w="950" w:type="dxa"/>
            <w:tcBorders>
              <w:bottom w:val="single" w:sz="2" w:space="0" w:color="4B5088"/>
            </w:tcBorders>
            <w:tcMar>
              <w:bottom w:w="70" w:type="dxa"/>
            </w:tcMar>
            <w:vAlign w:val="center"/>
          </w:tcPr>
          <w:p>
            <w:pPr>
              <w:pStyle w:val="TableContents"/>
              <w:bidi w:val="0"/>
              <w:spacing w:before="0" w:after="283"/>
              <w:jc w:val="right"/>
              <w:rPr/>
            </w:pPr>
            <w:r>
              <w:rPr/>
              <w:t>86,500</w:t>
            </w:r>
          </w:p>
        </w:tc>
        <w:tc>
          <w:tcPr>
            <w:tcW w:w="116"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8" w:type="dxa"/>
            <w:tcBorders>
              <w:bottom w:val="single" w:sz="2" w:space="0" w:color="4B5088"/>
            </w:tcBorders>
            <w:tcMar>
              <w:bottom w:w="28" w:type="dxa"/>
            </w:tcMar>
            <w:vAlign w:val="center"/>
          </w:tcPr>
          <w:p>
            <w:pPr>
              <w:pStyle w:val="TableContents"/>
              <w:bidi w:val="0"/>
              <w:spacing w:before="0" w:after="283"/>
              <w:jc w:val="left"/>
              <w:rPr/>
            </w:pPr>
            <w:r>
              <w:rPr/>
              <w:t>​</w:t>
            </w:r>
          </w:p>
        </w:tc>
        <w:tc>
          <w:tcPr>
            <w:tcW w:w="245" w:type="dxa"/>
            <w:tcBorders>
              <w:bottom w:val="single" w:sz="2" w:space="0" w:color="4B5088"/>
            </w:tcBorders>
            <w:tcMar>
              <w:bottom w:w="70" w:type="dxa"/>
            </w:tcMar>
            <w:vAlign w:val="center"/>
          </w:tcPr>
          <w:p>
            <w:pPr>
              <w:pStyle w:val="TableContents"/>
              <w:bidi w:val="0"/>
              <w:spacing w:before="0" w:after="283"/>
              <w:jc w:val="right"/>
              <w:rPr/>
            </w:pPr>
            <w:r>
              <w:rPr/>
              <w:t>$</w:t>
            </w:r>
          </w:p>
        </w:tc>
        <w:tc>
          <w:tcPr>
            <w:tcW w:w="962" w:type="dxa"/>
            <w:tcBorders>
              <w:bottom w:val="single" w:sz="2" w:space="0" w:color="4B5088"/>
            </w:tcBorders>
            <w:tcMar>
              <w:bottom w:w="70" w:type="dxa"/>
            </w:tcMar>
            <w:vAlign w:val="center"/>
          </w:tcPr>
          <w:p>
            <w:pPr>
              <w:pStyle w:val="TableContents"/>
              <w:bidi w:val="0"/>
              <w:spacing w:before="0" w:after="283"/>
              <w:jc w:val="right"/>
              <w:rPr/>
            </w:pPr>
            <w:r>
              <w:rPr/>
              <w:t>235,000</w:t>
            </w:r>
          </w:p>
        </w:tc>
        <w:tc>
          <w:tcPr>
            <w:tcW w:w="118"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0" w:type="dxa"/>
            <w:tcBorders>
              <w:bottom w:val="single" w:sz="2" w:space="0" w:color="4B5088"/>
            </w:tcBorders>
            <w:tcMar>
              <w:bottom w:w="28" w:type="dxa"/>
            </w:tcMar>
            <w:vAlign w:val="center"/>
          </w:tcPr>
          <w:p>
            <w:pPr>
              <w:pStyle w:val="TableContents"/>
              <w:bidi w:val="0"/>
              <w:spacing w:before="0" w:after="283"/>
              <w:jc w:val="left"/>
              <w:rPr/>
            </w:pPr>
            <w:r>
              <w:rPr/>
              <w:t>​</w:t>
            </w:r>
          </w:p>
        </w:tc>
        <w:tc>
          <w:tcPr>
            <w:tcW w:w="150" w:type="dxa"/>
            <w:tcBorders>
              <w:bottom w:val="single" w:sz="2" w:space="0" w:color="4B5088"/>
            </w:tcBorders>
            <w:tcMar>
              <w:bottom w:w="70" w:type="dxa"/>
            </w:tcMar>
            <w:vAlign w:val="center"/>
          </w:tcPr>
          <w:p>
            <w:pPr>
              <w:pStyle w:val="TableContents"/>
              <w:bidi w:val="0"/>
              <w:spacing w:before="0" w:after="283"/>
              <w:jc w:val="right"/>
              <w:rPr/>
            </w:pPr>
            <w:r>
              <w:rPr/>
              <w:t>​</w:t>
            </w:r>
          </w:p>
        </w:tc>
        <w:tc>
          <w:tcPr>
            <w:tcW w:w="481" w:type="dxa"/>
            <w:tcBorders>
              <w:bottom w:val="single" w:sz="2" w:space="0" w:color="4B5088"/>
            </w:tcBorders>
            <w:tcMar>
              <w:bottom w:w="70" w:type="dxa"/>
            </w:tcMar>
            <w:vAlign w:val="center"/>
          </w:tcPr>
          <w:p>
            <w:pPr>
              <w:pStyle w:val="TableContents"/>
              <w:bidi w:val="0"/>
              <w:spacing w:before="0" w:after="283"/>
              <w:jc w:val="right"/>
              <w:rPr/>
            </w:pPr>
            <w:r>
              <w:rPr/>
              <w:t>—</w:t>
            </w:r>
          </w:p>
        </w:tc>
        <w:tc>
          <w:tcPr>
            <w:tcW w:w="153"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8" w:type="dxa"/>
            <w:tcBorders>
              <w:bottom w:val="single" w:sz="2" w:space="0" w:color="4B5088"/>
            </w:tcBorders>
            <w:tcMar>
              <w:bottom w:w="28" w:type="dxa"/>
            </w:tcMar>
            <w:vAlign w:val="center"/>
          </w:tcPr>
          <w:p>
            <w:pPr>
              <w:pStyle w:val="TableContents"/>
              <w:bidi w:val="0"/>
              <w:spacing w:before="0" w:after="283"/>
              <w:jc w:val="left"/>
              <w:rPr/>
            </w:pPr>
            <w:r>
              <w:rPr/>
              <w:t>​</w:t>
            </w:r>
          </w:p>
        </w:tc>
        <w:tc>
          <w:tcPr>
            <w:tcW w:w="266" w:type="dxa"/>
            <w:tcBorders>
              <w:bottom w:val="single" w:sz="2" w:space="0" w:color="4B5088"/>
            </w:tcBorders>
            <w:tcMar>
              <w:bottom w:w="70" w:type="dxa"/>
            </w:tcMar>
            <w:vAlign w:val="center"/>
          </w:tcPr>
          <w:p>
            <w:pPr>
              <w:pStyle w:val="TableContents"/>
              <w:bidi w:val="0"/>
              <w:spacing w:before="0" w:after="283"/>
              <w:jc w:val="right"/>
              <w:rPr/>
            </w:pPr>
            <w:r>
              <w:rPr/>
              <w:t>​</w:t>
            </w:r>
          </w:p>
        </w:tc>
        <w:tc>
          <w:tcPr>
            <w:tcW w:w="947" w:type="dxa"/>
            <w:tcBorders>
              <w:bottom w:val="single" w:sz="2" w:space="0" w:color="4B5088"/>
            </w:tcBorders>
            <w:tcMar>
              <w:bottom w:w="70" w:type="dxa"/>
            </w:tcMar>
            <w:vAlign w:val="center"/>
          </w:tcPr>
          <w:p>
            <w:pPr>
              <w:pStyle w:val="TableContents"/>
              <w:bidi w:val="0"/>
              <w:spacing w:before="0" w:after="283"/>
              <w:jc w:val="right"/>
              <w:rPr/>
            </w:pPr>
            <w:r>
              <w:rPr/>
              <w:t>—</w:t>
            </w:r>
          </w:p>
        </w:tc>
        <w:tc>
          <w:tcPr>
            <w:tcW w:w="12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w:t>
            </w:r>
          </w:p>
        </w:tc>
        <w:tc>
          <w:tcPr>
            <w:tcW w:w="886" w:type="dxa"/>
            <w:tcBorders>
              <w:bottom w:val="single" w:sz="2" w:space="0" w:color="4B5088"/>
            </w:tcBorders>
            <w:tcMar>
              <w:bottom w:w="70" w:type="dxa"/>
            </w:tcMar>
            <w:vAlign w:val="center"/>
          </w:tcPr>
          <w:p>
            <w:pPr>
              <w:pStyle w:val="TableContents"/>
              <w:bidi w:val="0"/>
              <w:spacing w:before="0" w:after="283"/>
              <w:jc w:val="right"/>
              <w:rPr/>
            </w:pPr>
            <w:r>
              <w:rPr/>
              <w:t>321,500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63"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51" w:type="dxa"/>
            <w:tcBorders>
              <w:bottom w:val="single" w:sz="2" w:space="0" w:color="1F2668"/>
            </w:tcBorders>
            <w:tcMar>
              <w:bottom w:w="70" w:type="dxa"/>
            </w:tcMar>
            <w:vAlign w:val="center"/>
          </w:tcPr>
          <w:p>
            <w:pPr>
              <w:pStyle w:val="TableContents"/>
              <w:bidi w:val="0"/>
              <w:spacing w:before="0" w:after="0"/>
              <w:jc w:val="left"/>
              <w:rPr>
                <w:b/>
                <w:color w:val="1F2668"/>
              </w:rPr>
            </w:pPr>
            <w:r>
              <w:rPr>
                <w:b/>
                <w:color w:val="1F2668"/>
                <w:spacing w:val="-2"/>
              </w:rPr>
              <w:t>Andrew Mathias</w:t>
            </w:r>
            <w:r>
              <w:rPr>
                <w:b/>
                <w:color w:val="1F2668"/>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6" w:type="dxa"/>
            <w:tcBorders>
              <w:bottom w:val="single" w:sz="2" w:space="0" w:color="1F2668"/>
            </w:tcBorders>
            <w:tcMar>
              <w:bottom w:w="28" w:type="dxa"/>
            </w:tcMar>
            <w:vAlign w:val="center"/>
          </w:tcPr>
          <w:p>
            <w:pPr>
              <w:pStyle w:val="TableContents"/>
              <w:bidi w:val="0"/>
              <w:spacing w:before="0" w:after="283"/>
              <w:jc w:val="left"/>
              <w:rPr/>
            </w:pPr>
            <w:r>
              <w:rPr/>
              <w:t>​</w:t>
            </w:r>
          </w:p>
        </w:tc>
        <w:tc>
          <w:tcPr>
            <w:tcW w:w="242" w:type="dxa"/>
            <w:tcBorders>
              <w:bottom w:val="single" w:sz="2" w:space="0" w:color="1F2668"/>
            </w:tcBorders>
            <w:tcMar>
              <w:bottom w:w="70" w:type="dxa"/>
            </w:tcMar>
            <w:vAlign w:val="center"/>
          </w:tcPr>
          <w:p>
            <w:pPr>
              <w:pStyle w:val="TableContents"/>
              <w:bidi w:val="0"/>
              <w:spacing w:before="0" w:after="283"/>
              <w:jc w:val="right"/>
              <w:rPr/>
            </w:pPr>
            <w:r>
              <w:rPr/>
              <w:t>$</w:t>
            </w:r>
          </w:p>
        </w:tc>
        <w:tc>
          <w:tcPr>
            <w:tcW w:w="950" w:type="dxa"/>
            <w:tcBorders>
              <w:bottom w:val="single" w:sz="2" w:space="0" w:color="1F2668"/>
            </w:tcBorders>
            <w:tcMar>
              <w:bottom w:w="70" w:type="dxa"/>
            </w:tcMar>
            <w:vAlign w:val="center"/>
          </w:tcPr>
          <w:p>
            <w:pPr>
              <w:pStyle w:val="TableContents"/>
              <w:bidi w:val="0"/>
              <w:spacing w:before="0" w:after="283"/>
              <w:jc w:val="right"/>
              <w:rPr/>
            </w:pPr>
            <w:r>
              <w:rPr/>
              <w:t>62,000</w:t>
            </w:r>
          </w:p>
        </w:tc>
        <w:tc>
          <w:tcPr>
            <w:tcW w:w="116"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8" w:type="dxa"/>
            <w:tcBorders>
              <w:bottom w:val="single" w:sz="2" w:space="0" w:color="1F2668"/>
            </w:tcBorders>
            <w:tcMar>
              <w:bottom w:w="28" w:type="dxa"/>
            </w:tcMar>
            <w:vAlign w:val="center"/>
          </w:tcPr>
          <w:p>
            <w:pPr>
              <w:pStyle w:val="TableContents"/>
              <w:bidi w:val="0"/>
              <w:spacing w:before="0" w:after="283"/>
              <w:jc w:val="left"/>
              <w:rPr/>
            </w:pPr>
            <w:r>
              <w:rPr/>
              <w:t>​</w:t>
            </w:r>
          </w:p>
        </w:tc>
        <w:tc>
          <w:tcPr>
            <w:tcW w:w="245" w:type="dxa"/>
            <w:tcBorders>
              <w:bottom w:val="single" w:sz="2" w:space="0" w:color="1F2668"/>
            </w:tcBorders>
            <w:tcMar>
              <w:bottom w:w="70" w:type="dxa"/>
            </w:tcMar>
            <w:vAlign w:val="center"/>
          </w:tcPr>
          <w:p>
            <w:pPr>
              <w:pStyle w:val="TableContents"/>
              <w:bidi w:val="0"/>
              <w:spacing w:before="0" w:after="283"/>
              <w:jc w:val="right"/>
              <w:rPr/>
            </w:pPr>
            <w:r>
              <w:rPr/>
              <w:t>$</w:t>
            </w:r>
          </w:p>
        </w:tc>
        <w:tc>
          <w:tcPr>
            <w:tcW w:w="962" w:type="dxa"/>
            <w:tcBorders>
              <w:bottom w:val="single" w:sz="2" w:space="0" w:color="1F2668"/>
            </w:tcBorders>
            <w:tcMar>
              <w:bottom w:w="70" w:type="dxa"/>
            </w:tcMar>
            <w:vAlign w:val="center"/>
          </w:tcPr>
          <w:p>
            <w:pPr>
              <w:pStyle w:val="TableContents"/>
              <w:bidi w:val="0"/>
              <w:spacing w:before="0" w:after="283"/>
              <w:jc w:val="right"/>
              <w:rPr/>
            </w:pPr>
            <w:r>
              <w:rPr/>
              <w:t>235,000</w:t>
            </w:r>
          </w:p>
        </w:tc>
        <w:tc>
          <w:tcPr>
            <w:tcW w:w="118"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0" w:type="dxa"/>
            <w:tcBorders>
              <w:bottom w:val="single" w:sz="2" w:space="0" w:color="1F2668"/>
            </w:tcBorders>
            <w:tcMar>
              <w:bottom w:w="28" w:type="dxa"/>
            </w:tcMar>
            <w:vAlign w:val="center"/>
          </w:tcPr>
          <w:p>
            <w:pPr>
              <w:pStyle w:val="TableContents"/>
              <w:bidi w:val="0"/>
              <w:spacing w:before="0" w:after="283"/>
              <w:jc w:val="left"/>
              <w:rPr/>
            </w:pPr>
            <w:r>
              <w:rPr/>
              <w:t>​</w:t>
            </w:r>
          </w:p>
        </w:tc>
        <w:tc>
          <w:tcPr>
            <w:tcW w:w="150" w:type="dxa"/>
            <w:tcBorders>
              <w:bottom w:val="single" w:sz="2" w:space="0" w:color="1F2668"/>
            </w:tcBorders>
            <w:tcMar>
              <w:bottom w:w="70" w:type="dxa"/>
            </w:tcMar>
            <w:vAlign w:val="center"/>
          </w:tcPr>
          <w:p>
            <w:pPr>
              <w:pStyle w:val="TableContents"/>
              <w:bidi w:val="0"/>
              <w:spacing w:before="0" w:after="283"/>
              <w:jc w:val="right"/>
              <w:rPr/>
            </w:pPr>
            <w:r>
              <w:rPr/>
              <w:t>​</w:t>
            </w:r>
          </w:p>
        </w:tc>
        <w:tc>
          <w:tcPr>
            <w:tcW w:w="481" w:type="dxa"/>
            <w:tcBorders>
              <w:bottom w:val="single" w:sz="2" w:space="0" w:color="1F2668"/>
            </w:tcBorders>
            <w:tcMar>
              <w:bottom w:w="70" w:type="dxa"/>
            </w:tcMar>
            <w:vAlign w:val="center"/>
          </w:tcPr>
          <w:p>
            <w:pPr>
              <w:pStyle w:val="TableContents"/>
              <w:bidi w:val="0"/>
              <w:spacing w:before="0" w:after="283"/>
              <w:jc w:val="right"/>
              <w:rPr/>
            </w:pPr>
            <w:r>
              <w:rPr/>
              <w:t>—</w:t>
            </w:r>
          </w:p>
        </w:tc>
        <w:tc>
          <w:tcPr>
            <w:tcW w:w="153"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8" w:type="dxa"/>
            <w:tcBorders>
              <w:bottom w:val="single" w:sz="2" w:space="0" w:color="1F2668"/>
            </w:tcBorders>
            <w:tcMar>
              <w:bottom w:w="28" w:type="dxa"/>
            </w:tcMar>
            <w:vAlign w:val="center"/>
          </w:tcPr>
          <w:p>
            <w:pPr>
              <w:pStyle w:val="TableContents"/>
              <w:bidi w:val="0"/>
              <w:spacing w:before="0" w:after="283"/>
              <w:jc w:val="left"/>
              <w:rPr/>
            </w:pPr>
            <w:r>
              <w:rPr/>
              <w:t>​</w:t>
            </w:r>
          </w:p>
        </w:tc>
        <w:tc>
          <w:tcPr>
            <w:tcW w:w="266" w:type="dxa"/>
            <w:tcBorders>
              <w:bottom w:val="single" w:sz="2" w:space="0" w:color="1F2668"/>
            </w:tcBorders>
            <w:tcMar>
              <w:bottom w:w="70" w:type="dxa"/>
            </w:tcMar>
            <w:vAlign w:val="center"/>
          </w:tcPr>
          <w:p>
            <w:pPr>
              <w:pStyle w:val="TableContents"/>
              <w:bidi w:val="0"/>
              <w:spacing w:before="0" w:after="283"/>
              <w:jc w:val="right"/>
              <w:rPr/>
            </w:pPr>
            <w:r>
              <w:rPr/>
              <w:t>$</w:t>
            </w:r>
          </w:p>
        </w:tc>
        <w:tc>
          <w:tcPr>
            <w:tcW w:w="947" w:type="dxa"/>
            <w:tcBorders>
              <w:bottom w:val="single" w:sz="2" w:space="0" w:color="1F2668"/>
            </w:tcBorders>
            <w:tcMar>
              <w:bottom w:w="70" w:type="dxa"/>
            </w:tcMar>
            <w:vAlign w:val="center"/>
          </w:tcPr>
          <w:p>
            <w:pPr>
              <w:pStyle w:val="TableContents"/>
              <w:bidi w:val="0"/>
              <w:spacing w:before="0" w:after="283"/>
              <w:jc w:val="right"/>
              <w:rPr/>
            </w:pPr>
            <w:r>
              <w:rPr/>
              <w:t>99,996</w:t>
            </w:r>
            <w:r>
              <w:rPr>
                <w:sz w:val="11"/>
              </w:rPr>
              <w:t>(4)</w:t>
            </w:r>
            <w:r>
              <w:rPr/>
              <w:t xml:space="preserve"> </w:t>
            </w:r>
          </w:p>
        </w:tc>
        <w:tc>
          <w:tcPr>
            <w:tcW w:w="12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226" w:type="dxa"/>
            <w:tcBorders>
              <w:bottom w:val="single" w:sz="2" w:space="0" w:color="1F2668"/>
            </w:tcBorders>
            <w:tcMar>
              <w:bottom w:w="70" w:type="dxa"/>
            </w:tcMar>
            <w:vAlign w:val="center"/>
          </w:tcPr>
          <w:p>
            <w:pPr>
              <w:pStyle w:val="TableContents"/>
              <w:bidi w:val="0"/>
              <w:spacing w:before="0" w:after="283"/>
              <w:jc w:val="right"/>
              <w:rPr/>
            </w:pPr>
            <w:r>
              <w:rPr/>
              <w:t>$</w:t>
            </w:r>
          </w:p>
        </w:tc>
        <w:tc>
          <w:tcPr>
            <w:tcW w:w="886" w:type="dxa"/>
            <w:tcBorders>
              <w:bottom w:val="single" w:sz="2" w:space="0" w:color="1F2668"/>
            </w:tcBorders>
            <w:tcMar>
              <w:bottom w:w="70" w:type="dxa"/>
            </w:tcMar>
            <w:vAlign w:val="center"/>
          </w:tcPr>
          <w:p>
            <w:pPr>
              <w:pStyle w:val="TableContents"/>
              <w:bidi w:val="0"/>
              <w:spacing w:before="0" w:after="283"/>
              <w:jc w:val="right"/>
              <w:rPr/>
            </w:pPr>
            <w:r>
              <w:rPr/>
              <w:t>297,000</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63"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280"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Mr. Mathias deferred $62,000 of his 2025 cash compensation pursuant to our Non-Employee Directors’ Deferral Program.</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77800" distB="0" distL="0" distR="0" simplePos="0" locked="0" layoutInCell="1" allowOverlap="1" relativeHeight="543">
                <wp:simplePos x="0" y="0"/>
                <wp:positionH relativeFrom="column">
                  <wp:align>left</wp:align>
                </wp:positionH>
                <wp:positionV relativeFrom="line">
                  <wp:align>top</wp:align>
                </wp:positionV>
                <wp:extent cx="254000" cy="254000"/>
                <wp:effectExtent l="0" t="0" r="0" b="0"/>
                <wp:wrapSquare wrapText="right"/>
                <wp:docPr id="574" name="Frame277"/>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2"/>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14pt;mso-wrap-distance-bottom:0pt;margin-top:14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2"/>
                          <w:sz w:val="16"/>
                        </w:rPr>
                        <w:t>(1)</w:t>
                      </w:r>
                      <w:r>
                        <w:rPr>
                          <w:sz w:val="16"/>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Amounts shown reflect the full grant date fair value on the date of grant of shares of our common stock or phantom stock units granted to the directors in 2025, excluding shares of our common stock and phantom stock units credited in lieu of annual fees and meeting fees.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544">
                <wp:simplePos x="0" y="0"/>
                <wp:positionH relativeFrom="column">
                  <wp:align>left</wp:align>
                </wp:positionH>
                <wp:positionV relativeFrom="line">
                  <wp:align>top</wp:align>
                </wp:positionV>
                <wp:extent cx="254000" cy="254000"/>
                <wp:effectExtent l="0" t="0" r="0" b="0"/>
                <wp:wrapSquare wrapText="right"/>
                <wp:docPr id="575" name="Frame278"/>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2"/>
                                <w:sz w:val="16"/>
                              </w:rPr>
                              <w:t>(2)</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2"/>
                          <w:sz w:val="16"/>
                        </w:rPr>
                        <w:t>(2)</w:t>
                      </w:r>
                      <w:r>
                        <w:rPr>
                          <w:sz w:val="16"/>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There were no stock options granted to members of the Board in 2025.</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545">
                <wp:simplePos x="0" y="0"/>
                <wp:positionH relativeFrom="column">
                  <wp:align>left</wp:align>
                </wp:positionH>
                <wp:positionV relativeFrom="line">
                  <wp:align>top</wp:align>
                </wp:positionV>
                <wp:extent cx="254000" cy="254000"/>
                <wp:effectExtent l="0" t="0" r="0" b="0"/>
                <wp:wrapSquare wrapText="right"/>
                <wp:docPr id="576" name="Frame279"/>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2"/>
                                <w:sz w:val="16"/>
                              </w:rPr>
                              <w:t>(3)</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2"/>
                          <w:sz w:val="16"/>
                        </w:rPr>
                        <w:t>(3)</w:t>
                      </w:r>
                      <w:r>
                        <w:rPr>
                          <w:sz w:val="16"/>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300" w:right="0" w:hanging="0"/>
        <w:jc w:val="left"/>
        <w:rPr/>
      </w:pPr>
      <w:r>
        <w:rPr>
          <w:rFonts w:ascii="Arial;Helvetica;sans-serif" w:hAnsi="Arial;Helvetica;sans-serif"/>
          <w:b w:val="false"/>
          <w:i w:val="false"/>
          <w:caps w:val="false"/>
          <w:smallCaps w:val="false"/>
          <w:color w:val="000000"/>
          <w:spacing w:val="-2"/>
          <w:sz w:val="16"/>
        </w:rPr>
        <w:t xml:space="preserve">Represents the annual retainer fee, paid on a monthly basis, pursuant to the non-renewal and advisory agreement we entered into with Mr. Mathias in October 2023. Under the agreement, Mr. Mathias received a monthly advisory fee in 2025. Further information on the agreement can be found in the section entitled “Certain Relationships and Related Party Transactions—Non-Renewal and Advisory Agreement” on page </w:t>
      </w:r>
      <w:hyperlink w:anchor="tNADS">
        <w:r>
          <w:rPr>
            <w:rStyle w:val="InternetLink"/>
          </w:rPr>
          <w:t>89</w:t>
        </w:r>
      </w:hyperlink>
      <w:r>
        <w:rPr>
          <w:rFonts w:ascii="Arial;Helvetica;sans-serif" w:hAnsi="Arial;Helvetica;sans-serif"/>
          <w:b w:val="false"/>
          <w:i w:val="false"/>
          <w:caps w:val="false"/>
          <w:smallCaps w:val="false"/>
          <w:color w:val="000000"/>
          <w:spacing w:val="-2"/>
          <w:sz w:val="16"/>
        </w:rPr>
        <w:t>.</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546">
                <wp:simplePos x="0" y="0"/>
                <wp:positionH relativeFrom="column">
                  <wp:align>left</wp:align>
                </wp:positionH>
                <wp:positionV relativeFrom="line">
                  <wp:align>top</wp:align>
                </wp:positionV>
                <wp:extent cx="254000" cy="254000"/>
                <wp:effectExtent l="0" t="0" r="0" b="0"/>
                <wp:wrapSquare wrapText="right"/>
                <wp:docPr id="577" name="Frame280"/>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2"/>
                                <w:sz w:val="16"/>
                              </w:rPr>
                              <w:t>(4)</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2"/>
                          <w:sz w:val="16"/>
                        </w:rPr>
                        <w:t>(4)</w:t>
                      </w:r>
                      <w:r>
                        <w:rPr>
                          <w:sz w:val="16"/>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tbl>
      <w:tblPr>
        <w:tblW w:w="5633" w:type="dxa"/>
        <w:jc w:val="left"/>
        <w:tblInd w:w="900" w:type="dxa"/>
        <w:tblLayout w:type="fixed"/>
        <w:tblCellMar>
          <w:top w:w="0" w:type="dxa"/>
          <w:left w:w="0" w:type="dxa"/>
          <w:bottom w:w="0" w:type="dxa"/>
          <w:right w:w="0" w:type="dxa"/>
        </w:tblCellMar>
      </w:tblPr>
      <w:tblGrid>
        <w:gridCol w:w="124"/>
        <w:gridCol w:w="5355"/>
        <w:gridCol w:w="154"/>
      </w:tblGrid>
      <w:tr>
        <w:trPr/>
        <w:tc>
          <w:tcPr>
            <w:tcW w:w="124" w:type="dxa"/>
            <w:tcBorders/>
            <w:shd w:fill="E9F9D8" w:val="clear"/>
            <w:vAlign w:val="center"/>
          </w:tcPr>
          <w:p>
            <w:pPr>
              <w:pStyle w:val="TableContents"/>
              <w:bidi w:val="0"/>
              <w:spacing w:before="0" w:after="283"/>
              <w:jc w:val="left"/>
              <w:rPr/>
            </w:pPr>
            <w:r>
              <w:rPr/>
              <w:t>​</w:t>
            </w:r>
          </w:p>
        </w:tc>
        <w:tc>
          <w:tcPr>
            <w:tcW w:w="5355" w:type="dxa"/>
            <w:tcBorders/>
            <w:shd w:fill="E9F9D8" w:val="clear"/>
            <w:vAlign w:val="center"/>
          </w:tcPr>
          <w:p>
            <w:pPr>
              <w:pStyle w:val="TableContents"/>
              <w:bidi w:val="0"/>
              <w:spacing w:lineRule="atLeast" w:line="180" w:before="0" w:after="0"/>
              <w:jc w:val="left"/>
              <w:rPr/>
            </w:pPr>
            <w:r>
              <w:rPr>
                <w:spacing w:val="-2"/>
              </w:rPr>
              <w:t>Director compensation has been unchanged since 2019.</w:t>
            </w:r>
            <w:r>
              <w:rPr/>
              <w:t xml:space="preserve"> </w:t>
            </w:r>
          </w:p>
        </w:tc>
        <w:tc>
          <w:tcPr>
            <w:tcW w:w="154" w:type="dxa"/>
            <w:tcBorders/>
            <w:shd w:fill="E9F9D8" w:val="clear"/>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tEXOF"/>
      <w:bookmarkEnd w:id="15"/>
      <w:r>
        <w:rPr>
          <w:rFonts w:ascii="calibri;arial;sans-serif" w:hAnsi="calibri;arial;sans-serif"/>
          <w:b w:val="false"/>
          <w:i w:val="false"/>
          <w:caps w:val="false"/>
          <w:smallCaps w:val="false"/>
          <w:color w:val="000000"/>
          <w:sz w:val="16"/>
        </w:rPr>
        <w:t xml:space="preserve">​ </w:t>
      </w:r>
    </w:p>
    <w:tbl>
      <w:tblPr>
        <w:tblW w:w="951" w:type="dxa"/>
        <w:jc w:val="left"/>
        <w:tblInd w:w="900" w:type="dxa"/>
        <w:tblLayout w:type="fixed"/>
        <w:tblCellMar>
          <w:top w:w="0" w:type="dxa"/>
          <w:left w:w="0" w:type="dxa"/>
          <w:bottom w:w="0" w:type="dxa"/>
          <w:right w:w="0" w:type="dxa"/>
        </w:tblCellMar>
      </w:tblPr>
      <w:tblGrid>
        <w:gridCol w:w="124"/>
        <w:gridCol w:w="346"/>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38</w:t>
              <w:br/>
              <w: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520" w:before="560" w:after="283"/>
        <w:ind w:left="900" w:right="0" w:hanging="0"/>
        <w:jc w:val="left"/>
        <w:rPr>
          <w:rFonts w:ascii="Arial;Helvetica;sans-serif" w:hAnsi="Arial;Helvetica;sans-serif"/>
          <w:b/>
          <w:i w:val="false"/>
          <w:caps w:val="false"/>
          <w:smallCaps w:val="false"/>
          <w:color w:val="1F2668"/>
          <w:sz w:val="42"/>
        </w:rPr>
      </w:pPr>
      <w:r>
        <w:rPr>
          <w:rFonts w:ascii="Arial;Helvetica;sans-serif" w:hAnsi="Arial;Helvetica;sans-serif"/>
          <w:b/>
          <w:i w:val="false"/>
          <w:caps/>
          <w:color w:val="1F2668"/>
          <w:spacing w:val="-4"/>
          <w:sz w:val="42"/>
        </w:rPr>
        <w:t>EXECUTIVE OFFICERS</w:t>
      </w:r>
      <w:r>
        <w:rPr>
          <w:rFonts w:ascii="Arial;Helvetica;sans-serif" w:hAnsi="Arial;Helvetica;sans-serif"/>
          <w:b/>
          <w:i w:val="false"/>
          <w:caps w:val="false"/>
          <w:smallCaps w:val="false"/>
          <w:color w:val="000000"/>
          <w:spacing w:val="8"/>
          <w:sz w:val="42"/>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The following sets forth biographical information regarding our executive officers who are not also directors.</w:t>
      </w:r>
      <w:r>
        <w:rPr>
          <w:rFonts w:ascii="Arial;Helvetica;sans-serif" w:hAnsi="Arial;Helvetica;sans-serif"/>
          <w:b w:val="false"/>
          <w:i w:val="false"/>
          <w:caps w:val="false"/>
          <w:smallCaps w:val="false"/>
          <w:color w:val="000000"/>
          <w:spacing w:val="4"/>
          <w:sz w:val="18"/>
        </w:rPr>
        <w:t xml:space="preserve">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571500" distR="0" simplePos="0" locked="0" layoutInCell="1" allowOverlap="1" relativeHeight="179">
                <wp:simplePos x="0" y="0"/>
                <wp:positionH relativeFrom="column">
                  <wp:align>left</wp:align>
                </wp:positionH>
                <wp:positionV relativeFrom="line">
                  <wp:posOffset>635</wp:posOffset>
                </wp:positionV>
                <wp:extent cx="1562100" cy="4331335"/>
                <wp:effectExtent l="0" t="0" r="0" b="0"/>
                <wp:wrapSquare wrapText="right"/>
                <wp:docPr id="578" name="Frame281"/>
                <a:graphic xmlns:a="http://schemas.openxmlformats.org/drawingml/2006/main">
                  <a:graphicData uri="http://schemas.microsoft.com/office/word/2010/wordprocessingShape">
                    <wps:wsp>
                      <wps:cNvSpPr txBox="1"/>
                      <wps:spPr>
                        <a:xfrm>
                          <a:off x="0" y="0"/>
                          <a:ext cx="1562100" cy="4331335"/>
                        </a:xfrm>
                        <a:prstGeom prst="rect"/>
                        <a:solidFill>
                          <a:srgbClr val="FFFFFF"/>
                        </a:solidFill>
                      </wps:spPr>
                      <wps:txbx>
                        <w:txbxContent>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4454" w:type="dxa"/>
                              <w:jc w:val="left"/>
                              <w:tblInd w:w="0" w:type="dxa"/>
                              <w:tblLayout w:type="fixed"/>
                              <w:tblCellMar>
                                <w:top w:w="0" w:type="dxa"/>
                                <w:left w:w="0" w:type="dxa"/>
                                <w:bottom w:w="0" w:type="dxa"/>
                                <w:right w:w="0" w:type="dxa"/>
                              </w:tblCellMar>
                            </w:tblPr>
                            <w:tblGrid>
                              <w:gridCol w:w="124"/>
                              <w:gridCol w:w="109"/>
                              <w:gridCol w:w="3958"/>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958" w:type="dxa"/>
                                  <w:tcBorders/>
                                  <w:shd w:fill="1F2668" w:val="clear"/>
                                  <w:vAlign w:val="center"/>
                                </w:tcPr>
                                <w:p>
                                  <w:pPr>
                                    <w:pStyle w:val="TableContents"/>
                                    <w:bidi w:val="0"/>
                                    <w:spacing w:lineRule="atLeast" w:line="280" w:before="0" w:after="0"/>
                                    <w:ind w:left="0" w:right="160" w:hanging="0"/>
                                    <w:jc w:val="left"/>
                                    <w:rPr>
                                      <w:sz w:val="24"/>
                                    </w:rPr>
                                  </w:pPr>
                                  <w:r>
                                    <w:rPr>
                                      <w:caps/>
                                      <w:spacing w:val="-2"/>
                                      <w:sz w:val="24"/>
                                    </w:rPr>
                                    <w:t xml:space="preserve">Harrison </w:t>
                                    <w:br/>
                                    <w:t>Sitomer</w:t>
                                  </w:r>
                                  <w:r>
                                    <w:rPr>
                                      <w:sz w:val="24"/>
                                    </w:rPr>
                                    <w:t xml:space="preserve">​ </w:t>
                                  </w:r>
                                </w:p>
                                <w:p>
                                  <w:pPr>
                                    <w:pStyle w:val="TableContents"/>
                                    <w:bidi w:val="0"/>
                                    <w:spacing w:before="160" w:after="283"/>
                                    <w:ind w:left="0" w:right="160" w:hanging="0"/>
                                    <w:jc w:val="left"/>
                                    <w:rPr/>
                                  </w:pPr>
                                  <w:r>
                                    <w:rPr/>
                                    <w:drawing>
                                      <wp:inline distT="0" distB="0" distL="0" distR="0">
                                        <wp:extent cx="1219200" cy="1457325"/>
                                        <wp:effectExtent l="0" t="0" r="0" b="0"/>
                                        <wp:docPr id="579" name="Image2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9" name="Image217" descr=""/>
                                                <pic:cNvPicPr>
                                                  <a:picLocks noChangeAspect="1" noChangeArrowheads="1"/>
                                                </pic:cNvPicPr>
                                              </pic:nvPicPr>
                                              <pic:blipFill>
                                                <a:blip r:embed="rId305"/>
                                                <a:stretch>
                                                  <a:fillRect/>
                                                </a:stretch>
                                              </pic:blipFill>
                                              <pic:spPr bwMode="auto">
                                                <a:xfrm>
                                                  <a:off x="0" y="0"/>
                                                  <a:ext cx="1219200" cy="1457325"/>
                                                </a:xfrm>
                                                <a:prstGeom prst="rect">
                                                  <a:avLst/>
                                                </a:prstGeom>
                                              </pic:spPr>
                                            </pic:pic>
                                          </a:graphicData>
                                        </a:graphic>
                                      </wp:inline>
                                    </w:drawing>
                                  </w:r>
                                  <w:r>
                                    <w:rPr/>
                                    <w:t xml:space="preserve"> </w:t>
                                  </w:r>
                                </w:p>
                                <w:p>
                                  <w:pPr>
                                    <w:pStyle w:val="TableContents"/>
                                    <w:bidi w:val="0"/>
                                    <w:spacing w:lineRule="atLeast" w:line="220" w:before="199" w:after="283"/>
                                    <w:ind w:left="0" w:right="160" w:hanging="0"/>
                                    <w:jc w:val="left"/>
                                    <w:rPr/>
                                  </w:pPr>
                                  <w:r>
                                    <w:rPr>
                                      <w:spacing w:val="-2"/>
                                    </w:rPr>
                                    <w:t>President and Chief Investment Officer</w:t>
                                  </w:r>
                                  <w:r>
                                    <w:rPr/>
                                    <w:t xml:space="preserve"> </w:t>
                                  </w:r>
                                </w:p>
                                <w:p>
                                  <w:pPr>
                                    <w:pStyle w:val="TableContents"/>
                                    <w:bidi w:val="0"/>
                                    <w:spacing w:lineRule="atLeast" w:line="220" w:before="120" w:after="283"/>
                                    <w:ind w:left="0" w:right="160" w:hanging="0"/>
                                    <w:jc w:val="left"/>
                                    <w:rPr>
                                      <w:b w:val="false"/>
                                    </w:rPr>
                                  </w:pPr>
                                  <w:r>
                                    <w:rPr>
                                      <w:b w:val="false"/>
                                      <w:spacing w:val="-2"/>
                                    </w:rPr>
                                    <w:t xml:space="preserve">Executive Officer </w:t>
                                    <w:br/>
                                    <w:t xml:space="preserve">Since: </w:t>
                                  </w:r>
                                  <w:r>
                                    <w:rPr>
                                      <w:b/>
                                      <w:spacing w:val="-2"/>
                                    </w:rPr>
                                    <w:t>2026</w:t>
                                  </w:r>
                                  <w:r>
                                    <w:rPr>
                                      <w:b w:val="false"/>
                                    </w:rPr>
                                    <w:t xml:space="preserve"> </w:t>
                                    <w:br/>
                                  </w:r>
                                  <w:r>
                                    <w:rPr>
                                      <w:b w:val="false"/>
                                      <w:spacing w:val="-2"/>
                                    </w:rPr>
                                    <w:t xml:space="preserve">Age: </w:t>
                                  </w:r>
                                  <w:r>
                                    <w:rPr>
                                      <w:b/>
                                      <w:spacing w:val="-2"/>
                                    </w:rPr>
                                    <w:t>36</w:t>
                                  </w:r>
                                  <w:r>
                                    <w:rPr>
                                      <w:b w:val="false"/>
                                    </w:rPr>
                                    <w:t xml:space="preserve"> </w:t>
                                  </w:r>
                                </w:p>
                              </w:tc>
                              <w:tc>
                                <w:tcPr>
                                  <w:tcW w:w="109" w:type="dxa"/>
                                  <w:tcBorders/>
                                  <w:vAlign w:val="center"/>
                                </w:tcPr>
                                <w:p>
                                  <w:pPr>
                                    <w:pStyle w:val="TableContents"/>
                                    <w:bidi w:val="0"/>
                                    <w:spacing w:before="0" w:after="283"/>
                                    <w:jc w:val="left"/>
                                    <w:rPr/>
                                  </w:pPr>
                                  <w:r>
                                    <w:rPr/>
                                    <w:t>​</w:t>
                                  </w:r>
                                </w:p>
                              </w:tc>
                              <w:tc>
                                <w:tcPr>
                                  <w:tcW w:w="154" w:type="dxa"/>
                                  <w:tcBorders/>
                                  <w:shd w:fill="1F2668" w:val="clear"/>
                                  <w:vAlign w:val="center"/>
                                </w:tcPr>
                                <w:p>
                                  <w:pPr>
                                    <w:pStyle w:val="TableContents"/>
                                    <w:bidi w:val="0"/>
                                    <w:spacing w:before="0" w:after="283"/>
                                    <w:jc w:val="left"/>
                                    <w:rPr/>
                                  </w:pPr>
                                  <w:r>
                                    <w:rPr/>
                                    <w:t>​</w:t>
                                  </w:r>
                                </w:p>
                              </w:tc>
                            </w:tr>
                          </w:tbl>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23pt;height:341.05pt;mso-wrap-distance-left:45pt;mso-wrap-distance-right:0pt;mso-wrap-distance-top:0pt;mso-wrap-distance-bottom:0pt;margin-top:0pt;mso-position-vertical:top;mso-position-vertical-relative:text;margin-left:45pt;mso-position-horizontal:left;mso-position-horizontal-relative:text">
                <v:textbox>
                  <w:txbxContent>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4454" w:type="dxa"/>
                        <w:jc w:val="left"/>
                        <w:tblInd w:w="0" w:type="dxa"/>
                        <w:tblLayout w:type="fixed"/>
                        <w:tblCellMar>
                          <w:top w:w="0" w:type="dxa"/>
                          <w:left w:w="0" w:type="dxa"/>
                          <w:bottom w:w="0" w:type="dxa"/>
                          <w:right w:w="0" w:type="dxa"/>
                        </w:tblCellMar>
                      </w:tblPr>
                      <w:tblGrid>
                        <w:gridCol w:w="124"/>
                        <w:gridCol w:w="109"/>
                        <w:gridCol w:w="3958"/>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958" w:type="dxa"/>
                            <w:tcBorders/>
                            <w:shd w:fill="1F2668" w:val="clear"/>
                            <w:vAlign w:val="center"/>
                          </w:tcPr>
                          <w:p>
                            <w:pPr>
                              <w:pStyle w:val="TableContents"/>
                              <w:bidi w:val="0"/>
                              <w:spacing w:lineRule="atLeast" w:line="280" w:before="0" w:after="0"/>
                              <w:ind w:left="0" w:right="160" w:hanging="0"/>
                              <w:jc w:val="left"/>
                              <w:rPr>
                                <w:sz w:val="24"/>
                              </w:rPr>
                            </w:pPr>
                            <w:r>
                              <w:rPr>
                                <w:caps/>
                                <w:spacing w:val="-2"/>
                                <w:sz w:val="24"/>
                              </w:rPr>
                              <w:t xml:space="preserve">Harrison </w:t>
                              <w:br/>
                              <w:t>Sitomer</w:t>
                            </w:r>
                            <w:r>
                              <w:rPr>
                                <w:sz w:val="24"/>
                              </w:rPr>
                              <w:t xml:space="preserve">​ </w:t>
                            </w:r>
                          </w:p>
                          <w:p>
                            <w:pPr>
                              <w:pStyle w:val="TableContents"/>
                              <w:bidi w:val="0"/>
                              <w:spacing w:before="160" w:after="283"/>
                              <w:ind w:left="0" w:right="160" w:hanging="0"/>
                              <w:jc w:val="left"/>
                              <w:rPr/>
                            </w:pPr>
                            <w:r>
                              <w:rPr/>
                              <w:drawing>
                                <wp:inline distT="0" distB="0" distL="0" distR="0">
                                  <wp:extent cx="1219200" cy="1457325"/>
                                  <wp:effectExtent l="0" t="0" r="0" b="0"/>
                                  <wp:docPr id="580" name="Image2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0" name="Image217" descr=""/>
                                          <pic:cNvPicPr>
                                            <a:picLocks noChangeAspect="1" noChangeArrowheads="1"/>
                                          </pic:cNvPicPr>
                                        </pic:nvPicPr>
                                        <pic:blipFill>
                                          <a:blip r:embed="rId306"/>
                                          <a:stretch>
                                            <a:fillRect/>
                                          </a:stretch>
                                        </pic:blipFill>
                                        <pic:spPr bwMode="auto">
                                          <a:xfrm>
                                            <a:off x="0" y="0"/>
                                            <a:ext cx="1219200" cy="1457325"/>
                                          </a:xfrm>
                                          <a:prstGeom prst="rect">
                                            <a:avLst/>
                                          </a:prstGeom>
                                        </pic:spPr>
                                      </pic:pic>
                                    </a:graphicData>
                                  </a:graphic>
                                </wp:inline>
                              </w:drawing>
                            </w:r>
                            <w:r>
                              <w:rPr/>
                              <w:t xml:space="preserve"> </w:t>
                            </w:r>
                          </w:p>
                          <w:p>
                            <w:pPr>
                              <w:pStyle w:val="TableContents"/>
                              <w:bidi w:val="0"/>
                              <w:spacing w:lineRule="atLeast" w:line="220" w:before="199" w:after="283"/>
                              <w:ind w:left="0" w:right="160" w:hanging="0"/>
                              <w:jc w:val="left"/>
                              <w:rPr/>
                            </w:pPr>
                            <w:r>
                              <w:rPr>
                                <w:spacing w:val="-2"/>
                              </w:rPr>
                              <w:t>President and Chief Investment Officer</w:t>
                            </w:r>
                            <w:r>
                              <w:rPr/>
                              <w:t xml:space="preserve"> </w:t>
                            </w:r>
                          </w:p>
                          <w:p>
                            <w:pPr>
                              <w:pStyle w:val="TableContents"/>
                              <w:bidi w:val="0"/>
                              <w:spacing w:lineRule="atLeast" w:line="220" w:before="120" w:after="283"/>
                              <w:ind w:left="0" w:right="160" w:hanging="0"/>
                              <w:jc w:val="left"/>
                              <w:rPr>
                                <w:b w:val="false"/>
                              </w:rPr>
                            </w:pPr>
                            <w:r>
                              <w:rPr>
                                <w:b w:val="false"/>
                                <w:spacing w:val="-2"/>
                              </w:rPr>
                              <w:t xml:space="preserve">Executive Officer </w:t>
                              <w:br/>
                              <w:t xml:space="preserve">Since: </w:t>
                            </w:r>
                            <w:r>
                              <w:rPr>
                                <w:b/>
                                <w:spacing w:val="-2"/>
                              </w:rPr>
                              <w:t>2026</w:t>
                            </w:r>
                            <w:r>
                              <w:rPr>
                                <w:b w:val="false"/>
                              </w:rPr>
                              <w:t xml:space="preserve"> </w:t>
                              <w:br/>
                            </w:r>
                            <w:r>
                              <w:rPr>
                                <w:b w:val="false"/>
                                <w:spacing w:val="-2"/>
                              </w:rPr>
                              <w:t xml:space="preserve">Age: </w:t>
                            </w:r>
                            <w:r>
                              <w:rPr>
                                <w:b/>
                                <w:spacing w:val="-2"/>
                              </w:rPr>
                              <w:t>36</w:t>
                            </w:r>
                            <w:r>
                              <w:rPr>
                                <w:b w:val="false"/>
                              </w:rPr>
                              <w:t xml:space="preserve"> </w:t>
                            </w:r>
                          </w:p>
                        </w:tc>
                        <w:tc>
                          <w:tcPr>
                            <w:tcW w:w="109" w:type="dxa"/>
                            <w:tcBorders/>
                            <w:vAlign w:val="center"/>
                          </w:tcPr>
                          <w:p>
                            <w:pPr>
                              <w:pStyle w:val="TableContents"/>
                              <w:bidi w:val="0"/>
                              <w:spacing w:before="0" w:after="283"/>
                              <w:jc w:val="left"/>
                              <w:rPr/>
                            </w:pPr>
                            <w:r>
                              <w:rPr/>
                              <w:t>​</w:t>
                            </w:r>
                          </w:p>
                        </w:tc>
                        <w:tc>
                          <w:tcPr>
                            <w:tcW w:w="154" w:type="dxa"/>
                            <w:tcBorders/>
                            <w:shd w:fill="1F2668" w:val="clear"/>
                            <w:vAlign w:val="center"/>
                          </w:tcPr>
                          <w:p>
                            <w:pPr>
                              <w:pStyle w:val="TableContents"/>
                              <w:bidi w:val="0"/>
                              <w:spacing w:before="0" w:after="283"/>
                              <w:jc w:val="left"/>
                              <w:rPr/>
                            </w:pPr>
                            <w:r>
                              <w:rPr/>
                              <w:t>​</w:t>
                            </w:r>
                          </w:p>
                        </w:tc>
                      </w:tr>
                    </w:tbl>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254000" distR="0" simplePos="0" locked="0" layoutInCell="1" allowOverlap="1" relativeHeight="547">
                <wp:simplePos x="0" y="0"/>
                <wp:positionH relativeFrom="column">
                  <wp:align>left</wp:align>
                </wp:positionH>
                <wp:positionV relativeFrom="line">
                  <wp:posOffset>635</wp:posOffset>
                </wp:positionV>
                <wp:extent cx="4584700" cy="3788410"/>
                <wp:effectExtent l="0" t="0" r="0" b="0"/>
                <wp:wrapSquare wrapText="right"/>
                <wp:docPr id="581" name="Frame282"/>
                <a:graphic xmlns:a="http://schemas.openxmlformats.org/drawingml/2006/main">
                  <a:graphicData uri="http://schemas.microsoft.com/office/word/2010/wordprocessingShape">
                    <wps:wsp>
                      <wps:cNvSpPr txBox="1"/>
                      <wps:spPr>
                        <a:xfrm>
                          <a:off x="0" y="0"/>
                          <a:ext cx="4584700" cy="3788410"/>
                        </a:xfrm>
                        <a:prstGeom prst="rect"/>
                        <a:solidFill>
                          <a:srgbClr val="FFFFFF"/>
                        </a:solidFill>
                      </wps:spPr>
                      <wps:txbx>
                        <w:txbxContent>
                          <w:p>
                            <w:pPr>
                              <w:pStyle w:val="TextBody"/>
                              <w:bidi w:val="0"/>
                              <w:spacing w:lineRule="atLeast" w:line="240" w:before="0" w:after="0"/>
                              <w:jc w:val="left"/>
                              <w:rPr/>
                            </w:pPr>
                            <w:r>
                              <w:rPr>
                                <w:spacing w:val="-2"/>
                              </w:rPr>
                              <w:t>   </w:t>
                            </w:r>
                            <w:r>
                              <w:rPr/>
                              <w:t xml:space="preserve"> </w:t>
                            </w:r>
                          </w:p>
                          <w:p>
                            <w:pPr>
                              <w:pStyle w:val="TextBody"/>
                              <w:bidi w:val="0"/>
                              <w:spacing w:lineRule="atLeast" w:line="220" w:before="194" w:after="0"/>
                              <w:ind w:left="200" w:right="0" w:hanging="0"/>
                              <w:jc w:val="left"/>
                              <w:rPr/>
                            </w:pPr>
                            <w:r>
                              <w:rPr>
                                <w:spacing w:val="-2"/>
                              </w:rPr>
                              <w:t>Mr. Sitomer has served as the Company’s President and Chief Investment Officer since February 2026 and as the Company’s Chief Investment Officer, sourcing and executing the Company’s acquisitions, dispositions, financings, and joint ventures, along with debt and preferred equity investments, since January 2022.</w:t>
                            </w:r>
                            <w:r>
                              <w:rPr/>
                              <w:t xml:space="preserve"> </w:t>
                            </w:r>
                          </w:p>
                          <w:p>
                            <w:pPr>
                              <w:pStyle w:val="TextBody"/>
                              <w:bidi w:val="0"/>
                              <w:spacing w:before="0" w:after="0"/>
                              <w:ind w:left="0" w:right="0" w:hanging="0"/>
                              <w:jc w:val="left"/>
                              <w:rPr/>
                            </w:pPr>
                            <w:r>
                              <w:rPr/>
                              <w:t>​</w:t>
                            </w:r>
                          </w:p>
                          <w:p>
                            <w:pPr>
                              <w:pStyle w:val="TextBody"/>
                              <w:bidi w:val="0"/>
                              <w:spacing w:lineRule="atLeast" w:line="220" w:before="84" w:after="0"/>
                              <w:ind w:left="200" w:right="0" w:hanging="0"/>
                              <w:jc w:val="left"/>
                              <w:rPr/>
                            </w:pPr>
                            <w:r>
                              <w:rPr>
                                <w:spacing w:val="-2"/>
                              </w:rPr>
                              <w:t>Mr. Sitomer held the role of Senior Vice President of the Company from January 2021 to December 2021. He previously served in a variety of investment roles with the Company since joining the Company in 2012.</w:t>
                            </w:r>
                            <w:r>
                              <w:rPr/>
                              <w:t xml:space="preserve"> </w:t>
                            </w:r>
                          </w:p>
                          <w:p>
                            <w:pPr>
                              <w:pStyle w:val="TextBody"/>
                              <w:bidi w:val="0"/>
                              <w:spacing w:before="0" w:after="0"/>
                              <w:ind w:left="0" w:right="0" w:hanging="0"/>
                              <w:jc w:val="left"/>
                              <w:rPr/>
                            </w:pPr>
                            <w:r>
                              <w:rPr/>
                              <w:t>​</w:t>
                            </w:r>
                          </w:p>
                          <w:p>
                            <w:pPr>
                              <w:pStyle w:val="TextBody"/>
                              <w:bidi w:val="0"/>
                              <w:spacing w:lineRule="atLeast" w:line="220" w:before="84" w:after="0"/>
                              <w:ind w:left="200" w:right="0" w:hanging="0"/>
                              <w:jc w:val="left"/>
                              <w:rPr/>
                            </w:pPr>
                            <w:r>
                              <w:rPr>
                                <w:spacing w:val="-2"/>
                              </w:rPr>
                              <w:t>Mr. Sitomer also serves on the Board of Directors of the American Friends of the Rabin Medical Center and on the Board of Advisors for the Mayor’s Fund to Advance New York City, is a member of the David Rockefeller Fellowship Program and the Milken Institute Young Leaders Circle, and manages the Food1st Foundation, a 501(c)(3) established by the Company.</w:t>
                            </w:r>
                            <w:r>
                              <w:rPr/>
                              <w:t xml:space="preserve"> </w:t>
                            </w:r>
                          </w:p>
                          <w:p>
                            <w:pPr>
                              <w:pStyle w:val="TextBody"/>
                              <w:bidi w:val="0"/>
                              <w:spacing w:before="0" w:after="0"/>
                              <w:ind w:left="0" w:right="0" w:hanging="0"/>
                              <w:jc w:val="left"/>
                              <w:rPr/>
                            </w:pPr>
                            <w:r>
                              <w:rPr/>
                              <w:t>​</w:t>
                            </w:r>
                          </w:p>
                          <w:p>
                            <w:pPr>
                              <w:pStyle w:val="TextBody"/>
                              <w:bidi w:val="0"/>
                              <w:spacing w:lineRule="atLeast" w:line="220" w:before="84" w:after="0"/>
                              <w:ind w:left="200" w:right="0" w:hanging="0"/>
                              <w:jc w:val="left"/>
                              <w:rPr/>
                            </w:pPr>
                            <w:r>
                              <w:rPr>
                                <w:spacing w:val="-2"/>
                              </w:rPr>
                              <w:t>Mr. Sitomer received a B.A. degree from the University of Pennsylvania.</w:t>
                            </w:r>
                            <w:r>
                              <w:rPr>
                                <w:spacing w:val="4"/>
                              </w:rPr>
                              <w:t xml:space="preserve"> </w:t>
                            </w:r>
                          </w:p>
                          <w:p>
                            <w:pPr>
                              <w:pStyle w:val="TextBody"/>
                              <w:bidi w:val="0"/>
                              <w:spacing w:before="0" w:after="0"/>
                              <w:ind w:left="0" w:right="0" w:hanging="0"/>
                              <w:jc w:val="left"/>
                              <w:rPr/>
                            </w:pPr>
                            <w:r>
                              <w:rPr/>
                              <w:t>​</w:t>
                            </w:r>
                          </w:p>
                        </w:txbxContent>
                      </wps:txbx>
                      <wps:bodyPr anchor="t" lIns="0" tIns="0" rIns="0" bIns="0">
                        <a:noAutofit/>
                      </wps:bodyPr>
                    </wps:wsp>
                  </a:graphicData>
                </a:graphic>
              </wp:anchor>
            </w:drawing>
          </mc:Choice>
          <mc:Fallback>
            <w:pict>
              <v:rect style="position:absolute;rotation:-0;width:361pt;height:298.3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0"/>
                        <w:jc w:val="left"/>
                        <w:rPr/>
                      </w:pPr>
                      <w:r>
                        <w:rPr>
                          <w:spacing w:val="-2"/>
                        </w:rPr>
                        <w:t>   </w:t>
                      </w:r>
                      <w:r>
                        <w:rPr/>
                        <w:t xml:space="preserve"> </w:t>
                      </w:r>
                    </w:p>
                    <w:p>
                      <w:pPr>
                        <w:pStyle w:val="TextBody"/>
                        <w:bidi w:val="0"/>
                        <w:spacing w:lineRule="atLeast" w:line="220" w:before="194" w:after="0"/>
                        <w:ind w:left="200" w:right="0" w:hanging="0"/>
                        <w:jc w:val="left"/>
                        <w:rPr/>
                      </w:pPr>
                      <w:r>
                        <w:rPr>
                          <w:spacing w:val="-2"/>
                        </w:rPr>
                        <w:t>Mr. Sitomer has served as the Company’s President and Chief Investment Officer since February 2026 and as the Company’s Chief Investment Officer, sourcing and executing the Company’s acquisitions, dispositions, financings, and joint ventures, along with debt and preferred equity investments, since January 2022.</w:t>
                      </w:r>
                      <w:r>
                        <w:rPr/>
                        <w:t xml:space="preserve"> </w:t>
                      </w:r>
                    </w:p>
                    <w:p>
                      <w:pPr>
                        <w:pStyle w:val="TextBody"/>
                        <w:bidi w:val="0"/>
                        <w:spacing w:before="0" w:after="0"/>
                        <w:ind w:left="0" w:right="0" w:hanging="0"/>
                        <w:jc w:val="left"/>
                        <w:rPr/>
                      </w:pPr>
                      <w:r>
                        <w:rPr/>
                        <w:t>​</w:t>
                      </w:r>
                    </w:p>
                    <w:p>
                      <w:pPr>
                        <w:pStyle w:val="TextBody"/>
                        <w:bidi w:val="0"/>
                        <w:spacing w:lineRule="atLeast" w:line="220" w:before="84" w:after="0"/>
                        <w:ind w:left="200" w:right="0" w:hanging="0"/>
                        <w:jc w:val="left"/>
                        <w:rPr/>
                      </w:pPr>
                      <w:r>
                        <w:rPr>
                          <w:spacing w:val="-2"/>
                        </w:rPr>
                        <w:t>Mr. Sitomer held the role of Senior Vice President of the Company from January 2021 to December 2021. He previously served in a variety of investment roles with the Company since joining the Company in 2012.</w:t>
                      </w:r>
                      <w:r>
                        <w:rPr/>
                        <w:t xml:space="preserve"> </w:t>
                      </w:r>
                    </w:p>
                    <w:p>
                      <w:pPr>
                        <w:pStyle w:val="TextBody"/>
                        <w:bidi w:val="0"/>
                        <w:spacing w:before="0" w:after="0"/>
                        <w:ind w:left="0" w:right="0" w:hanging="0"/>
                        <w:jc w:val="left"/>
                        <w:rPr/>
                      </w:pPr>
                      <w:r>
                        <w:rPr/>
                        <w:t>​</w:t>
                      </w:r>
                    </w:p>
                    <w:p>
                      <w:pPr>
                        <w:pStyle w:val="TextBody"/>
                        <w:bidi w:val="0"/>
                        <w:spacing w:lineRule="atLeast" w:line="220" w:before="84" w:after="0"/>
                        <w:ind w:left="200" w:right="0" w:hanging="0"/>
                        <w:jc w:val="left"/>
                        <w:rPr/>
                      </w:pPr>
                      <w:r>
                        <w:rPr>
                          <w:spacing w:val="-2"/>
                        </w:rPr>
                        <w:t>Mr. Sitomer also serves on the Board of Directors of the American Friends of the Rabin Medical Center and on the Board of Advisors for the Mayor’s Fund to Advance New York City, is a member of the David Rockefeller Fellowship Program and the Milken Institute Young Leaders Circle, and manages the Food1st Foundation, a 501(c)(3) established by the Company.</w:t>
                      </w:r>
                      <w:r>
                        <w:rPr/>
                        <w:t xml:space="preserve"> </w:t>
                      </w:r>
                    </w:p>
                    <w:p>
                      <w:pPr>
                        <w:pStyle w:val="TextBody"/>
                        <w:bidi w:val="0"/>
                        <w:spacing w:before="0" w:after="0"/>
                        <w:ind w:left="0" w:right="0" w:hanging="0"/>
                        <w:jc w:val="left"/>
                        <w:rPr/>
                      </w:pPr>
                      <w:r>
                        <w:rPr/>
                        <w:t>​</w:t>
                      </w:r>
                    </w:p>
                    <w:p>
                      <w:pPr>
                        <w:pStyle w:val="TextBody"/>
                        <w:bidi w:val="0"/>
                        <w:spacing w:lineRule="atLeast" w:line="220" w:before="84" w:after="0"/>
                        <w:ind w:left="200" w:right="0" w:hanging="0"/>
                        <w:jc w:val="left"/>
                        <w:rPr/>
                      </w:pPr>
                      <w:r>
                        <w:rPr>
                          <w:spacing w:val="-2"/>
                        </w:rPr>
                        <w:t>Mr. Sitomer received a B.A. degree from the University of Pennsylvania.</w:t>
                      </w:r>
                      <w:r>
                        <w:rPr>
                          <w:spacing w:val="4"/>
                        </w:rPr>
                        <w:t xml:space="preserve"> </w:t>
                      </w:r>
                    </w:p>
                    <w:p>
                      <w:pPr>
                        <w:pStyle w:val="TextBody"/>
                        <w:bidi w:val="0"/>
                        <w:spacing w:before="0" w:after="0"/>
                        <w:ind w:left="0" w:right="0" w:hanging="0"/>
                        <w:jc w:val="left"/>
                        <w:rPr/>
                      </w:pPr>
                      <w:r>
                        <w:rPr/>
                        <w:t>​</w:t>
                      </w:r>
                    </w:p>
                  </w:txbxContent>
                </v:textbox>
                <w10:wrap type="square" side="right"/>
              </v:rect>
            </w:pict>
          </mc:Fallback>
        </mc:AlternateContent>
      </w:r>
      <w:r>
        <mc:AlternateContent>
          <mc:Choice Requires="wps">
            <w:drawing>
              <wp:anchor behindDoc="0" distT="123190" distB="0" distL="0" distR="0" simplePos="0" locked="0" layoutInCell="1" allowOverlap="1" relativeHeight="548">
                <wp:simplePos x="0" y="0"/>
                <wp:positionH relativeFrom="column">
                  <wp:align>left</wp:align>
                </wp:positionH>
                <wp:positionV relativeFrom="line">
                  <wp:align>top</wp:align>
                </wp:positionV>
                <wp:extent cx="127000" cy="350520"/>
                <wp:effectExtent l="0" t="0" r="0" b="0"/>
                <wp:wrapSquare wrapText="right"/>
                <wp:docPr id="582" name="Frame2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9.7pt;mso-wrap-distance-bottom:0pt;margin-top:9.7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53340" distB="0" distL="0" distR="0" simplePos="0" locked="0" layoutInCell="1" allowOverlap="1" relativeHeight="549">
                <wp:simplePos x="0" y="0"/>
                <wp:positionH relativeFrom="column">
                  <wp:align>left</wp:align>
                </wp:positionH>
                <wp:positionV relativeFrom="line">
                  <wp:align>top</wp:align>
                </wp:positionV>
                <wp:extent cx="127000" cy="350520"/>
                <wp:effectExtent l="0" t="0" r="0" b="0"/>
                <wp:wrapSquare wrapText="right"/>
                <wp:docPr id="583" name="Frame2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4.2pt;mso-wrap-distance-bottom:0pt;margin-top:4.2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53340" distB="0" distL="0" distR="0" simplePos="0" locked="0" layoutInCell="1" allowOverlap="1" relativeHeight="550">
                <wp:simplePos x="0" y="0"/>
                <wp:positionH relativeFrom="column">
                  <wp:align>left</wp:align>
                </wp:positionH>
                <wp:positionV relativeFrom="line">
                  <wp:align>top</wp:align>
                </wp:positionV>
                <wp:extent cx="127000" cy="350520"/>
                <wp:effectExtent l="0" t="0" r="0" b="0"/>
                <wp:wrapSquare wrapText="right"/>
                <wp:docPr id="584" name="Frame2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4.2pt;mso-wrap-distance-bottom:0pt;margin-top:4.2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53340" distB="0" distL="0" distR="0" simplePos="0" locked="0" layoutInCell="1" allowOverlap="1" relativeHeight="551">
                <wp:simplePos x="0" y="0"/>
                <wp:positionH relativeFrom="column">
                  <wp:align>left</wp:align>
                </wp:positionH>
                <wp:positionV relativeFrom="line">
                  <wp:align>top</wp:align>
                </wp:positionV>
                <wp:extent cx="127000" cy="350520"/>
                <wp:effectExtent l="0" t="0" r="0" b="0"/>
                <wp:wrapSquare wrapText="right"/>
                <wp:docPr id="585" name="Frame2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4.2pt;mso-wrap-distance-bottom:0pt;margin-top:4.2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tbl>
      <w:tblPr>
        <w:tblW w:w="1148" w:type="dxa"/>
        <w:jc w:val="left"/>
        <w:tblInd w:w="900" w:type="dxa"/>
        <w:tblLayout w:type="fixed"/>
        <w:tblCellMar>
          <w:top w:w="0" w:type="dxa"/>
          <w:left w:w="0" w:type="dxa"/>
          <w:bottom w:w="28" w:type="dxa"/>
          <w:right w:w="0" w:type="dxa"/>
        </w:tblCellMar>
      </w:tblPr>
      <w:tblGrid>
        <w:gridCol w:w="124"/>
        <w:gridCol w:w="326"/>
        <w:gridCol w:w="109"/>
        <w:gridCol w:w="109"/>
        <w:gridCol w:w="326"/>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326" w:type="dxa"/>
            <w:tcBorders>
              <w:bottom w:val="single" w:sz="2" w:space="0" w:color="FFFFFF"/>
            </w:tcBorders>
            <w:vAlign w:val="center"/>
          </w:tcPr>
          <w:p>
            <w:pPr>
              <w:pStyle w:val="TableContents"/>
              <w:bidi w:val="0"/>
              <w:spacing w:lineRule="atLeast" w:line="142" w:before="0" w:after="0"/>
              <w:jc w:val="left"/>
              <w:rPr>
                <w:spacing w:val="0"/>
              </w:rPr>
            </w:pPr>
            <w:r>
              <w:rPr>
                <w:spacing w:val="0"/>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26" w:type="dxa"/>
            <w:tcBorders>
              <w:bottom w:val="single" w:sz="2" w:space="0" w:color="83AD40"/>
            </w:tcBorders>
            <w:vAlign w:val="center"/>
          </w:tcPr>
          <w:p>
            <w:pPr>
              <w:pStyle w:val="TableContents"/>
              <w:bidi w:val="0"/>
              <w:spacing w:lineRule="atLeast" w:line="142" w:before="0" w:after="0"/>
              <w:jc w:val="left"/>
              <w:rPr/>
            </w:pPr>
            <w:r>
              <w:rPr>
                <w:spacing w:val="0"/>
              </w:rPr>
              <w:t>   </w:t>
            </w:r>
            <w:r>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bl>
    <w:p>
      <w:pPr>
        <w:pStyle w:val="TextBody"/>
        <w:bidi w:val="0"/>
        <w:spacing w:before="0" w:after="0"/>
        <w:ind w:left="900" w:right="0" w:hanging="0"/>
        <w:jc w:val="left"/>
        <w:rPr>
          <w:caps w:val="false"/>
          <w:smallCaps w:val="false"/>
          <w:color w:val="000000"/>
        </w:rPr>
      </w:pPr>
      <w:r>
        <w:rPr>
          <w:caps w:val="false"/>
          <w:smallCaps w:val="false"/>
          <w:color w:val="000000"/>
        </w:rPr>
        <w:t>​</w:t>
      </w:r>
      <w:r>
        <mc:AlternateContent>
          <mc:Choice Requires="wps">
            <w:drawing>
              <wp:anchor behindDoc="0" distT="0" distB="0" distL="571500" distR="0" simplePos="0" locked="0" layoutInCell="1" allowOverlap="1" relativeHeight="175">
                <wp:simplePos x="0" y="0"/>
                <wp:positionH relativeFrom="column">
                  <wp:align>left</wp:align>
                </wp:positionH>
                <wp:positionV relativeFrom="line">
                  <wp:posOffset>635</wp:posOffset>
                </wp:positionV>
                <wp:extent cx="1562100" cy="4411345"/>
                <wp:effectExtent l="0" t="0" r="0" b="0"/>
                <wp:wrapSquare wrapText="right"/>
                <wp:docPr id="586" name="Frame287"/>
                <a:graphic xmlns:a="http://schemas.openxmlformats.org/drawingml/2006/main">
                  <a:graphicData uri="http://schemas.microsoft.com/office/word/2010/wordprocessingShape">
                    <wps:wsp>
                      <wps:cNvSpPr txBox="1"/>
                      <wps:spPr>
                        <a:xfrm>
                          <a:off x="0" y="0"/>
                          <a:ext cx="1562100" cy="4411345"/>
                        </a:xfrm>
                        <a:prstGeom prst="rect"/>
                        <a:solidFill>
                          <a:srgbClr val="FFFFFF"/>
                        </a:solidFill>
                      </wps:spPr>
                      <wps:txbx>
                        <w:txbxContent>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2976" w:type="dxa"/>
                              <w:jc w:val="left"/>
                              <w:tblInd w:w="0" w:type="dxa"/>
                              <w:tblLayout w:type="fixed"/>
                              <w:tblCellMar>
                                <w:top w:w="0" w:type="dxa"/>
                                <w:left w:w="0" w:type="dxa"/>
                                <w:bottom w:w="0" w:type="dxa"/>
                                <w:right w:w="0" w:type="dxa"/>
                              </w:tblCellMar>
                            </w:tblPr>
                            <w:tblGrid>
                              <w:gridCol w:w="124"/>
                              <w:gridCol w:w="109"/>
                              <w:gridCol w:w="2480"/>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480" w:type="dxa"/>
                                  <w:tcBorders/>
                                  <w:shd w:fill="1F2668" w:val="clear"/>
                                  <w:vAlign w:val="center"/>
                                </w:tcPr>
                                <w:p>
                                  <w:pPr>
                                    <w:pStyle w:val="TableContents"/>
                                    <w:bidi w:val="0"/>
                                    <w:spacing w:lineRule="atLeast" w:line="280" w:before="0" w:after="0"/>
                                    <w:ind w:left="0" w:right="160" w:hanging="0"/>
                                    <w:jc w:val="left"/>
                                    <w:rPr>
                                      <w:sz w:val="24"/>
                                    </w:rPr>
                                  </w:pPr>
                                  <w:r>
                                    <w:rPr>
                                      <w:spacing w:val="-2"/>
                                      <w:sz w:val="24"/>
                                    </w:rPr>
                                    <w:t xml:space="preserve">MATTHEW J. </w:t>
                                    <w:br/>
                                    <w:t>DILIBERTO</w:t>
                                  </w:r>
                                  <w:r>
                                    <w:rPr>
                                      <w:sz w:val="24"/>
                                    </w:rPr>
                                    <w:t xml:space="preserve"> </w:t>
                                  </w:r>
                                </w:p>
                                <w:p>
                                  <w:pPr>
                                    <w:pStyle w:val="TableContents"/>
                                    <w:bidi w:val="0"/>
                                    <w:spacing w:before="160" w:after="283"/>
                                    <w:ind w:left="0" w:right="160" w:hanging="0"/>
                                    <w:jc w:val="left"/>
                                    <w:rPr/>
                                  </w:pPr>
                                  <w:r>
                                    <w:rPr/>
                                    <w:drawing>
                                      <wp:inline distT="0" distB="0" distL="0" distR="0">
                                        <wp:extent cx="1219200" cy="1524000"/>
                                        <wp:effectExtent l="0" t="0" r="0" b="0"/>
                                        <wp:docPr id="587" name="Image2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7" name="Image218" descr=""/>
                                                <pic:cNvPicPr>
                                                  <a:picLocks noChangeAspect="1" noChangeArrowheads="1"/>
                                                </pic:cNvPicPr>
                                              </pic:nvPicPr>
                                              <pic:blipFill>
                                                <a:blip r:embed="rId307"/>
                                                <a:stretch>
                                                  <a:fillRect/>
                                                </a:stretch>
                                              </pic:blipFill>
                                              <pic:spPr bwMode="auto">
                                                <a:xfrm>
                                                  <a:off x="0" y="0"/>
                                                  <a:ext cx="1219200" cy="1524000"/>
                                                </a:xfrm>
                                                <a:prstGeom prst="rect">
                                                  <a:avLst/>
                                                </a:prstGeom>
                                              </pic:spPr>
                                            </pic:pic>
                                          </a:graphicData>
                                        </a:graphic>
                                      </wp:inline>
                                    </w:drawing>
                                  </w:r>
                                  <w:r>
                                    <w:rPr/>
                                    <w:t xml:space="preserve"> </w:t>
                                  </w:r>
                                </w:p>
                                <w:p>
                                  <w:pPr>
                                    <w:pStyle w:val="TableContents"/>
                                    <w:bidi w:val="0"/>
                                    <w:spacing w:lineRule="atLeast" w:line="220" w:before="220" w:after="283"/>
                                    <w:ind w:left="0" w:right="160" w:hanging="0"/>
                                    <w:jc w:val="left"/>
                                    <w:rPr/>
                                  </w:pPr>
                                  <w:r>
                                    <w:rPr>
                                      <w:spacing w:val="-2"/>
                                    </w:rPr>
                                    <w:t>Chief Financial Officer</w:t>
                                  </w:r>
                                  <w:r>
                                    <w:rPr/>
                                    <w:t xml:space="preserve"> </w:t>
                                  </w:r>
                                </w:p>
                                <w:p>
                                  <w:pPr>
                                    <w:pStyle w:val="TableContents"/>
                                    <w:bidi w:val="0"/>
                                    <w:spacing w:lineRule="atLeast" w:line="220" w:before="120" w:after="283"/>
                                    <w:ind w:left="0" w:right="160" w:hanging="0"/>
                                    <w:jc w:val="left"/>
                                    <w:rPr>
                                      <w:b w:val="false"/>
                                    </w:rPr>
                                  </w:pPr>
                                  <w:r>
                                    <w:rPr>
                                      <w:b w:val="false"/>
                                      <w:spacing w:val="-2"/>
                                    </w:rPr>
                                    <w:t xml:space="preserve">Executive Officer </w:t>
                                    <w:br/>
                                    <w:t xml:space="preserve">Since: </w:t>
                                  </w:r>
                                  <w:r>
                                    <w:rPr>
                                      <w:b/>
                                      <w:spacing w:val="-2"/>
                                    </w:rPr>
                                    <w:t>2015</w:t>
                                  </w:r>
                                  <w:r>
                                    <w:rPr>
                                      <w:b w:val="false"/>
                                    </w:rPr>
                                    <w:t xml:space="preserve"> </w:t>
                                    <w:br/>
                                  </w:r>
                                  <w:r>
                                    <w:rPr>
                                      <w:b w:val="false"/>
                                      <w:spacing w:val="-2"/>
                                    </w:rPr>
                                    <w:t xml:space="preserve">Age: </w:t>
                                  </w:r>
                                  <w:r>
                                    <w:rPr>
                                      <w:b/>
                                      <w:spacing w:val="-2"/>
                                    </w:rPr>
                                    <w:t>51</w:t>
                                  </w:r>
                                  <w:r>
                                    <w:rPr>
                                      <w:b w:val="false"/>
                                    </w:rPr>
                                    <w:t xml:space="preserve"> </w:t>
                                  </w:r>
                                </w:p>
                              </w:tc>
                              <w:tc>
                                <w:tcPr>
                                  <w:tcW w:w="109" w:type="dxa"/>
                                  <w:tcBorders/>
                                  <w:vAlign w:val="center"/>
                                </w:tcPr>
                                <w:p>
                                  <w:pPr>
                                    <w:pStyle w:val="TableContents"/>
                                    <w:bidi w:val="0"/>
                                    <w:spacing w:before="0" w:after="283"/>
                                    <w:jc w:val="left"/>
                                    <w:rPr/>
                                  </w:pPr>
                                  <w:r>
                                    <w:rPr/>
                                    <w:t>​</w:t>
                                  </w:r>
                                </w:p>
                              </w:tc>
                              <w:tc>
                                <w:tcPr>
                                  <w:tcW w:w="154" w:type="dxa"/>
                                  <w:tcBorders/>
                                  <w:shd w:fill="1F2668" w:val="clear"/>
                                  <w:vAlign w:val="center"/>
                                </w:tcPr>
                                <w:p>
                                  <w:pPr>
                                    <w:pStyle w:val="TableContents"/>
                                    <w:bidi w:val="0"/>
                                    <w:spacing w:before="0" w:after="283"/>
                                    <w:jc w:val="left"/>
                                    <w:rPr/>
                                  </w:pPr>
                                  <w:r>
                                    <w:rPr/>
                                    <w:t>​</w:t>
                                  </w:r>
                                </w:p>
                              </w:tc>
                            </w:tr>
                          </w:tbl>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23pt;height:347.35pt;mso-wrap-distance-left:45pt;mso-wrap-distance-right:0pt;mso-wrap-distance-top:0pt;mso-wrap-distance-bottom:0pt;margin-top:0pt;mso-position-vertical:top;mso-position-vertical-relative:text;margin-left:45pt;mso-position-horizontal:left;mso-position-horizontal-relative:text">
                <v:textbox>
                  <w:txbxContent>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2976" w:type="dxa"/>
                        <w:jc w:val="left"/>
                        <w:tblInd w:w="0" w:type="dxa"/>
                        <w:tblLayout w:type="fixed"/>
                        <w:tblCellMar>
                          <w:top w:w="0" w:type="dxa"/>
                          <w:left w:w="0" w:type="dxa"/>
                          <w:bottom w:w="0" w:type="dxa"/>
                          <w:right w:w="0" w:type="dxa"/>
                        </w:tblCellMar>
                      </w:tblPr>
                      <w:tblGrid>
                        <w:gridCol w:w="124"/>
                        <w:gridCol w:w="109"/>
                        <w:gridCol w:w="2480"/>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480" w:type="dxa"/>
                            <w:tcBorders/>
                            <w:shd w:fill="1F2668" w:val="clear"/>
                            <w:vAlign w:val="center"/>
                          </w:tcPr>
                          <w:p>
                            <w:pPr>
                              <w:pStyle w:val="TableContents"/>
                              <w:bidi w:val="0"/>
                              <w:spacing w:lineRule="atLeast" w:line="280" w:before="0" w:after="0"/>
                              <w:ind w:left="0" w:right="160" w:hanging="0"/>
                              <w:jc w:val="left"/>
                              <w:rPr>
                                <w:sz w:val="24"/>
                              </w:rPr>
                            </w:pPr>
                            <w:r>
                              <w:rPr>
                                <w:spacing w:val="-2"/>
                                <w:sz w:val="24"/>
                              </w:rPr>
                              <w:t xml:space="preserve">MATTHEW J. </w:t>
                              <w:br/>
                              <w:t>DILIBERTO</w:t>
                            </w:r>
                            <w:r>
                              <w:rPr>
                                <w:sz w:val="24"/>
                              </w:rPr>
                              <w:t xml:space="preserve"> </w:t>
                            </w:r>
                          </w:p>
                          <w:p>
                            <w:pPr>
                              <w:pStyle w:val="TableContents"/>
                              <w:bidi w:val="0"/>
                              <w:spacing w:before="160" w:after="283"/>
                              <w:ind w:left="0" w:right="160" w:hanging="0"/>
                              <w:jc w:val="left"/>
                              <w:rPr/>
                            </w:pPr>
                            <w:r>
                              <w:rPr/>
                              <w:drawing>
                                <wp:inline distT="0" distB="0" distL="0" distR="0">
                                  <wp:extent cx="1219200" cy="1524000"/>
                                  <wp:effectExtent l="0" t="0" r="0" b="0"/>
                                  <wp:docPr id="588" name="Image2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8" name="Image218" descr=""/>
                                          <pic:cNvPicPr>
                                            <a:picLocks noChangeAspect="1" noChangeArrowheads="1"/>
                                          </pic:cNvPicPr>
                                        </pic:nvPicPr>
                                        <pic:blipFill>
                                          <a:blip r:embed="rId308"/>
                                          <a:stretch>
                                            <a:fillRect/>
                                          </a:stretch>
                                        </pic:blipFill>
                                        <pic:spPr bwMode="auto">
                                          <a:xfrm>
                                            <a:off x="0" y="0"/>
                                            <a:ext cx="1219200" cy="1524000"/>
                                          </a:xfrm>
                                          <a:prstGeom prst="rect">
                                            <a:avLst/>
                                          </a:prstGeom>
                                        </pic:spPr>
                                      </pic:pic>
                                    </a:graphicData>
                                  </a:graphic>
                                </wp:inline>
                              </w:drawing>
                            </w:r>
                            <w:r>
                              <w:rPr/>
                              <w:t xml:space="preserve"> </w:t>
                            </w:r>
                          </w:p>
                          <w:p>
                            <w:pPr>
                              <w:pStyle w:val="TableContents"/>
                              <w:bidi w:val="0"/>
                              <w:spacing w:lineRule="atLeast" w:line="220" w:before="220" w:after="283"/>
                              <w:ind w:left="0" w:right="160" w:hanging="0"/>
                              <w:jc w:val="left"/>
                              <w:rPr/>
                            </w:pPr>
                            <w:r>
                              <w:rPr>
                                <w:spacing w:val="-2"/>
                              </w:rPr>
                              <w:t>Chief Financial Officer</w:t>
                            </w:r>
                            <w:r>
                              <w:rPr/>
                              <w:t xml:space="preserve"> </w:t>
                            </w:r>
                          </w:p>
                          <w:p>
                            <w:pPr>
                              <w:pStyle w:val="TableContents"/>
                              <w:bidi w:val="0"/>
                              <w:spacing w:lineRule="atLeast" w:line="220" w:before="120" w:after="283"/>
                              <w:ind w:left="0" w:right="160" w:hanging="0"/>
                              <w:jc w:val="left"/>
                              <w:rPr>
                                <w:b w:val="false"/>
                              </w:rPr>
                            </w:pPr>
                            <w:r>
                              <w:rPr>
                                <w:b w:val="false"/>
                                <w:spacing w:val="-2"/>
                              </w:rPr>
                              <w:t xml:space="preserve">Executive Officer </w:t>
                              <w:br/>
                              <w:t xml:space="preserve">Since: </w:t>
                            </w:r>
                            <w:r>
                              <w:rPr>
                                <w:b/>
                                <w:spacing w:val="-2"/>
                              </w:rPr>
                              <w:t>2015</w:t>
                            </w:r>
                            <w:r>
                              <w:rPr>
                                <w:b w:val="false"/>
                              </w:rPr>
                              <w:t xml:space="preserve"> </w:t>
                              <w:br/>
                            </w:r>
                            <w:r>
                              <w:rPr>
                                <w:b w:val="false"/>
                                <w:spacing w:val="-2"/>
                              </w:rPr>
                              <w:t xml:space="preserve">Age: </w:t>
                            </w:r>
                            <w:r>
                              <w:rPr>
                                <w:b/>
                                <w:spacing w:val="-2"/>
                              </w:rPr>
                              <w:t>51</w:t>
                            </w:r>
                            <w:r>
                              <w:rPr>
                                <w:b w:val="false"/>
                              </w:rPr>
                              <w:t xml:space="preserve"> </w:t>
                            </w:r>
                          </w:p>
                        </w:tc>
                        <w:tc>
                          <w:tcPr>
                            <w:tcW w:w="109" w:type="dxa"/>
                            <w:tcBorders/>
                            <w:vAlign w:val="center"/>
                          </w:tcPr>
                          <w:p>
                            <w:pPr>
                              <w:pStyle w:val="TableContents"/>
                              <w:bidi w:val="0"/>
                              <w:spacing w:before="0" w:after="283"/>
                              <w:jc w:val="left"/>
                              <w:rPr/>
                            </w:pPr>
                            <w:r>
                              <w:rPr/>
                              <w:t>​</w:t>
                            </w:r>
                          </w:p>
                        </w:tc>
                        <w:tc>
                          <w:tcPr>
                            <w:tcW w:w="154" w:type="dxa"/>
                            <w:tcBorders/>
                            <w:shd w:fill="1F2668" w:val="clear"/>
                            <w:vAlign w:val="center"/>
                          </w:tcPr>
                          <w:p>
                            <w:pPr>
                              <w:pStyle w:val="TableContents"/>
                              <w:bidi w:val="0"/>
                              <w:spacing w:before="0" w:after="283"/>
                              <w:jc w:val="left"/>
                              <w:rPr/>
                            </w:pPr>
                            <w:r>
                              <w:rPr/>
                              <w:t>​</w:t>
                            </w:r>
                          </w:p>
                        </w:tc>
                      </w:tr>
                    </w:tbl>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254000" distR="0" simplePos="0" locked="0" layoutInCell="1" allowOverlap="1" relativeHeight="552">
                <wp:simplePos x="0" y="0"/>
                <wp:positionH relativeFrom="column">
                  <wp:align>left</wp:align>
                </wp:positionH>
                <wp:positionV relativeFrom="line">
                  <wp:posOffset>635</wp:posOffset>
                </wp:positionV>
                <wp:extent cx="4584700" cy="5798820"/>
                <wp:effectExtent l="0" t="0" r="0" b="0"/>
                <wp:wrapSquare wrapText="right"/>
                <wp:docPr id="589" name="Frame288"/>
                <a:graphic xmlns:a="http://schemas.openxmlformats.org/drawingml/2006/main">
                  <a:graphicData uri="http://schemas.microsoft.com/office/word/2010/wordprocessingShape">
                    <wps:wsp>
                      <wps:cNvSpPr txBox="1"/>
                      <wps:spPr>
                        <a:xfrm>
                          <a:off x="0" y="0"/>
                          <a:ext cx="4584700" cy="5798820"/>
                        </a:xfrm>
                        <a:prstGeom prst="rect"/>
                        <a:solidFill>
                          <a:srgbClr val="FFFFFF"/>
                        </a:solidFill>
                      </wps:spPr>
                      <wps:txbx>
                        <w:txbxContent>
                          <w:p>
                            <w:pPr>
                              <w:pStyle w:val="TextBody"/>
                              <w:bidi w:val="0"/>
                              <w:spacing w:lineRule="atLeast" w:line="240" w:before="0" w:after="0"/>
                              <w:jc w:val="left"/>
                              <w:rPr/>
                            </w:pPr>
                            <w:r>
                              <w:rPr>
                                <w:spacing w:val="-2"/>
                              </w:rPr>
                              <w:t>   </w:t>
                            </w:r>
                            <w:r>
                              <w:rPr/>
                              <w:t xml:space="preserve"> </w:t>
                            </w:r>
                          </w:p>
                          <w:p>
                            <w:pPr>
                              <w:pStyle w:val="TextBody"/>
                              <w:bidi w:val="0"/>
                              <w:spacing w:lineRule="atLeast" w:line="220" w:before="180" w:after="0"/>
                              <w:ind w:left="200" w:right="0" w:hanging="0"/>
                              <w:jc w:val="left"/>
                              <w:rPr/>
                            </w:pPr>
                            <w:r>
                              <w:rPr>
                                <w:spacing w:val="-2"/>
                              </w:rPr>
                              <w:t>Mr. DiLiberto joined the Company in September 2004 and currently serves as the Company’s Chief Financial Officer, overseeing the finance, accounting, tax, investor relations and corporate capital markets functions of the organization.</w:t>
                            </w:r>
                            <w:r>
                              <w:rPr/>
                              <w:t xml:space="preserve"> </w:t>
                            </w:r>
                          </w:p>
                          <w:p>
                            <w:pPr>
                              <w:pStyle w:val="TextBody"/>
                              <w:bidi w:val="0"/>
                              <w:spacing w:before="0" w:after="0"/>
                              <w:ind w:left="0" w:right="0" w:hanging="0"/>
                              <w:jc w:val="left"/>
                              <w:rPr/>
                            </w:pPr>
                            <w:r>
                              <w:rPr/>
                              <w:t>​</w:t>
                            </w:r>
                          </w:p>
                          <w:p>
                            <w:pPr>
                              <w:pStyle w:val="TextBody"/>
                              <w:bidi w:val="0"/>
                              <w:spacing w:lineRule="atLeast" w:line="220" w:before="84" w:after="0"/>
                              <w:ind w:left="200" w:right="0" w:hanging="0"/>
                              <w:jc w:val="left"/>
                              <w:rPr/>
                            </w:pPr>
                            <w:r>
                              <w:rPr>
                                <w:spacing w:val="-2"/>
                              </w:rPr>
                              <w:t>Mr. DiLiberto previously served as the Company’s Chief Accounting Officer &amp; Treasurer from 2007 to 2014.</w:t>
                            </w:r>
                            <w:r>
                              <w:rPr/>
                              <w:t xml:space="preserve"> </w:t>
                            </w:r>
                          </w:p>
                          <w:p>
                            <w:pPr>
                              <w:pStyle w:val="TextBody"/>
                              <w:bidi w:val="0"/>
                              <w:spacing w:before="0" w:after="0"/>
                              <w:ind w:left="0" w:right="0" w:hanging="0"/>
                              <w:jc w:val="left"/>
                              <w:rPr/>
                            </w:pPr>
                            <w:r>
                              <w:rPr/>
                              <w:t>​</w:t>
                            </w:r>
                          </w:p>
                          <w:p>
                            <w:pPr>
                              <w:pStyle w:val="TextBody"/>
                              <w:bidi w:val="0"/>
                              <w:spacing w:lineRule="atLeast" w:line="220" w:before="84" w:after="0"/>
                              <w:ind w:left="200" w:right="0" w:hanging="0"/>
                              <w:jc w:val="left"/>
                              <w:rPr/>
                            </w:pPr>
                            <w:r>
                              <w:rPr>
                                <w:spacing w:val="-2"/>
                              </w:rPr>
                              <w:t>From June 2000 to September 2004, Mr. DiLiberto was with Roseland, New Jersey-based Chelsea Property Group, now a division of Simon Property Group, a REIT focused on the development and ownership of premium outlet centers, where he was a Controller and Director of Information Management.</w:t>
                            </w:r>
                            <w:r>
                              <w:rPr/>
                              <w:t xml:space="preserve"> </w:t>
                            </w:r>
                          </w:p>
                          <w:p>
                            <w:pPr>
                              <w:pStyle w:val="TextBody"/>
                              <w:bidi w:val="0"/>
                              <w:spacing w:before="0" w:after="0"/>
                              <w:ind w:left="0" w:right="0" w:hanging="0"/>
                              <w:jc w:val="left"/>
                              <w:rPr/>
                            </w:pPr>
                            <w:r>
                              <w:rPr/>
                              <w:t>​</w:t>
                            </w:r>
                          </w:p>
                          <w:p>
                            <w:pPr>
                              <w:pStyle w:val="TextBody"/>
                              <w:bidi w:val="0"/>
                              <w:spacing w:lineRule="atLeast" w:line="220" w:before="84" w:after="0"/>
                              <w:ind w:left="200" w:right="0" w:hanging="0"/>
                              <w:jc w:val="left"/>
                              <w:rPr/>
                            </w:pPr>
                            <w:r>
                              <w:rPr>
                                <w:spacing w:val="-2"/>
                              </w:rPr>
                              <w:t>From August 1998 to June 2000, Mr. DiLiberto worked at New York-based Vornado Realty Trust, a diversified REIT with ownership interests in office, retail, and other property types, where he worked as a Senior Financial Analyst focusing on accounting and controls as well as the preparation of high-level management reports and SEC filings.</w:t>
                            </w:r>
                            <w:r>
                              <w:rPr/>
                              <w:t xml:space="preserve"> </w:t>
                            </w:r>
                          </w:p>
                          <w:p>
                            <w:pPr>
                              <w:pStyle w:val="TextBody"/>
                              <w:bidi w:val="0"/>
                              <w:spacing w:before="0" w:after="0"/>
                              <w:ind w:left="0" w:right="0" w:hanging="0"/>
                              <w:jc w:val="left"/>
                              <w:rPr/>
                            </w:pPr>
                            <w:r>
                              <w:rPr/>
                              <w:t>​</w:t>
                            </w:r>
                          </w:p>
                          <w:p>
                            <w:pPr>
                              <w:pStyle w:val="TextBody"/>
                              <w:bidi w:val="0"/>
                              <w:spacing w:lineRule="atLeast" w:line="220" w:before="84" w:after="0"/>
                              <w:ind w:left="200" w:right="0" w:hanging="0"/>
                              <w:jc w:val="left"/>
                              <w:rPr/>
                            </w:pPr>
                            <w:r>
                              <w:rPr>
                                <w:spacing w:val="-2"/>
                              </w:rPr>
                              <w:t>Prior to joining Vornado Realty Trust, Mr. DiLiberto worked as a Business Assurance Associate at Coopers and Lybrand, LLP (now PricewaterhouseCoopers LLP).</w:t>
                            </w:r>
                            <w:r>
                              <w:rPr/>
                              <w:t xml:space="preserve"> </w:t>
                            </w:r>
                          </w:p>
                          <w:p>
                            <w:pPr>
                              <w:pStyle w:val="TextBody"/>
                              <w:bidi w:val="0"/>
                              <w:spacing w:before="0" w:after="0"/>
                              <w:ind w:left="0" w:right="0" w:hanging="0"/>
                              <w:jc w:val="left"/>
                              <w:rPr/>
                            </w:pPr>
                            <w:r>
                              <w:rPr/>
                              <w:t>​</w:t>
                            </w:r>
                          </w:p>
                          <w:p>
                            <w:pPr>
                              <w:pStyle w:val="TextBody"/>
                              <w:bidi w:val="0"/>
                              <w:spacing w:lineRule="atLeast" w:line="220" w:before="84" w:after="0"/>
                              <w:ind w:left="200" w:right="0" w:hanging="0"/>
                              <w:jc w:val="left"/>
                              <w:rPr/>
                            </w:pPr>
                            <w:r>
                              <w:rPr>
                                <w:spacing w:val="-2"/>
                              </w:rPr>
                              <w:t>Mr. DiLiberto currently serves as Chairman of the Board of Directors of the FDNY Foundation, the official not-for-profit of the New York City Fire Department, and has been a firefighter in New Jersey since 1997.</w:t>
                            </w:r>
                            <w:r>
                              <w:rPr/>
                              <w:t xml:space="preserve"> </w:t>
                            </w:r>
                          </w:p>
                          <w:p>
                            <w:pPr>
                              <w:pStyle w:val="TextBody"/>
                              <w:bidi w:val="0"/>
                              <w:spacing w:before="0" w:after="0"/>
                              <w:ind w:left="0" w:right="0" w:hanging="0"/>
                              <w:jc w:val="left"/>
                              <w:rPr/>
                            </w:pPr>
                            <w:r>
                              <w:rPr/>
                              <w:t>​</w:t>
                            </w:r>
                          </w:p>
                          <w:p>
                            <w:pPr>
                              <w:pStyle w:val="TextBody"/>
                              <w:bidi w:val="0"/>
                              <w:spacing w:lineRule="atLeast" w:line="220" w:before="84" w:after="0"/>
                              <w:ind w:left="200" w:right="0" w:hanging="0"/>
                              <w:jc w:val="left"/>
                              <w:rPr/>
                            </w:pPr>
                            <w:r>
                              <w:rPr>
                                <w:spacing w:val="-2"/>
                              </w:rPr>
                              <w:t>Mr. DiLiberto received a B.S. degree in Accounting from The University of Scranton.</w:t>
                            </w:r>
                            <w:r>
                              <w:rPr/>
                              <w:t xml:space="preserve"> </w:t>
                            </w:r>
                          </w:p>
                          <w:p>
                            <w:pPr>
                              <w:pStyle w:val="TextBody"/>
                              <w:bidi w:val="0"/>
                              <w:spacing w:before="0" w:after="0"/>
                              <w:ind w:left="0" w:right="0" w:hanging="0"/>
                              <w:jc w:val="left"/>
                              <w:rPr/>
                            </w:pPr>
                            <w:r>
                              <w:rPr/>
                              <w:t>​</w:t>
                            </w:r>
                          </w:p>
                        </w:txbxContent>
                      </wps:txbx>
                      <wps:bodyPr anchor="t" lIns="0" tIns="0" rIns="0" bIns="0">
                        <a:noAutofit/>
                      </wps:bodyPr>
                    </wps:wsp>
                  </a:graphicData>
                </a:graphic>
              </wp:anchor>
            </w:drawing>
          </mc:Choice>
          <mc:Fallback>
            <w:pict>
              <v:rect style="position:absolute;rotation:-0;width:361pt;height:456.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0"/>
                        <w:jc w:val="left"/>
                        <w:rPr/>
                      </w:pPr>
                      <w:r>
                        <w:rPr>
                          <w:spacing w:val="-2"/>
                        </w:rPr>
                        <w:t>   </w:t>
                      </w:r>
                      <w:r>
                        <w:rPr/>
                        <w:t xml:space="preserve"> </w:t>
                      </w:r>
                    </w:p>
                    <w:p>
                      <w:pPr>
                        <w:pStyle w:val="TextBody"/>
                        <w:bidi w:val="0"/>
                        <w:spacing w:lineRule="atLeast" w:line="220" w:before="180" w:after="0"/>
                        <w:ind w:left="200" w:right="0" w:hanging="0"/>
                        <w:jc w:val="left"/>
                        <w:rPr/>
                      </w:pPr>
                      <w:r>
                        <w:rPr>
                          <w:spacing w:val="-2"/>
                        </w:rPr>
                        <w:t>Mr. DiLiberto joined the Company in September 2004 and currently serves as the Company’s Chief Financial Officer, overseeing the finance, accounting, tax, investor relations and corporate capital markets functions of the organization.</w:t>
                      </w:r>
                      <w:r>
                        <w:rPr/>
                        <w:t xml:space="preserve"> </w:t>
                      </w:r>
                    </w:p>
                    <w:p>
                      <w:pPr>
                        <w:pStyle w:val="TextBody"/>
                        <w:bidi w:val="0"/>
                        <w:spacing w:before="0" w:after="0"/>
                        <w:ind w:left="0" w:right="0" w:hanging="0"/>
                        <w:jc w:val="left"/>
                        <w:rPr/>
                      </w:pPr>
                      <w:r>
                        <w:rPr/>
                        <w:t>​</w:t>
                      </w:r>
                    </w:p>
                    <w:p>
                      <w:pPr>
                        <w:pStyle w:val="TextBody"/>
                        <w:bidi w:val="0"/>
                        <w:spacing w:lineRule="atLeast" w:line="220" w:before="84" w:after="0"/>
                        <w:ind w:left="200" w:right="0" w:hanging="0"/>
                        <w:jc w:val="left"/>
                        <w:rPr/>
                      </w:pPr>
                      <w:r>
                        <w:rPr>
                          <w:spacing w:val="-2"/>
                        </w:rPr>
                        <w:t>Mr. DiLiberto previously served as the Company’s Chief Accounting Officer &amp; Treasurer from 2007 to 2014.</w:t>
                      </w:r>
                      <w:r>
                        <w:rPr/>
                        <w:t xml:space="preserve"> </w:t>
                      </w:r>
                    </w:p>
                    <w:p>
                      <w:pPr>
                        <w:pStyle w:val="TextBody"/>
                        <w:bidi w:val="0"/>
                        <w:spacing w:before="0" w:after="0"/>
                        <w:ind w:left="0" w:right="0" w:hanging="0"/>
                        <w:jc w:val="left"/>
                        <w:rPr/>
                      </w:pPr>
                      <w:r>
                        <w:rPr/>
                        <w:t>​</w:t>
                      </w:r>
                    </w:p>
                    <w:p>
                      <w:pPr>
                        <w:pStyle w:val="TextBody"/>
                        <w:bidi w:val="0"/>
                        <w:spacing w:lineRule="atLeast" w:line="220" w:before="84" w:after="0"/>
                        <w:ind w:left="200" w:right="0" w:hanging="0"/>
                        <w:jc w:val="left"/>
                        <w:rPr/>
                      </w:pPr>
                      <w:r>
                        <w:rPr>
                          <w:spacing w:val="-2"/>
                        </w:rPr>
                        <w:t>From June 2000 to September 2004, Mr. DiLiberto was with Roseland, New Jersey-based Chelsea Property Group, now a division of Simon Property Group, a REIT focused on the development and ownership of premium outlet centers, where he was a Controller and Director of Information Management.</w:t>
                      </w:r>
                      <w:r>
                        <w:rPr/>
                        <w:t xml:space="preserve"> </w:t>
                      </w:r>
                    </w:p>
                    <w:p>
                      <w:pPr>
                        <w:pStyle w:val="TextBody"/>
                        <w:bidi w:val="0"/>
                        <w:spacing w:before="0" w:after="0"/>
                        <w:ind w:left="0" w:right="0" w:hanging="0"/>
                        <w:jc w:val="left"/>
                        <w:rPr/>
                      </w:pPr>
                      <w:r>
                        <w:rPr/>
                        <w:t>​</w:t>
                      </w:r>
                    </w:p>
                    <w:p>
                      <w:pPr>
                        <w:pStyle w:val="TextBody"/>
                        <w:bidi w:val="0"/>
                        <w:spacing w:lineRule="atLeast" w:line="220" w:before="84" w:after="0"/>
                        <w:ind w:left="200" w:right="0" w:hanging="0"/>
                        <w:jc w:val="left"/>
                        <w:rPr/>
                      </w:pPr>
                      <w:r>
                        <w:rPr>
                          <w:spacing w:val="-2"/>
                        </w:rPr>
                        <w:t>From August 1998 to June 2000, Mr. DiLiberto worked at New York-based Vornado Realty Trust, a diversified REIT with ownership interests in office, retail, and other property types, where he worked as a Senior Financial Analyst focusing on accounting and controls as well as the preparation of high-level management reports and SEC filings.</w:t>
                      </w:r>
                      <w:r>
                        <w:rPr/>
                        <w:t xml:space="preserve"> </w:t>
                      </w:r>
                    </w:p>
                    <w:p>
                      <w:pPr>
                        <w:pStyle w:val="TextBody"/>
                        <w:bidi w:val="0"/>
                        <w:spacing w:before="0" w:after="0"/>
                        <w:ind w:left="0" w:right="0" w:hanging="0"/>
                        <w:jc w:val="left"/>
                        <w:rPr/>
                      </w:pPr>
                      <w:r>
                        <w:rPr/>
                        <w:t>​</w:t>
                      </w:r>
                    </w:p>
                    <w:p>
                      <w:pPr>
                        <w:pStyle w:val="TextBody"/>
                        <w:bidi w:val="0"/>
                        <w:spacing w:lineRule="atLeast" w:line="220" w:before="84" w:after="0"/>
                        <w:ind w:left="200" w:right="0" w:hanging="0"/>
                        <w:jc w:val="left"/>
                        <w:rPr/>
                      </w:pPr>
                      <w:r>
                        <w:rPr>
                          <w:spacing w:val="-2"/>
                        </w:rPr>
                        <w:t>Prior to joining Vornado Realty Trust, Mr. DiLiberto worked as a Business Assurance Associate at Coopers and Lybrand, LLP (now PricewaterhouseCoopers LLP).</w:t>
                      </w:r>
                      <w:r>
                        <w:rPr/>
                        <w:t xml:space="preserve"> </w:t>
                      </w:r>
                    </w:p>
                    <w:p>
                      <w:pPr>
                        <w:pStyle w:val="TextBody"/>
                        <w:bidi w:val="0"/>
                        <w:spacing w:before="0" w:after="0"/>
                        <w:ind w:left="0" w:right="0" w:hanging="0"/>
                        <w:jc w:val="left"/>
                        <w:rPr/>
                      </w:pPr>
                      <w:r>
                        <w:rPr/>
                        <w:t>​</w:t>
                      </w:r>
                    </w:p>
                    <w:p>
                      <w:pPr>
                        <w:pStyle w:val="TextBody"/>
                        <w:bidi w:val="0"/>
                        <w:spacing w:lineRule="atLeast" w:line="220" w:before="84" w:after="0"/>
                        <w:ind w:left="200" w:right="0" w:hanging="0"/>
                        <w:jc w:val="left"/>
                        <w:rPr/>
                      </w:pPr>
                      <w:r>
                        <w:rPr>
                          <w:spacing w:val="-2"/>
                        </w:rPr>
                        <w:t>Mr. DiLiberto currently serves as Chairman of the Board of Directors of the FDNY Foundation, the official not-for-profit of the New York City Fire Department, and has been a firefighter in New Jersey since 1997.</w:t>
                      </w:r>
                      <w:r>
                        <w:rPr/>
                        <w:t xml:space="preserve"> </w:t>
                      </w:r>
                    </w:p>
                    <w:p>
                      <w:pPr>
                        <w:pStyle w:val="TextBody"/>
                        <w:bidi w:val="0"/>
                        <w:spacing w:before="0" w:after="0"/>
                        <w:ind w:left="0" w:right="0" w:hanging="0"/>
                        <w:jc w:val="left"/>
                        <w:rPr/>
                      </w:pPr>
                      <w:r>
                        <w:rPr/>
                        <w:t>​</w:t>
                      </w:r>
                    </w:p>
                    <w:p>
                      <w:pPr>
                        <w:pStyle w:val="TextBody"/>
                        <w:bidi w:val="0"/>
                        <w:spacing w:lineRule="atLeast" w:line="220" w:before="84" w:after="0"/>
                        <w:ind w:left="200" w:right="0" w:hanging="0"/>
                        <w:jc w:val="left"/>
                        <w:rPr/>
                      </w:pPr>
                      <w:r>
                        <w:rPr>
                          <w:spacing w:val="-2"/>
                        </w:rPr>
                        <w:t>Mr. DiLiberto received a B.S. degree in Accounting from The University of Scranton.</w:t>
                      </w:r>
                      <w:r>
                        <w:rPr/>
                        <w:t xml:space="preserve"> </w:t>
                      </w:r>
                    </w:p>
                    <w:p>
                      <w:pPr>
                        <w:pStyle w:val="TextBody"/>
                        <w:bidi w:val="0"/>
                        <w:spacing w:before="0" w:after="0"/>
                        <w:ind w:left="0" w:right="0" w:hanging="0"/>
                        <w:jc w:val="left"/>
                        <w:rPr/>
                      </w:pPr>
                      <w:r>
                        <w:rPr/>
                        <w:t>​</w:t>
                      </w:r>
                    </w:p>
                  </w:txbxContent>
                </v:textbox>
                <w10:wrap type="square" side="right"/>
              </v:rect>
            </w:pict>
          </mc:Fallback>
        </mc:AlternateContent>
      </w:r>
      <w:r>
        <mc:AlternateContent>
          <mc:Choice Requires="wps">
            <w:drawing>
              <wp:anchor behindDoc="0" distT="114300" distB="0" distL="0" distR="0" simplePos="0" locked="0" layoutInCell="1" allowOverlap="1" relativeHeight="553">
                <wp:simplePos x="0" y="0"/>
                <wp:positionH relativeFrom="column">
                  <wp:align>left</wp:align>
                </wp:positionH>
                <wp:positionV relativeFrom="line">
                  <wp:align>top</wp:align>
                </wp:positionV>
                <wp:extent cx="127000" cy="350520"/>
                <wp:effectExtent l="0" t="0" r="0" b="0"/>
                <wp:wrapSquare wrapText="right"/>
                <wp:docPr id="590" name="Frame2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9pt;mso-wrap-distance-bottom:0pt;margin-top:9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53340" distB="0" distL="0" distR="0" simplePos="0" locked="0" layoutInCell="1" allowOverlap="1" relativeHeight="554">
                <wp:simplePos x="0" y="0"/>
                <wp:positionH relativeFrom="column">
                  <wp:align>left</wp:align>
                </wp:positionH>
                <wp:positionV relativeFrom="line">
                  <wp:align>top</wp:align>
                </wp:positionV>
                <wp:extent cx="127000" cy="350520"/>
                <wp:effectExtent l="0" t="0" r="0" b="0"/>
                <wp:wrapSquare wrapText="right"/>
                <wp:docPr id="591" name="Frame2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4.2pt;mso-wrap-distance-bottom:0pt;margin-top:4.2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53340" distB="0" distL="0" distR="0" simplePos="0" locked="0" layoutInCell="1" allowOverlap="1" relativeHeight="555">
                <wp:simplePos x="0" y="0"/>
                <wp:positionH relativeFrom="column">
                  <wp:align>left</wp:align>
                </wp:positionH>
                <wp:positionV relativeFrom="line">
                  <wp:align>top</wp:align>
                </wp:positionV>
                <wp:extent cx="127000" cy="350520"/>
                <wp:effectExtent l="0" t="0" r="0" b="0"/>
                <wp:wrapSquare wrapText="right"/>
                <wp:docPr id="592" name="Frame2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4.2pt;mso-wrap-distance-bottom:0pt;margin-top:4.2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53340" distB="0" distL="0" distR="0" simplePos="0" locked="0" layoutInCell="1" allowOverlap="1" relativeHeight="556">
                <wp:simplePos x="0" y="0"/>
                <wp:positionH relativeFrom="column">
                  <wp:align>left</wp:align>
                </wp:positionH>
                <wp:positionV relativeFrom="line">
                  <wp:align>top</wp:align>
                </wp:positionV>
                <wp:extent cx="127000" cy="350520"/>
                <wp:effectExtent l="0" t="0" r="0" b="0"/>
                <wp:wrapSquare wrapText="right"/>
                <wp:docPr id="593" name="Frame2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4.2pt;mso-wrap-distance-bottom:0pt;margin-top:4.2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53340" distB="0" distL="0" distR="0" simplePos="0" locked="0" layoutInCell="1" allowOverlap="1" relativeHeight="557">
                <wp:simplePos x="0" y="0"/>
                <wp:positionH relativeFrom="column">
                  <wp:align>left</wp:align>
                </wp:positionH>
                <wp:positionV relativeFrom="line">
                  <wp:align>top</wp:align>
                </wp:positionV>
                <wp:extent cx="127000" cy="350520"/>
                <wp:effectExtent l="0" t="0" r="0" b="0"/>
                <wp:wrapSquare wrapText="right"/>
                <wp:docPr id="594" name="Frame2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4.2pt;mso-wrap-distance-bottom:0pt;margin-top:4.2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53340" distB="0" distL="0" distR="0" simplePos="0" locked="0" layoutInCell="1" allowOverlap="1" relativeHeight="558">
                <wp:simplePos x="0" y="0"/>
                <wp:positionH relativeFrom="column">
                  <wp:align>left</wp:align>
                </wp:positionH>
                <wp:positionV relativeFrom="line">
                  <wp:align>top</wp:align>
                </wp:positionV>
                <wp:extent cx="127000" cy="350520"/>
                <wp:effectExtent l="0" t="0" r="0" b="0"/>
                <wp:wrapSquare wrapText="right"/>
                <wp:docPr id="595" name="Frame2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4.2pt;mso-wrap-distance-bottom:0pt;margin-top:4.2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53340" distB="0" distL="0" distR="0" simplePos="0" locked="0" layoutInCell="1" allowOverlap="1" relativeHeight="559">
                <wp:simplePos x="0" y="0"/>
                <wp:positionH relativeFrom="column">
                  <wp:align>left</wp:align>
                </wp:positionH>
                <wp:positionV relativeFrom="line">
                  <wp:align>top</wp:align>
                </wp:positionV>
                <wp:extent cx="127000" cy="350520"/>
                <wp:effectExtent l="0" t="0" r="0" b="0"/>
                <wp:wrapSquare wrapText="right"/>
                <wp:docPr id="596" name="Frame2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4.2pt;mso-wrap-distance-bottom:0pt;margin-top:4.2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3558" w:type="dxa"/>
        <w:jc w:val="left"/>
        <w:tblInd w:w="900" w:type="dxa"/>
        <w:tblLayout w:type="fixed"/>
        <w:tblCellMar>
          <w:top w:w="0" w:type="dxa"/>
          <w:left w:w="0" w:type="dxa"/>
          <w:bottom w:w="0" w:type="dxa"/>
          <w:right w:w="0" w:type="dxa"/>
        </w:tblCellMar>
      </w:tblPr>
      <w:tblGrid>
        <w:gridCol w:w="124"/>
        <w:gridCol w:w="2716"/>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2716" w:type="dxa"/>
            <w:tcBorders/>
            <w:vAlign w:val="center"/>
          </w:tcPr>
          <w:p>
            <w:pPr>
              <w:pStyle w:val="TableContents"/>
              <w:bidi w:val="0"/>
              <w:spacing w:lineRule="atLeast" w:line="200" w:before="0" w:after="0"/>
              <w:jc w:val="left"/>
              <w:rPr/>
            </w:pPr>
            <w:r>
              <w:rPr>
                <w:spacing w:val="-2"/>
              </w:rPr>
              <w:t>EXECUTIVE OFFICERS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color w:val="1F2668"/>
                <w:sz w:val="24"/>
              </w:rPr>
            </w:pPr>
            <w:r>
              <w:rPr>
                <w:color w:val="1F2668"/>
                <w:sz w:val="24"/>
              </w:rPr>
              <w:t>39</w:t>
            </w:r>
          </w:p>
        </w:tc>
        <w:tc>
          <w:tcPr>
            <w:tcW w:w="154" w:type="dxa"/>
            <w:tcBorders/>
            <w:vAlign w:val="center"/>
          </w:tcPr>
          <w:p>
            <w:pPr>
              <w:pStyle w:val="TableContents"/>
              <w:bidi w:val="0"/>
              <w:spacing w:before="0" w:after="283"/>
              <w:jc w:val="left"/>
              <w:rPr/>
            </w:pPr>
            <w:r>
              <w:rPr/>
              <w:t>​</w:t>
            </w:r>
          </w:p>
        </w:tc>
      </w:tr>
    </w:tbl>
    <w:p>
      <w:pPr>
        <w:pStyle w:val="TextBody"/>
        <w:bidi w:val="0"/>
        <w:spacing w:before="0" w:after="9234"/>
        <w:ind w:left="900" w:right="0" w:hanging="0"/>
        <w:jc w:val="left"/>
        <w:rPr>
          <w:caps w:val="false"/>
          <w:smallCaps w:val="false"/>
          <w:color w:val="000000"/>
        </w:rPr>
      </w:pPr>
      <w:r>
        <w:rPr>
          <w:caps w:val="false"/>
          <w:smallCaps w:val="false"/>
          <w:color w:val="000000"/>
        </w:rPr>
        <w:t>​</w:t>
      </w:r>
      <w:r>
        <mc:AlternateContent>
          <mc:Choice Requires="wps">
            <w:drawing>
              <wp:anchor behindDoc="0" distT="0" distB="0" distL="571500" distR="0" simplePos="0" locked="0" layoutInCell="1" allowOverlap="1" relativeHeight="171">
                <wp:simplePos x="0" y="0"/>
                <wp:positionH relativeFrom="column">
                  <wp:align>left</wp:align>
                </wp:positionH>
                <wp:positionV relativeFrom="line">
                  <wp:posOffset>635</wp:posOffset>
                </wp:positionV>
                <wp:extent cx="1562100" cy="4411345"/>
                <wp:effectExtent l="0" t="0" r="0" b="0"/>
                <wp:wrapSquare wrapText="right"/>
                <wp:docPr id="597" name="Frame296"/>
                <a:graphic xmlns:a="http://schemas.openxmlformats.org/drawingml/2006/main">
                  <a:graphicData uri="http://schemas.microsoft.com/office/word/2010/wordprocessingShape">
                    <wps:wsp>
                      <wps:cNvSpPr txBox="1"/>
                      <wps:spPr>
                        <a:xfrm>
                          <a:off x="0" y="0"/>
                          <a:ext cx="1562100" cy="4411345"/>
                        </a:xfrm>
                        <a:prstGeom prst="rect"/>
                        <a:solidFill>
                          <a:srgbClr val="FFFFFF"/>
                        </a:solidFill>
                      </wps:spPr>
                      <wps:txbx>
                        <w:txbxContent>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2722" w:type="dxa"/>
                              <w:jc w:val="left"/>
                              <w:tblInd w:w="0" w:type="dxa"/>
                              <w:tblLayout w:type="fixed"/>
                              <w:tblCellMar>
                                <w:top w:w="0" w:type="dxa"/>
                                <w:left w:w="0" w:type="dxa"/>
                                <w:bottom w:w="0" w:type="dxa"/>
                                <w:right w:w="0" w:type="dxa"/>
                              </w:tblCellMar>
                            </w:tblPr>
                            <w:tblGrid>
                              <w:gridCol w:w="124"/>
                              <w:gridCol w:w="109"/>
                              <w:gridCol w:w="2226"/>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26" w:type="dxa"/>
                                  <w:tcBorders/>
                                  <w:shd w:fill="1F2668" w:val="clear"/>
                                  <w:vAlign w:val="center"/>
                                </w:tcPr>
                                <w:p>
                                  <w:pPr>
                                    <w:pStyle w:val="TableContents"/>
                                    <w:bidi w:val="0"/>
                                    <w:spacing w:lineRule="atLeast" w:line="280" w:before="0" w:after="0"/>
                                    <w:ind w:left="0" w:right="160" w:hanging="0"/>
                                    <w:jc w:val="left"/>
                                    <w:rPr>
                                      <w:sz w:val="24"/>
                                    </w:rPr>
                                  </w:pPr>
                                  <w:r>
                                    <w:rPr>
                                      <w:spacing w:val="-2"/>
                                      <w:sz w:val="24"/>
                                    </w:rPr>
                                    <w:t xml:space="preserve">ANDREW S. </w:t>
                                    <w:br/>
                                    <w:t>LEVINE</w:t>
                                  </w:r>
                                  <w:r>
                                    <w:rPr>
                                      <w:sz w:val="24"/>
                                    </w:rPr>
                                    <w:t xml:space="preserve"> </w:t>
                                  </w:r>
                                </w:p>
                                <w:p>
                                  <w:pPr>
                                    <w:pStyle w:val="TableContents"/>
                                    <w:bidi w:val="0"/>
                                    <w:spacing w:before="160" w:after="283"/>
                                    <w:ind w:left="0" w:right="160" w:hanging="0"/>
                                    <w:jc w:val="left"/>
                                    <w:rPr/>
                                  </w:pPr>
                                  <w:r>
                                    <w:rPr/>
                                    <w:drawing>
                                      <wp:inline distT="0" distB="0" distL="0" distR="0">
                                        <wp:extent cx="1219200" cy="1524000"/>
                                        <wp:effectExtent l="0" t="0" r="0" b="0"/>
                                        <wp:docPr id="598" name="Image2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8" name="Image219" descr=""/>
                                                <pic:cNvPicPr>
                                                  <a:picLocks noChangeAspect="1" noChangeArrowheads="1"/>
                                                </pic:cNvPicPr>
                                              </pic:nvPicPr>
                                              <pic:blipFill>
                                                <a:blip r:embed="rId309"/>
                                                <a:stretch>
                                                  <a:fillRect/>
                                                </a:stretch>
                                              </pic:blipFill>
                                              <pic:spPr bwMode="auto">
                                                <a:xfrm>
                                                  <a:off x="0" y="0"/>
                                                  <a:ext cx="1219200" cy="1524000"/>
                                                </a:xfrm>
                                                <a:prstGeom prst="rect">
                                                  <a:avLst/>
                                                </a:prstGeom>
                                              </pic:spPr>
                                            </pic:pic>
                                          </a:graphicData>
                                        </a:graphic>
                                      </wp:inline>
                                    </w:drawing>
                                  </w:r>
                                  <w:r>
                                    <w:rPr/>
                                    <w:t xml:space="preserve"> </w:t>
                                  </w:r>
                                </w:p>
                                <w:p>
                                  <w:pPr>
                                    <w:pStyle w:val="TableContents"/>
                                    <w:bidi w:val="0"/>
                                    <w:spacing w:lineRule="atLeast" w:line="220" w:before="220" w:after="283"/>
                                    <w:ind w:left="0" w:right="160" w:hanging="0"/>
                                    <w:jc w:val="left"/>
                                    <w:rPr/>
                                  </w:pPr>
                                  <w:r>
                                    <w:rPr>
                                      <w:spacing w:val="-2"/>
                                    </w:rPr>
                                    <w:t>General Counsel</w:t>
                                  </w:r>
                                  <w:r>
                                    <w:rPr/>
                                    <w:t xml:space="preserve"> </w:t>
                                  </w:r>
                                </w:p>
                                <w:p>
                                  <w:pPr>
                                    <w:pStyle w:val="TableContents"/>
                                    <w:bidi w:val="0"/>
                                    <w:spacing w:lineRule="atLeast" w:line="220" w:before="120" w:after="283"/>
                                    <w:ind w:left="0" w:right="160" w:hanging="0"/>
                                    <w:jc w:val="left"/>
                                    <w:rPr>
                                      <w:b w:val="false"/>
                                    </w:rPr>
                                  </w:pPr>
                                  <w:r>
                                    <w:rPr>
                                      <w:b w:val="false"/>
                                      <w:spacing w:val="-2"/>
                                    </w:rPr>
                                    <w:t xml:space="preserve">Executive Officer </w:t>
                                    <w:br/>
                                    <w:t xml:space="preserve">Since: </w:t>
                                  </w:r>
                                  <w:r>
                                    <w:rPr>
                                      <w:b/>
                                      <w:spacing w:val="-2"/>
                                    </w:rPr>
                                    <w:t>2007</w:t>
                                  </w:r>
                                  <w:r>
                                    <w:rPr>
                                      <w:b w:val="false"/>
                                    </w:rPr>
                                    <w:t xml:space="preserve"> </w:t>
                                    <w:br/>
                                  </w:r>
                                  <w:r>
                                    <w:rPr>
                                      <w:b w:val="false"/>
                                      <w:spacing w:val="-2"/>
                                    </w:rPr>
                                    <w:t xml:space="preserve">Age: </w:t>
                                  </w:r>
                                  <w:r>
                                    <w:rPr>
                                      <w:b/>
                                      <w:spacing w:val="-2"/>
                                    </w:rPr>
                                    <w:t>67</w:t>
                                  </w:r>
                                  <w:r>
                                    <w:rPr>
                                      <w:b w:val="false"/>
                                    </w:rPr>
                                    <w:t xml:space="preserve"> </w:t>
                                  </w:r>
                                </w:p>
                              </w:tc>
                              <w:tc>
                                <w:tcPr>
                                  <w:tcW w:w="109" w:type="dxa"/>
                                  <w:tcBorders/>
                                  <w:vAlign w:val="center"/>
                                </w:tcPr>
                                <w:p>
                                  <w:pPr>
                                    <w:pStyle w:val="TableContents"/>
                                    <w:bidi w:val="0"/>
                                    <w:spacing w:before="0" w:after="283"/>
                                    <w:jc w:val="left"/>
                                    <w:rPr/>
                                  </w:pPr>
                                  <w:r>
                                    <w:rPr/>
                                    <w:t>​</w:t>
                                  </w:r>
                                </w:p>
                              </w:tc>
                              <w:tc>
                                <w:tcPr>
                                  <w:tcW w:w="154" w:type="dxa"/>
                                  <w:tcBorders/>
                                  <w:shd w:fill="1F2668" w:val="clear"/>
                                  <w:vAlign w:val="center"/>
                                </w:tcPr>
                                <w:p>
                                  <w:pPr>
                                    <w:pStyle w:val="TableContents"/>
                                    <w:bidi w:val="0"/>
                                    <w:spacing w:before="0" w:after="283"/>
                                    <w:jc w:val="left"/>
                                    <w:rPr/>
                                  </w:pPr>
                                  <w:r>
                                    <w:rPr/>
                                    <w:t>​</w:t>
                                  </w:r>
                                </w:p>
                              </w:tc>
                            </w:tr>
                          </w:tbl>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23pt;height:347.35pt;mso-wrap-distance-left:45pt;mso-wrap-distance-right:0pt;mso-wrap-distance-top:0pt;mso-wrap-distance-bottom:0pt;margin-top:0pt;mso-position-vertical:top;mso-position-vertical-relative:text;margin-left:45pt;mso-position-horizontal:left;mso-position-horizontal-relative:text">
                <v:textbox>
                  <w:txbxContent>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2722" w:type="dxa"/>
                        <w:jc w:val="left"/>
                        <w:tblInd w:w="0" w:type="dxa"/>
                        <w:tblLayout w:type="fixed"/>
                        <w:tblCellMar>
                          <w:top w:w="0" w:type="dxa"/>
                          <w:left w:w="0" w:type="dxa"/>
                          <w:bottom w:w="0" w:type="dxa"/>
                          <w:right w:w="0" w:type="dxa"/>
                        </w:tblCellMar>
                      </w:tblPr>
                      <w:tblGrid>
                        <w:gridCol w:w="124"/>
                        <w:gridCol w:w="109"/>
                        <w:gridCol w:w="2226"/>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26" w:type="dxa"/>
                            <w:tcBorders/>
                            <w:shd w:fill="1F2668" w:val="clear"/>
                            <w:vAlign w:val="center"/>
                          </w:tcPr>
                          <w:p>
                            <w:pPr>
                              <w:pStyle w:val="TableContents"/>
                              <w:bidi w:val="0"/>
                              <w:spacing w:lineRule="atLeast" w:line="280" w:before="0" w:after="0"/>
                              <w:ind w:left="0" w:right="160" w:hanging="0"/>
                              <w:jc w:val="left"/>
                              <w:rPr>
                                <w:sz w:val="24"/>
                              </w:rPr>
                            </w:pPr>
                            <w:r>
                              <w:rPr>
                                <w:spacing w:val="-2"/>
                                <w:sz w:val="24"/>
                              </w:rPr>
                              <w:t xml:space="preserve">ANDREW S. </w:t>
                              <w:br/>
                              <w:t>LEVINE</w:t>
                            </w:r>
                            <w:r>
                              <w:rPr>
                                <w:sz w:val="24"/>
                              </w:rPr>
                              <w:t xml:space="preserve"> </w:t>
                            </w:r>
                          </w:p>
                          <w:p>
                            <w:pPr>
                              <w:pStyle w:val="TableContents"/>
                              <w:bidi w:val="0"/>
                              <w:spacing w:before="160" w:after="283"/>
                              <w:ind w:left="0" w:right="160" w:hanging="0"/>
                              <w:jc w:val="left"/>
                              <w:rPr/>
                            </w:pPr>
                            <w:r>
                              <w:rPr/>
                              <w:drawing>
                                <wp:inline distT="0" distB="0" distL="0" distR="0">
                                  <wp:extent cx="1219200" cy="1524000"/>
                                  <wp:effectExtent l="0" t="0" r="0" b="0"/>
                                  <wp:docPr id="599" name="Image2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9" name="Image219" descr=""/>
                                          <pic:cNvPicPr>
                                            <a:picLocks noChangeAspect="1" noChangeArrowheads="1"/>
                                          </pic:cNvPicPr>
                                        </pic:nvPicPr>
                                        <pic:blipFill>
                                          <a:blip r:embed="rId310"/>
                                          <a:stretch>
                                            <a:fillRect/>
                                          </a:stretch>
                                        </pic:blipFill>
                                        <pic:spPr bwMode="auto">
                                          <a:xfrm>
                                            <a:off x="0" y="0"/>
                                            <a:ext cx="1219200" cy="1524000"/>
                                          </a:xfrm>
                                          <a:prstGeom prst="rect">
                                            <a:avLst/>
                                          </a:prstGeom>
                                        </pic:spPr>
                                      </pic:pic>
                                    </a:graphicData>
                                  </a:graphic>
                                </wp:inline>
                              </w:drawing>
                            </w:r>
                            <w:r>
                              <w:rPr/>
                              <w:t xml:space="preserve"> </w:t>
                            </w:r>
                          </w:p>
                          <w:p>
                            <w:pPr>
                              <w:pStyle w:val="TableContents"/>
                              <w:bidi w:val="0"/>
                              <w:spacing w:lineRule="atLeast" w:line="220" w:before="220" w:after="283"/>
                              <w:ind w:left="0" w:right="160" w:hanging="0"/>
                              <w:jc w:val="left"/>
                              <w:rPr/>
                            </w:pPr>
                            <w:r>
                              <w:rPr>
                                <w:spacing w:val="-2"/>
                              </w:rPr>
                              <w:t>General Counsel</w:t>
                            </w:r>
                            <w:r>
                              <w:rPr/>
                              <w:t xml:space="preserve"> </w:t>
                            </w:r>
                          </w:p>
                          <w:p>
                            <w:pPr>
                              <w:pStyle w:val="TableContents"/>
                              <w:bidi w:val="0"/>
                              <w:spacing w:lineRule="atLeast" w:line="220" w:before="120" w:after="283"/>
                              <w:ind w:left="0" w:right="160" w:hanging="0"/>
                              <w:jc w:val="left"/>
                              <w:rPr>
                                <w:b w:val="false"/>
                              </w:rPr>
                            </w:pPr>
                            <w:r>
                              <w:rPr>
                                <w:b w:val="false"/>
                                <w:spacing w:val="-2"/>
                              </w:rPr>
                              <w:t xml:space="preserve">Executive Officer </w:t>
                              <w:br/>
                              <w:t xml:space="preserve">Since: </w:t>
                            </w:r>
                            <w:r>
                              <w:rPr>
                                <w:b/>
                                <w:spacing w:val="-2"/>
                              </w:rPr>
                              <w:t>2007</w:t>
                            </w:r>
                            <w:r>
                              <w:rPr>
                                <w:b w:val="false"/>
                              </w:rPr>
                              <w:t xml:space="preserve"> </w:t>
                              <w:br/>
                            </w:r>
                            <w:r>
                              <w:rPr>
                                <w:b w:val="false"/>
                                <w:spacing w:val="-2"/>
                              </w:rPr>
                              <w:t xml:space="preserve">Age: </w:t>
                            </w:r>
                            <w:r>
                              <w:rPr>
                                <w:b/>
                                <w:spacing w:val="-2"/>
                              </w:rPr>
                              <w:t>67</w:t>
                            </w:r>
                            <w:r>
                              <w:rPr>
                                <w:b w:val="false"/>
                              </w:rPr>
                              <w:t xml:space="preserve"> </w:t>
                            </w:r>
                          </w:p>
                        </w:tc>
                        <w:tc>
                          <w:tcPr>
                            <w:tcW w:w="109" w:type="dxa"/>
                            <w:tcBorders/>
                            <w:vAlign w:val="center"/>
                          </w:tcPr>
                          <w:p>
                            <w:pPr>
                              <w:pStyle w:val="TableContents"/>
                              <w:bidi w:val="0"/>
                              <w:spacing w:before="0" w:after="283"/>
                              <w:jc w:val="left"/>
                              <w:rPr/>
                            </w:pPr>
                            <w:r>
                              <w:rPr/>
                              <w:t>​</w:t>
                            </w:r>
                          </w:p>
                        </w:tc>
                        <w:tc>
                          <w:tcPr>
                            <w:tcW w:w="154" w:type="dxa"/>
                            <w:tcBorders/>
                            <w:shd w:fill="1F2668" w:val="clear"/>
                            <w:vAlign w:val="center"/>
                          </w:tcPr>
                          <w:p>
                            <w:pPr>
                              <w:pStyle w:val="TableContents"/>
                              <w:bidi w:val="0"/>
                              <w:spacing w:before="0" w:after="283"/>
                              <w:jc w:val="left"/>
                              <w:rPr/>
                            </w:pPr>
                            <w:r>
                              <w:rPr/>
                              <w:t>​</w:t>
                            </w:r>
                          </w:p>
                        </w:tc>
                      </w:tr>
                    </w:tbl>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254000" distR="0" simplePos="0" locked="0" layoutInCell="1" allowOverlap="1" relativeHeight="560">
                <wp:simplePos x="0" y="0"/>
                <wp:positionH relativeFrom="column">
                  <wp:align>left</wp:align>
                </wp:positionH>
                <wp:positionV relativeFrom="line">
                  <wp:posOffset>635</wp:posOffset>
                </wp:positionV>
                <wp:extent cx="4584700" cy="3422650"/>
                <wp:effectExtent l="0" t="0" r="0" b="0"/>
                <wp:wrapSquare wrapText="right"/>
                <wp:docPr id="600" name="Frame297"/>
                <a:graphic xmlns:a="http://schemas.openxmlformats.org/drawingml/2006/main">
                  <a:graphicData uri="http://schemas.microsoft.com/office/word/2010/wordprocessingShape">
                    <wps:wsp>
                      <wps:cNvSpPr txBox="1"/>
                      <wps:spPr>
                        <a:xfrm>
                          <a:off x="0" y="0"/>
                          <a:ext cx="4584700" cy="3422650"/>
                        </a:xfrm>
                        <a:prstGeom prst="rect"/>
                        <a:solidFill>
                          <a:srgbClr val="FFFFFF"/>
                        </a:solidFill>
                      </wps:spPr>
                      <wps:txbx>
                        <w:txbxContent>
                          <w:p>
                            <w:pPr>
                              <w:pStyle w:val="TextBody"/>
                              <w:bidi w:val="0"/>
                              <w:spacing w:lineRule="atLeast" w:line="240" w:before="0" w:after="0"/>
                              <w:jc w:val="left"/>
                              <w:rPr/>
                            </w:pPr>
                            <w:r>
                              <w:rPr>
                                <w:spacing w:val="-2"/>
                              </w:rPr>
                              <w:t>   </w:t>
                            </w:r>
                            <w:r>
                              <w:rPr/>
                              <w:t xml:space="preserve"> </w:t>
                            </w:r>
                          </w:p>
                          <w:p>
                            <w:pPr>
                              <w:pStyle w:val="TextBody"/>
                              <w:bidi w:val="0"/>
                              <w:spacing w:lineRule="atLeast" w:line="220" w:before="194" w:after="0"/>
                              <w:ind w:left="200" w:right="0" w:hanging="0"/>
                              <w:jc w:val="left"/>
                              <w:rPr/>
                            </w:pPr>
                            <w:r>
                              <w:rPr>
                                <w:spacing w:val="-2"/>
                              </w:rPr>
                              <w:t>Mr. Levine has served as our Chief Legal Officer and General Counsel since April 2007 and as our General Counsel, Executive Vice President and Secretary since November 2000.</w:t>
                            </w:r>
                            <w:r>
                              <w:rPr/>
                              <w:t xml:space="preserve"> </w:t>
                            </w:r>
                          </w:p>
                          <w:p>
                            <w:pPr>
                              <w:pStyle w:val="TextBody"/>
                              <w:bidi w:val="0"/>
                              <w:spacing w:before="0" w:after="0"/>
                              <w:ind w:left="0" w:right="0" w:hanging="0"/>
                              <w:jc w:val="left"/>
                              <w:rPr/>
                            </w:pPr>
                            <w:r>
                              <w:rPr/>
                              <w:t>​</w:t>
                            </w:r>
                          </w:p>
                          <w:p>
                            <w:pPr>
                              <w:pStyle w:val="TextBody"/>
                              <w:bidi w:val="0"/>
                              <w:spacing w:lineRule="atLeast" w:line="220" w:before="84" w:after="0"/>
                              <w:ind w:left="200" w:right="0" w:hanging="0"/>
                              <w:jc w:val="left"/>
                              <w:rPr/>
                            </w:pPr>
                            <w:r>
                              <w:rPr>
                                <w:spacing w:val="-2"/>
                              </w:rPr>
                              <w:t>Prior to joining the Company, Mr. Levine was a partner in the REIT and Real Estate Transactions and Business groups at the law firm of Pryor, Cashman, Sherman &amp; Flynn, LLP.</w:t>
                            </w:r>
                            <w:r>
                              <w:rPr/>
                              <w:t xml:space="preserve"> </w:t>
                            </w:r>
                          </w:p>
                          <w:p>
                            <w:pPr>
                              <w:pStyle w:val="TextBody"/>
                              <w:bidi w:val="0"/>
                              <w:spacing w:before="0" w:after="0"/>
                              <w:ind w:left="0" w:right="0" w:hanging="0"/>
                              <w:jc w:val="left"/>
                              <w:rPr/>
                            </w:pPr>
                            <w:r>
                              <w:rPr/>
                              <w:t>​</w:t>
                            </w:r>
                          </w:p>
                          <w:p>
                            <w:pPr>
                              <w:pStyle w:val="TextBody"/>
                              <w:bidi w:val="0"/>
                              <w:spacing w:lineRule="atLeast" w:line="220" w:before="84" w:after="0"/>
                              <w:ind w:left="200" w:right="0" w:hanging="0"/>
                              <w:jc w:val="left"/>
                              <w:rPr/>
                            </w:pPr>
                            <w:r>
                              <w:rPr>
                                <w:spacing w:val="-2"/>
                              </w:rPr>
                              <w:t>Prior to joining Pryor, Cashman, Sherman &amp; Flynn, LLP, Mr. Levine was a partner at the law firm of Dreyer &amp; Traub.</w:t>
                            </w:r>
                            <w:r>
                              <w:rPr/>
                              <w:t xml:space="preserve"> </w:t>
                            </w:r>
                          </w:p>
                          <w:p>
                            <w:pPr>
                              <w:pStyle w:val="TextBody"/>
                              <w:bidi w:val="0"/>
                              <w:spacing w:before="0" w:after="0"/>
                              <w:ind w:left="0" w:right="0" w:hanging="0"/>
                              <w:jc w:val="left"/>
                              <w:rPr/>
                            </w:pPr>
                            <w:r>
                              <w:rPr/>
                              <w:t>​</w:t>
                            </w:r>
                          </w:p>
                          <w:p>
                            <w:pPr>
                              <w:pStyle w:val="TextBody"/>
                              <w:bidi w:val="0"/>
                              <w:spacing w:lineRule="atLeast" w:line="220" w:before="84" w:after="0"/>
                              <w:ind w:left="200" w:right="0" w:hanging="0"/>
                              <w:jc w:val="left"/>
                              <w:rPr/>
                            </w:pPr>
                            <w:r>
                              <w:rPr>
                                <w:spacing w:val="-2"/>
                              </w:rPr>
                              <w:t>Mr. Levine received a B.A. degree from the University of Vermont and a J.D. degree from Rutgers School of Law, where Mr. Levine was an Editor of the Law Review.</w:t>
                            </w:r>
                            <w:r>
                              <w:rPr/>
                              <w:t xml:space="preserve"> </w:t>
                            </w:r>
                          </w:p>
                          <w:p>
                            <w:pPr>
                              <w:pStyle w:val="TextBody"/>
                              <w:bidi w:val="0"/>
                              <w:spacing w:before="0" w:after="0"/>
                              <w:ind w:left="0" w:right="0" w:hanging="0"/>
                              <w:jc w:val="left"/>
                              <w:rPr/>
                            </w:pPr>
                            <w:r>
                              <w:rPr/>
                              <w:t>​</w:t>
                            </w:r>
                          </w:p>
                          <w:p>
                            <w:pPr>
                              <w:pStyle w:val="TextBody"/>
                              <w:bidi w:val="0"/>
                              <w:spacing w:lineRule="atLeast" w:line="220" w:before="84" w:after="0"/>
                              <w:ind w:left="200" w:right="0" w:hanging="0"/>
                              <w:jc w:val="left"/>
                              <w:rPr/>
                            </w:pPr>
                            <w:r>
                              <w:rPr>
                                <w:spacing w:val="-2"/>
                              </w:rPr>
                              <w:t>He currently serves as a member of the Advisory Committee for Rutgers Center for Corporate Law and Governance.</w:t>
                            </w:r>
                            <w:r>
                              <w:rPr/>
                              <w:t xml:space="preserve"> </w:t>
                            </w:r>
                          </w:p>
                          <w:p>
                            <w:pPr>
                              <w:pStyle w:val="TextBody"/>
                              <w:bidi w:val="0"/>
                              <w:spacing w:before="0" w:after="0"/>
                              <w:ind w:left="0" w:right="0" w:hanging="0"/>
                              <w:jc w:val="left"/>
                              <w:rPr/>
                            </w:pPr>
                            <w:r>
                              <w:rPr/>
                              <w:t>​</w:t>
                            </w:r>
                          </w:p>
                        </w:txbxContent>
                      </wps:txbx>
                      <wps:bodyPr anchor="t" lIns="0" tIns="0" rIns="0" bIns="0">
                        <a:noAutofit/>
                      </wps:bodyPr>
                    </wps:wsp>
                  </a:graphicData>
                </a:graphic>
              </wp:anchor>
            </w:drawing>
          </mc:Choice>
          <mc:Fallback>
            <w:pict>
              <v:rect style="position:absolute;rotation:-0;width:361pt;height:269.5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0"/>
                        <w:jc w:val="left"/>
                        <w:rPr/>
                      </w:pPr>
                      <w:r>
                        <w:rPr>
                          <w:spacing w:val="-2"/>
                        </w:rPr>
                        <w:t>   </w:t>
                      </w:r>
                      <w:r>
                        <w:rPr/>
                        <w:t xml:space="preserve"> </w:t>
                      </w:r>
                    </w:p>
                    <w:p>
                      <w:pPr>
                        <w:pStyle w:val="TextBody"/>
                        <w:bidi w:val="0"/>
                        <w:spacing w:lineRule="atLeast" w:line="220" w:before="194" w:after="0"/>
                        <w:ind w:left="200" w:right="0" w:hanging="0"/>
                        <w:jc w:val="left"/>
                        <w:rPr/>
                      </w:pPr>
                      <w:r>
                        <w:rPr>
                          <w:spacing w:val="-2"/>
                        </w:rPr>
                        <w:t>Mr. Levine has served as our Chief Legal Officer and General Counsel since April 2007 and as our General Counsel, Executive Vice President and Secretary since November 2000.</w:t>
                      </w:r>
                      <w:r>
                        <w:rPr/>
                        <w:t xml:space="preserve"> </w:t>
                      </w:r>
                    </w:p>
                    <w:p>
                      <w:pPr>
                        <w:pStyle w:val="TextBody"/>
                        <w:bidi w:val="0"/>
                        <w:spacing w:before="0" w:after="0"/>
                        <w:ind w:left="0" w:right="0" w:hanging="0"/>
                        <w:jc w:val="left"/>
                        <w:rPr/>
                      </w:pPr>
                      <w:r>
                        <w:rPr/>
                        <w:t>​</w:t>
                      </w:r>
                    </w:p>
                    <w:p>
                      <w:pPr>
                        <w:pStyle w:val="TextBody"/>
                        <w:bidi w:val="0"/>
                        <w:spacing w:lineRule="atLeast" w:line="220" w:before="84" w:after="0"/>
                        <w:ind w:left="200" w:right="0" w:hanging="0"/>
                        <w:jc w:val="left"/>
                        <w:rPr/>
                      </w:pPr>
                      <w:r>
                        <w:rPr>
                          <w:spacing w:val="-2"/>
                        </w:rPr>
                        <w:t>Prior to joining the Company, Mr. Levine was a partner in the REIT and Real Estate Transactions and Business groups at the law firm of Pryor, Cashman, Sherman &amp; Flynn, LLP.</w:t>
                      </w:r>
                      <w:r>
                        <w:rPr/>
                        <w:t xml:space="preserve"> </w:t>
                      </w:r>
                    </w:p>
                    <w:p>
                      <w:pPr>
                        <w:pStyle w:val="TextBody"/>
                        <w:bidi w:val="0"/>
                        <w:spacing w:before="0" w:after="0"/>
                        <w:ind w:left="0" w:right="0" w:hanging="0"/>
                        <w:jc w:val="left"/>
                        <w:rPr/>
                      </w:pPr>
                      <w:r>
                        <w:rPr/>
                        <w:t>​</w:t>
                      </w:r>
                    </w:p>
                    <w:p>
                      <w:pPr>
                        <w:pStyle w:val="TextBody"/>
                        <w:bidi w:val="0"/>
                        <w:spacing w:lineRule="atLeast" w:line="220" w:before="84" w:after="0"/>
                        <w:ind w:left="200" w:right="0" w:hanging="0"/>
                        <w:jc w:val="left"/>
                        <w:rPr/>
                      </w:pPr>
                      <w:r>
                        <w:rPr>
                          <w:spacing w:val="-2"/>
                        </w:rPr>
                        <w:t>Prior to joining Pryor, Cashman, Sherman &amp; Flynn, LLP, Mr. Levine was a partner at the law firm of Dreyer &amp; Traub.</w:t>
                      </w:r>
                      <w:r>
                        <w:rPr/>
                        <w:t xml:space="preserve"> </w:t>
                      </w:r>
                    </w:p>
                    <w:p>
                      <w:pPr>
                        <w:pStyle w:val="TextBody"/>
                        <w:bidi w:val="0"/>
                        <w:spacing w:before="0" w:after="0"/>
                        <w:ind w:left="0" w:right="0" w:hanging="0"/>
                        <w:jc w:val="left"/>
                        <w:rPr/>
                      </w:pPr>
                      <w:r>
                        <w:rPr/>
                        <w:t>​</w:t>
                      </w:r>
                    </w:p>
                    <w:p>
                      <w:pPr>
                        <w:pStyle w:val="TextBody"/>
                        <w:bidi w:val="0"/>
                        <w:spacing w:lineRule="atLeast" w:line="220" w:before="84" w:after="0"/>
                        <w:ind w:left="200" w:right="0" w:hanging="0"/>
                        <w:jc w:val="left"/>
                        <w:rPr/>
                      </w:pPr>
                      <w:r>
                        <w:rPr>
                          <w:spacing w:val="-2"/>
                        </w:rPr>
                        <w:t>Mr. Levine received a B.A. degree from the University of Vermont and a J.D. degree from Rutgers School of Law, where Mr. Levine was an Editor of the Law Review.</w:t>
                      </w:r>
                      <w:r>
                        <w:rPr/>
                        <w:t xml:space="preserve"> </w:t>
                      </w:r>
                    </w:p>
                    <w:p>
                      <w:pPr>
                        <w:pStyle w:val="TextBody"/>
                        <w:bidi w:val="0"/>
                        <w:spacing w:before="0" w:after="0"/>
                        <w:ind w:left="0" w:right="0" w:hanging="0"/>
                        <w:jc w:val="left"/>
                        <w:rPr/>
                      </w:pPr>
                      <w:r>
                        <w:rPr/>
                        <w:t>​</w:t>
                      </w:r>
                    </w:p>
                    <w:p>
                      <w:pPr>
                        <w:pStyle w:val="TextBody"/>
                        <w:bidi w:val="0"/>
                        <w:spacing w:lineRule="atLeast" w:line="220" w:before="84" w:after="0"/>
                        <w:ind w:left="200" w:right="0" w:hanging="0"/>
                        <w:jc w:val="left"/>
                        <w:rPr/>
                      </w:pPr>
                      <w:r>
                        <w:rPr>
                          <w:spacing w:val="-2"/>
                        </w:rPr>
                        <w:t>He currently serves as a member of the Advisory Committee for Rutgers Center for Corporate Law and Governance.</w:t>
                      </w:r>
                      <w:r>
                        <w:rPr/>
                        <w:t xml:space="preserve"> </w:t>
                      </w:r>
                    </w:p>
                    <w:p>
                      <w:pPr>
                        <w:pStyle w:val="TextBody"/>
                        <w:bidi w:val="0"/>
                        <w:spacing w:before="0" w:after="0"/>
                        <w:ind w:left="0" w:right="0" w:hanging="0"/>
                        <w:jc w:val="left"/>
                        <w:rPr/>
                      </w:pPr>
                      <w:r>
                        <w:rPr/>
                        <w:t>​</w:t>
                      </w:r>
                    </w:p>
                  </w:txbxContent>
                </v:textbox>
                <w10:wrap type="square" side="right"/>
              </v:rect>
            </w:pict>
          </mc:Fallback>
        </mc:AlternateContent>
      </w:r>
      <w:r>
        <mc:AlternateContent>
          <mc:Choice Requires="wps">
            <w:drawing>
              <wp:anchor behindDoc="0" distT="123190" distB="0" distL="0" distR="0" simplePos="0" locked="0" layoutInCell="1" allowOverlap="1" relativeHeight="561">
                <wp:simplePos x="0" y="0"/>
                <wp:positionH relativeFrom="column">
                  <wp:align>left</wp:align>
                </wp:positionH>
                <wp:positionV relativeFrom="line">
                  <wp:align>top</wp:align>
                </wp:positionV>
                <wp:extent cx="127000" cy="350520"/>
                <wp:effectExtent l="0" t="0" r="0" b="0"/>
                <wp:wrapSquare wrapText="right"/>
                <wp:docPr id="601" name="Frame2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9.7pt;mso-wrap-distance-bottom:0pt;margin-top:9.7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53340" distB="0" distL="0" distR="0" simplePos="0" locked="0" layoutInCell="1" allowOverlap="1" relativeHeight="562">
                <wp:simplePos x="0" y="0"/>
                <wp:positionH relativeFrom="column">
                  <wp:align>left</wp:align>
                </wp:positionH>
                <wp:positionV relativeFrom="line">
                  <wp:align>top</wp:align>
                </wp:positionV>
                <wp:extent cx="127000" cy="350520"/>
                <wp:effectExtent l="0" t="0" r="0" b="0"/>
                <wp:wrapSquare wrapText="right"/>
                <wp:docPr id="602" name="Frame2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4.2pt;mso-wrap-distance-bottom:0pt;margin-top:4.2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53340" distB="0" distL="0" distR="0" simplePos="0" locked="0" layoutInCell="1" allowOverlap="1" relativeHeight="563">
                <wp:simplePos x="0" y="0"/>
                <wp:positionH relativeFrom="column">
                  <wp:align>left</wp:align>
                </wp:positionH>
                <wp:positionV relativeFrom="line">
                  <wp:align>top</wp:align>
                </wp:positionV>
                <wp:extent cx="127000" cy="350520"/>
                <wp:effectExtent l="0" t="0" r="0" b="0"/>
                <wp:wrapSquare wrapText="right"/>
                <wp:docPr id="603" name="Frame3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4.2pt;mso-wrap-distance-bottom:0pt;margin-top:4.2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53340" distB="0" distL="0" distR="0" simplePos="0" locked="0" layoutInCell="1" allowOverlap="1" relativeHeight="564">
                <wp:simplePos x="0" y="0"/>
                <wp:positionH relativeFrom="column">
                  <wp:align>left</wp:align>
                </wp:positionH>
                <wp:positionV relativeFrom="line">
                  <wp:align>top</wp:align>
                </wp:positionV>
                <wp:extent cx="127000" cy="350520"/>
                <wp:effectExtent l="0" t="0" r="0" b="0"/>
                <wp:wrapSquare wrapText="right"/>
                <wp:docPr id="604" name="Frame3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4.2pt;mso-wrap-distance-bottom:0pt;margin-top:4.2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53340" distB="0" distL="0" distR="0" simplePos="0" locked="0" layoutInCell="1" allowOverlap="1" relativeHeight="565">
                <wp:simplePos x="0" y="0"/>
                <wp:positionH relativeFrom="column">
                  <wp:align>left</wp:align>
                </wp:positionH>
                <wp:positionV relativeFrom="line">
                  <wp:align>top</wp:align>
                </wp:positionV>
                <wp:extent cx="127000" cy="350520"/>
                <wp:effectExtent l="0" t="0" r="0" b="0"/>
                <wp:wrapSquare wrapText="right"/>
                <wp:docPr id="605" name="Frame3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4.2pt;mso-wrap-distance-bottom:0pt;margin-top:4.2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 w:name="tPR2"/>
      <w:bookmarkEnd w:id="16"/>
      <w:r>
        <w:rPr>
          <w:rFonts w:ascii="calibri;arial;sans-serif" w:hAnsi="calibri;arial;sans-serif"/>
          <w:b w:val="false"/>
          <w:i w:val="false"/>
          <w:caps w:val="false"/>
          <w:smallCaps w:val="false"/>
          <w:color w:val="000000"/>
          <w:sz w:val="16"/>
        </w:rPr>
        <w:t>​</w:t>
      </w:r>
      <w:bookmarkStart w:id="17" w:name="tEXCO"/>
      <w:bookmarkEnd w:id="17"/>
      <w:r>
        <w:rPr>
          <w:rFonts w:ascii="calibri;arial;sans-serif" w:hAnsi="calibri;arial;sans-serif"/>
          <w:b w:val="false"/>
          <w:i w:val="false"/>
          <w:caps w:val="false"/>
          <w:smallCaps w:val="false"/>
          <w:color w:val="000000"/>
          <w:sz w:val="16"/>
        </w:rPr>
        <w:t xml:space="preserve">​ </w:t>
      </w:r>
    </w:p>
    <w:tbl>
      <w:tblPr>
        <w:tblW w:w="951" w:type="dxa"/>
        <w:jc w:val="left"/>
        <w:tblInd w:w="900" w:type="dxa"/>
        <w:tblLayout w:type="fixed"/>
        <w:tblCellMar>
          <w:top w:w="0" w:type="dxa"/>
          <w:left w:w="0" w:type="dxa"/>
          <w:bottom w:w="0" w:type="dxa"/>
          <w:right w:w="0" w:type="dxa"/>
        </w:tblCellMar>
      </w:tblPr>
      <w:tblGrid>
        <w:gridCol w:w="124"/>
        <w:gridCol w:w="346"/>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40</w:t>
              <w:br/>
              <w: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520" w:before="560" w:after="360"/>
        <w:ind w:left="900" w:right="0" w:hanging="0"/>
        <w:jc w:val="left"/>
        <w:rPr>
          <w:rFonts w:ascii="Arial;Helvetica;sans-serif" w:hAnsi="Arial;Helvetica;sans-serif"/>
          <w:b/>
          <w:i w:val="false"/>
          <w:caps w:val="false"/>
          <w:smallCaps w:val="false"/>
          <w:color w:val="1F2668"/>
          <w:sz w:val="42"/>
        </w:rPr>
      </w:pPr>
      <w:r>
        <w:rPr>
          <w:rFonts w:ascii="Arial;Helvetica;sans-serif" w:hAnsi="Arial;Helvetica;sans-serif"/>
          <w:b/>
          <w:i w:val="false"/>
          <w:caps/>
          <w:color w:val="1F2668"/>
          <w:spacing w:val="-4"/>
          <w:sz w:val="42"/>
        </w:rPr>
        <w:t>EXECUTIVE COMPENSATION</w:t>
      </w:r>
      <w:r>
        <w:rPr>
          <w:rFonts w:ascii="Arial;Helvetica;sans-serif" w:hAnsi="Arial;Helvetica;sans-serif"/>
          <w:b/>
          <w:i w:val="false"/>
          <w:caps w:val="false"/>
          <w:smallCaps w:val="false"/>
          <w:color w:val="000000"/>
          <w:spacing w:val="8"/>
          <w:sz w:val="42"/>
        </w:rPr>
        <w:t xml:space="preserve"> </w:t>
      </w:r>
    </w:p>
    <w:tbl>
      <w:tblPr>
        <w:tblW w:w="3018" w:type="dxa"/>
        <w:jc w:val="left"/>
        <w:tblInd w:w="0" w:type="dxa"/>
        <w:tblLayout w:type="fixed"/>
        <w:tblCellMar>
          <w:top w:w="0" w:type="dxa"/>
          <w:left w:w="0" w:type="dxa"/>
          <w:bottom w:w="0" w:type="dxa"/>
          <w:right w:w="0" w:type="dxa"/>
        </w:tblCellMar>
      </w:tblPr>
      <w:tblGrid>
        <w:gridCol w:w="124"/>
        <w:gridCol w:w="1652"/>
        <w:gridCol w:w="109"/>
        <w:gridCol w:w="109"/>
        <w:gridCol w:w="326"/>
        <w:gridCol w:w="109"/>
        <w:gridCol w:w="109"/>
        <w:gridCol w:w="326"/>
        <w:gridCol w:w="154"/>
      </w:tblGrid>
      <w:tr>
        <w:trPr/>
        <w:tc>
          <w:tcPr>
            <w:tcW w:w="124" w:type="dxa"/>
            <w:vMerge w:val="restart"/>
            <w:tcBorders/>
            <w:shd w:fill="E9F9D8" w:val="clear"/>
            <w:vAlign w:val="center"/>
          </w:tcPr>
          <w:p>
            <w:pPr>
              <w:pStyle w:val="TableContents"/>
              <w:bidi w:val="0"/>
              <w:spacing w:before="0" w:after="283"/>
              <w:jc w:val="left"/>
              <w:rPr/>
            </w:pPr>
            <w:r>
              <w:rPr/>
              <w:t>​</w:t>
            </w:r>
          </w:p>
        </w:tc>
        <w:tc>
          <w:tcPr>
            <w:tcW w:w="1652" w:type="dxa"/>
            <w:vMerge w:val="restart"/>
            <w:tcBorders/>
            <w:shd w:fill="E9F9D8" w:val="clear"/>
            <w:tcMar>
              <w:top w:w="28" w:type="dxa"/>
              <w:left w:w="28" w:type="dxa"/>
              <w:bottom w:w="28" w:type="dxa"/>
              <w:right w:w="28" w:type="dxa"/>
            </w:tcMar>
            <w:vAlign w:val="center"/>
          </w:tcPr>
          <w:p>
            <w:pPr>
              <w:pStyle w:val="TableContents"/>
              <w:bidi w:val="0"/>
              <w:spacing w:lineRule="atLeast" w:line="280" w:before="0" w:after="0"/>
              <w:jc w:val="left"/>
              <w:rPr>
                <w:b/>
                <w:color w:val="83AD40"/>
                <w:sz w:val="24"/>
              </w:rPr>
            </w:pPr>
            <w:r>
              <w:rPr>
                <w:b/>
                <w:color w:val="83AD40"/>
                <w:spacing w:val="-2"/>
                <w:sz w:val="24"/>
              </w:rPr>
              <w:t>PROPOSAL 2</w:t>
            </w:r>
            <w:r>
              <w:rPr>
                <w:b/>
                <w:color w:val="000000"/>
                <w:sz w:val="24"/>
              </w:rPr>
              <w:t>​</w:t>
            </w:r>
            <w:r>
              <w:rPr>
                <w:b/>
                <w:color w:val="83AD40"/>
                <w:sz w:val="24"/>
              </w:rPr>
              <w:t xml:space="preserve"> </w:t>
            </w:r>
          </w:p>
        </w:tc>
        <w:tc>
          <w:tcPr>
            <w:tcW w:w="109" w:type="dxa"/>
            <w:vMerge w:val="restart"/>
            <w:tcBorders/>
            <w:shd w:fill="E9F9D8" w:val="clear"/>
            <w:vAlign w:val="center"/>
          </w:tcPr>
          <w:p>
            <w:pPr>
              <w:pStyle w:val="TableContents"/>
              <w:bidi w:val="0"/>
              <w:spacing w:before="0" w:after="283"/>
              <w:jc w:val="left"/>
              <w:rPr/>
            </w:pPr>
            <w:r>
              <w:rPr/>
              <w:t>​</w:t>
            </w:r>
          </w:p>
        </w:tc>
        <w:tc>
          <w:tcPr>
            <w:tcW w:w="109" w:type="dxa"/>
            <w:tcBorders>
              <w:bottom w:val="single" w:sz="2" w:space="0" w:color="83AD40"/>
            </w:tcBorders>
            <w:shd w:fill="E9F9D8" w:val="clear"/>
            <w:tcMar>
              <w:bottom w:w="28" w:type="dxa"/>
            </w:tcMar>
            <w:vAlign w:val="center"/>
          </w:tcPr>
          <w:p>
            <w:pPr>
              <w:pStyle w:val="TableContents"/>
              <w:bidi w:val="0"/>
              <w:spacing w:before="0" w:after="283"/>
              <w:jc w:val="left"/>
              <w:rPr/>
            </w:pPr>
            <w:r>
              <w:rPr/>
              <w:t>​</w:t>
            </w:r>
          </w:p>
        </w:tc>
        <w:tc>
          <w:tcPr>
            <w:tcW w:w="326" w:type="dxa"/>
            <w:tcBorders>
              <w:bottom w:val="single" w:sz="2" w:space="0" w:color="83AD40"/>
            </w:tcBorders>
            <w:shd w:fill="E9F9D8" w:val="clear"/>
            <w:tcMar>
              <w:bottom w:w="28" w:type="dxa"/>
            </w:tcMar>
            <w:vAlign w:val="center"/>
          </w:tcPr>
          <w:p>
            <w:pPr>
              <w:pStyle w:val="TableContents"/>
              <w:bidi w:val="0"/>
              <w:spacing w:lineRule="atLeast" w:line="142" w:before="0" w:after="0"/>
              <w:jc w:val="left"/>
              <w:rPr>
                <w:spacing w:val="0"/>
              </w:rPr>
            </w:pPr>
            <w:r>
              <w:rPr>
                <w:spacing w:val="0"/>
              </w:rPr>
              <w:t xml:space="preserve">    </w:t>
            </w:r>
          </w:p>
        </w:tc>
        <w:tc>
          <w:tcPr>
            <w:tcW w:w="109" w:type="dxa"/>
            <w:tcBorders>
              <w:bottom w:val="single" w:sz="2" w:space="0" w:color="83AD40"/>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326" w:type="dxa"/>
            <w:tcBorders>
              <w:bottom w:val="single" w:sz="2" w:space="0" w:color="E9F9D8"/>
            </w:tcBorders>
            <w:shd w:fill="E9F9D8" w:val="clear"/>
            <w:tcMar>
              <w:bottom w:w="28" w:type="dxa"/>
            </w:tcMar>
            <w:vAlign w:val="center"/>
          </w:tcPr>
          <w:p>
            <w:pPr>
              <w:pStyle w:val="TableContents"/>
              <w:bidi w:val="0"/>
              <w:spacing w:lineRule="atLeast" w:line="142" w:before="0" w:after="0"/>
              <w:jc w:val="left"/>
              <w:rPr>
                <w:spacing w:val="0"/>
              </w:rPr>
            </w:pPr>
            <w:r>
              <w:rPr>
                <w:spacing w:val="0"/>
              </w:rPr>
              <w:t xml:space="preserve">    </w:t>
            </w:r>
          </w:p>
        </w:tc>
        <w:tc>
          <w:tcPr>
            <w:tcW w:w="154"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r>
      <w:tr>
        <w:trPr/>
        <w:tc>
          <w:tcPr>
            <w:tcW w:w="124" w:type="dxa"/>
            <w:vMerge w:val="continue"/>
            <w:tcBorders/>
            <w:shd w:fill="E9F9D8" w:val="clear"/>
            <w:vAlign w:val="center"/>
          </w:tcPr>
          <w:p>
            <w:pPr>
              <w:pStyle w:val="Normal"/>
              <w:bidi w:val="0"/>
              <w:jc w:val="left"/>
              <w:rPr/>
            </w:pPr>
            <w:r>
              <w:rPr/>
            </w:r>
          </w:p>
        </w:tc>
        <w:tc>
          <w:tcPr>
            <w:tcW w:w="1652" w:type="dxa"/>
            <w:vMerge w:val="continue"/>
            <w:tcBorders/>
            <w:shd w:fill="E9F9D8" w:val="clear"/>
            <w:tcMar>
              <w:top w:w="28" w:type="dxa"/>
              <w:left w:w="28" w:type="dxa"/>
              <w:bottom w:w="28" w:type="dxa"/>
              <w:right w:w="28" w:type="dxa"/>
            </w:tcMar>
            <w:vAlign w:val="center"/>
          </w:tcPr>
          <w:p>
            <w:pPr>
              <w:pStyle w:val="Normal"/>
              <w:bidi w:val="0"/>
              <w:jc w:val="left"/>
              <w:rPr/>
            </w:pPr>
            <w:r>
              <w:rPr/>
            </w:r>
          </w:p>
        </w:tc>
        <w:tc>
          <w:tcPr>
            <w:tcW w:w="109" w:type="dxa"/>
            <w:vMerge w:val="continue"/>
            <w:tcBorders/>
            <w:shd w:fill="E9F9D8" w:val="clear"/>
            <w:vAlign w:val="center"/>
          </w:tcPr>
          <w:p>
            <w:pPr>
              <w:pStyle w:val="Normal"/>
              <w:bidi w:val="0"/>
              <w:jc w:val="left"/>
              <w:rPr/>
            </w:pPr>
            <w:r>
              <w:rPr/>
            </w:r>
          </w:p>
        </w:tc>
        <w:tc>
          <w:tcPr>
            <w:tcW w:w="109" w:type="dxa"/>
            <w:tcBorders/>
            <w:shd w:fill="E9F9D8" w:val="clear"/>
            <w:vAlign w:val="center"/>
          </w:tcPr>
          <w:p>
            <w:pPr>
              <w:pStyle w:val="TableContents"/>
              <w:bidi w:val="0"/>
              <w:spacing w:before="0" w:after="283"/>
              <w:jc w:val="left"/>
              <w:rPr/>
            </w:pPr>
            <w:r>
              <w:rPr/>
              <w:t>​</w:t>
            </w:r>
          </w:p>
        </w:tc>
        <w:tc>
          <w:tcPr>
            <w:tcW w:w="326" w:type="dxa"/>
            <w:tcBorders/>
            <w:shd w:fill="E9F9D8" w:val="clear"/>
            <w:tcMar>
              <w:top w:w="28" w:type="dxa"/>
              <w:left w:w="28" w:type="dxa"/>
              <w:bottom w:w="28" w:type="dxa"/>
              <w:right w:w="28" w:type="dxa"/>
            </w:tcMar>
            <w:vAlign w:val="center"/>
          </w:tcPr>
          <w:p>
            <w:pPr>
              <w:pStyle w:val="TableContents"/>
              <w:bidi w:val="0"/>
              <w:spacing w:lineRule="atLeast" w:line="142" w:before="0" w:after="0"/>
              <w:jc w:val="left"/>
              <w:rPr>
                <w:spacing w:val="0"/>
              </w:rPr>
            </w:pPr>
            <w:r>
              <w:rPr>
                <w:spacing w:val="0"/>
              </w:rPr>
              <w:t xml:space="preserve">    </w:t>
            </w:r>
          </w:p>
        </w:tc>
        <w:tc>
          <w:tcPr>
            <w:tcW w:w="109" w:type="dxa"/>
            <w:tcBorders/>
            <w:shd w:fill="E9F9D8" w:val="clear"/>
            <w:vAlign w:val="center"/>
          </w:tcPr>
          <w:p>
            <w:pPr>
              <w:pStyle w:val="TableContents"/>
              <w:bidi w:val="0"/>
              <w:spacing w:before="0" w:after="283"/>
              <w:jc w:val="left"/>
              <w:rPr/>
            </w:pPr>
            <w:r>
              <w:rPr/>
              <w:t>​</w:t>
            </w:r>
          </w:p>
        </w:tc>
        <w:tc>
          <w:tcPr>
            <w:tcW w:w="109" w:type="dxa"/>
            <w:tcBorders/>
            <w:shd w:fill="E9F9D8" w:val="clear"/>
            <w:vAlign w:val="center"/>
          </w:tcPr>
          <w:p>
            <w:pPr>
              <w:pStyle w:val="TableContents"/>
              <w:bidi w:val="0"/>
              <w:spacing w:before="0" w:after="283"/>
              <w:jc w:val="left"/>
              <w:rPr/>
            </w:pPr>
            <w:r>
              <w:rPr/>
              <w:t>​</w:t>
            </w:r>
          </w:p>
        </w:tc>
        <w:tc>
          <w:tcPr>
            <w:tcW w:w="326" w:type="dxa"/>
            <w:tcBorders/>
            <w:shd w:fill="E9F9D8" w:val="clear"/>
            <w:tcMar>
              <w:top w:w="28" w:type="dxa"/>
              <w:left w:w="28" w:type="dxa"/>
              <w:bottom w:w="28" w:type="dxa"/>
              <w:right w:w="28" w:type="dxa"/>
            </w:tcMar>
            <w:vAlign w:val="center"/>
          </w:tcPr>
          <w:p>
            <w:pPr>
              <w:pStyle w:val="TableContents"/>
              <w:bidi w:val="0"/>
              <w:spacing w:lineRule="atLeast" w:line="142" w:before="0" w:after="0"/>
              <w:jc w:val="left"/>
              <w:rPr/>
            </w:pPr>
            <w:r>
              <w:rPr>
                <w:spacing w:val="0"/>
              </w:rPr>
              <w:t>   </w:t>
            </w:r>
            <w:r>
              <w:rPr/>
              <w:t xml:space="preserve"> </w:t>
            </w:r>
          </w:p>
        </w:tc>
        <w:tc>
          <w:tcPr>
            <w:tcW w:w="154" w:type="dxa"/>
            <w:tcBorders/>
            <w:shd w:fill="E9F9D8" w:val="clear"/>
            <w:vAlign w:val="center"/>
          </w:tcPr>
          <w:p>
            <w:pPr>
              <w:pStyle w:val="TableContents"/>
              <w:bidi w:val="0"/>
              <w:spacing w:before="0" w:after="283"/>
              <w:jc w:val="left"/>
              <w:rPr/>
            </w:pPr>
            <w:r>
              <w:rPr/>
              <w:t>​</w:t>
            </w:r>
          </w:p>
        </w:tc>
      </w:tr>
    </w:tbl>
    <w:tbl>
      <w:tblPr>
        <w:tblW w:w="10205" w:type="dxa"/>
        <w:jc w:val="left"/>
        <w:tblInd w:w="0" w:type="dxa"/>
        <w:tblLayout w:type="fixed"/>
        <w:tblCellMar>
          <w:top w:w="0" w:type="dxa"/>
          <w:left w:w="0" w:type="dxa"/>
          <w:bottom w:w="0" w:type="dxa"/>
          <w:right w:w="0" w:type="dxa"/>
        </w:tblCellMar>
      </w:tblPr>
      <w:tblGrid>
        <w:gridCol w:w="124"/>
        <w:gridCol w:w="9927"/>
        <w:gridCol w:w="154"/>
      </w:tblGrid>
      <w:tr>
        <w:trPr/>
        <w:tc>
          <w:tcPr>
            <w:tcW w:w="124" w:type="dxa"/>
            <w:tcBorders/>
            <w:shd w:fill="E9F9D8" w:val="clear"/>
            <w:vAlign w:val="center"/>
          </w:tcPr>
          <w:p>
            <w:pPr>
              <w:pStyle w:val="TableContents"/>
              <w:bidi w:val="0"/>
              <w:spacing w:before="0" w:after="283"/>
              <w:jc w:val="left"/>
              <w:rPr/>
            </w:pPr>
            <w:r>
              <w:rPr/>
              <w:t>​</w:t>
            </w:r>
          </w:p>
        </w:tc>
        <w:tc>
          <w:tcPr>
            <w:tcW w:w="9927" w:type="dxa"/>
            <w:tcBorders/>
            <w:shd w:fill="E9F9D8" w:val="clear"/>
            <w:vAlign w:val="center"/>
          </w:tcPr>
          <w:p>
            <w:pPr>
              <w:pStyle w:val="TableContents"/>
              <w:bidi w:val="0"/>
              <w:spacing w:lineRule="atLeast" w:line="410" w:before="0" w:after="0"/>
              <w:jc w:val="left"/>
              <w:rPr/>
            </w:pPr>
            <w:r>
              <w:rPr>
                <w:caps/>
                <w:spacing w:val="-4"/>
              </w:rPr>
              <w:t>ADVISORY VOTE ON THE COMPENSATION OF OUR NAMED EXECUTIVE OFFICERS</w:t>
            </w:r>
            <w:r>
              <w:rPr>
                <w:color w:val="000000"/>
              </w:rPr>
              <w:t>​</w:t>
            </w:r>
            <w:r>
              <w:rPr/>
              <w:t xml:space="preserve"> </w:t>
            </w:r>
          </w:p>
        </w:tc>
        <w:tc>
          <w:tcPr>
            <w:tcW w:w="154" w:type="dxa"/>
            <w:tcBorders/>
            <w:shd w:fill="E9F9D8" w:val="clear"/>
            <w:vAlign w:val="center"/>
          </w:tcPr>
          <w:p>
            <w:pPr>
              <w:pStyle w:val="TableContents"/>
              <w:bidi w:val="0"/>
              <w:spacing w:before="0" w:after="283"/>
              <w:jc w:val="left"/>
              <w:rPr/>
            </w:pPr>
            <w:r>
              <w:rPr/>
              <w:t>​</w:t>
            </w:r>
          </w:p>
        </w:tc>
      </w:tr>
      <w:tr>
        <w:trPr/>
        <w:tc>
          <w:tcPr>
            <w:tcW w:w="124" w:type="dxa"/>
            <w:tcBorders/>
            <w:shd w:fill="E9F9D8" w:val="clear"/>
            <w:vAlign w:val="center"/>
          </w:tcPr>
          <w:p>
            <w:pPr>
              <w:pStyle w:val="TableContents"/>
              <w:bidi w:val="0"/>
              <w:spacing w:before="0" w:after="283"/>
              <w:jc w:val="left"/>
              <w:rPr/>
            </w:pPr>
            <w:r>
              <w:rPr/>
              <w:t>​</w:t>
            </w:r>
          </w:p>
        </w:tc>
        <w:tc>
          <w:tcPr>
            <w:tcW w:w="9927" w:type="dxa"/>
            <w:tcBorders/>
            <w:shd w:fill="E9F9D8" w:val="clear"/>
            <w:vAlign w:val="center"/>
          </w:tcPr>
          <w:p>
            <w:pPr>
              <w:pStyle w:val="TableContents"/>
              <w:bidi w:val="0"/>
              <w:spacing w:lineRule="atLeast" w:line="220" w:before="0" w:after="0"/>
              <w:jc w:val="left"/>
              <w:rPr>
                <w:spacing w:val="-2"/>
              </w:rPr>
            </w:pPr>
            <w:r>
              <w:rPr>
                <w:spacing w:val="-2"/>
              </w:rPr>
              <w:t xml:space="preserve">In accordance with the requirements of Section 14A(a)(1) of the Securities Exchange Act of 1934, as amended, and related SEC rules, we are asking our stockholders to vote to approve, on a non-binding, advisory basis, the compensation of our named executive officers, as disclosed in this proxy statement. This is commonly known as, and is referred to herein as, a “say-on-pay” proposal or resolution. </w:t>
            </w:r>
          </w:p>
        </w:tc>
        <w:tc>
          <w:tcPr>
            <w:tcW w:w="154" w:type="dxa"/>
            <w:tcBorders/>
            <w:shd w:fill="E9F9D8" w:val="clear"/>
            <w:vAlign w:val="center"/>
          </w:tcPr>
          <w:p>
            <w:pPr>
              <w:pStyle w:val="TableContents"/>
              <w:bidi w:val="0"/>
              <w:spacing w:before="0" w:after="283"/>
              <w:jc w:val="left"/>
              <w:rPr/>
            </w:pPr>
            <w:r>
              <w:rPr/>
              <w:t>​</w:t>
            </w:r>
          </w:p>
        </w:tc>
      </w:tr>
      <w:tr>
        <w:trPr/>
        <w:tc>
          <w:tcPr>
            <w:tcW w:w="124" w:type="dxa"/>
            <w:tcBorders/>
            <w:shd w:fill="E9F9D8" w:val="clear"/>
            <w:vAlign w:val="center"/>
          </w:tcPr>
          <w:p>
            <w:pPr>
              <w:pStyle w:val="TableContents"/>
              <w:bidi w:val="0"/>
              <w:spacing w:before="0" w:after="283"/>
              <w:jc w:val="left"/>
              <w:rPr/>
            </w:pPr>
            <w:r>
              <w:rPr/>
              <w:t>​</w:t>
            </w:r>
          </w:p>
        </w:tc>
        <w:tc>
          <w:tcPr>
            <w:tcW w:w="9927" w:type="dxa"/>
            <w:tcBorders/>
            <w:shd w:fill="E9F9D8" w:val="clear"/>
            <w:vAlign w:val="center"/>
          </w:tcPr>
          <w:p>
            <w:pPr>
              <w:pStyle w:val="TableContents"/>
              <w:bidi w:val="0"/>
              <w:spacing w:lineRule="atLeast" w:line="220" w:before="0" w:after="0"/>
              <w:jc w:val="left"/>
              <w:rPr>
                <w:spacing w:val="-2"/>
              </w:rPr>
            </w:pPr>
            <w:r>
              <w:rPr>
                <w:spacing w:val="-2"/>
              </w:rPr>
              <w:t xml:space="preserve">At our 2023 annual stockholder meeting, our stockholders voted, on a non-binding, advisory basis, by an affirmative vote of a majority of all votes cast, that the Company should continue to hold future non-binding advisory votes on executive compensation on an annual basis. On June 5, 2023, the Board determined that it will include future advisory votes on the compensation of our named executive officers in the Company’s annual meeting proxy materials every year until the next advisory vote on the frequency of stockholder votes on executive compensation, which will occur no later than the 2029 annual meeting of stockholders. </w:t>
            </w:r>
          </w:p>
        </w:tc>
        <w:tc>
          <w:tcPr>
            <w:tcW w:w="154" w:type="dxa"/>
            <w:tcBorders/>
            <w:shd w:fill="E9F9D8" w:val="clear"/>
            <w:vAlign w:val="center"/>
          </w:tcPr>
          <w:p>
            <w:pPr>
              <w:pStyle w:val="TableContents"/>
              <w:bidi w:val="0"/>
              <w:spacing w:before="0" w:after="283"/>
              <w:jc w:val="left"/>
              <w:rPr/>
            </w:pPr>
            <w:r>
              <w:rPr/>
              <w:t>​</w:t>
            </w:r>
          </w:p>
        </w:tc>
      </w:tr>
      <w:tr>
        <w:trPr/>
        <w:tc>
          <w:tcPr>
            <w:tcW w:w="124" w:type="dxa"/>
            <w:tcBorders/>
            <w:shd w:fill="E9F9D8" w:val="clear"/>
            <w:vAlign w:val="center"/>
          </w:tcPr>
          <w:p>
            <w:pPr>
              <w:pStyle w:val="TableContents"/>
              <w:bidi w:val="0"/>
              <w:spacing w:before="0" w:after="283"/>
              <w:jc w:val="left"/>
              <w:rPr/>
            </w:pPr>
            <w:r>
              <w:rPr/>
              <w:t>​</w:t>
            </w:r>
          </w:p>
        </w:tc>
        <w:tc>
          <w:tcPr>
            <w:tcW w:w="9927" w:type="dxa"/>
            <w:tcBorders/>
            <w:shd w:fill="E9F9D8" w:val="clear"/>
            <w:vAlign w:val="center"/>
          </w:tcPr>
          <w:p>
            <w:pPr>
              <w:pStyle w:val="TableContents"/>
              <w:bidi w:val="0"/>
              <w:spacing w:lineRule="atLeast" w:line="220" w:before="0" w:after="0"/>
              <w:jc w:val="left"/>
              <w:rPr>
                <w:spacing w:val="-2"/>
              </w:rPr>
            </w:pPr>
            <w:r>
              <w:rPr>
                <w:spacing w:val="-2"/>
              </w:rPr>
              <w:t xml:space="preserve">Accordingly, the Company is providing stockholders with the opportunity to approve the following non-binding, advisory resolution: </w:t>
            </w:r>
          </w:p>
        </w:tc>
        <w:tc>
          <w:tcPr>
            <w:tcW w:w="154" w:type="dxa"/>
            <w:tcBorders/>
            <w:shd w:fill="E9F9D8" w:val="clear"/>
            <w:vAlign w:val="center"/>
          </w:tcPr>
          <w:p>
            <w:pPr>
              <w:pStyle w:val="TableContents"/>
              <w:bidi w:val="0"/>
              <w:spacing w:before="0" w:after="283"/>
              <w:jc w:val="left"/>
              <w:rPr/>
            </w:pPr>
            <w:r>
              <w:rPr/>
              <w:t>​</w:t>
            </w:r>
          </w:p>
        </w:tc>
      </w:tr>
      <w:tr>
        <w:trPr/>
        <w:tc>
          <w:tcPr>
            <w:tcW w:w="124" w:type="dxa"/>
            <w:tcBorders/>
            <w:shd w:fill="E9F9D8" w:val="clear"/>
            <w:vAlign w:val="center"/>
          </w:tcPr>
          <w:p>
            <w:pPr>
              <w:pStyle w:val="TableContents"/>
              <w:bidi w:val="0"/>
              <w:spacing w:before="0" w:after="283"/>
              <w:jc w:val="left"/>
              <w:rPr/>
            </w:pPr>
            <w:r>
              <w:rPr/>
              <w:t>​</w:t>
            </w:r>
          </w:p>
        </w:tc>
        <w:tc>
          <w:tcPr>
            <w:tcW w:w="9927" w:type="dxa"/>
            <w:tcBorders/>
            <w:shd w:fill="E9F9D8" w:val="clear"/>
            <w:vAlign w:val="center"/>
          </w:tcPr>
          <w:p>
            <w:pPr>
              <w:pStyle w:val="TableContents"/>
              <w:bidi w:val="0"/>
              <w:spacing w:lineRule="atLeast" w:line="220" w:before="0" w:after="0"/>
              <w:jc w:val="left"/>
              <w:rPr>
                <w:spacing w:val="-2"/>
              </w:rPr>
            </w:pPr>
            <w:r>
              <w:rPr>
                <w:spacing w:val="-2"/>
              </w:rPr>
              <w:t>“</w:t>
            </w:r>
            <w:r>
              <w:rPr>
                <w:spacing w:val="-2"/>
              </w:rPr>
              <w:t xml:space="preserve">RESOLVED, that the compensation paid to the Company’s named executive officers, as disclosed in this proxy statement pursuant to Item 402 of Regulation S-K, including the Compensation Discussion and Analysis, compensation tables and narrative discussion, is hereby APPROVED.” </w:t>
            </w:r>
          </w:p>
        </w:tc>
        <w:tc>
          <w:tcPr>
            <w:tcW w:w="154" w:type="dxa"/>
            <w:tcBorders/>
            <w:shd w:fill="E9F9D8" w:val="clear"/>
            <w:vAlign w:val="center"/>
          </w:tcPr>
          <w:p>
            <w:pPr>
              <w:pStyle w:val="TableContents"/>
              <w:bidi w:val="0"/>
              <w:spacing w:before="0" w:after="283"/>
              <w:jc w:val="left"/>
              <w:rPr/>
            </w:pPr>
            <w:r>
              <w:rPr/>
              <w:t>​</w:t>
            </w:r>
          </w:p>
        </w:tc>
      </w:tr>
      <w:tr>
        <w:trPr/>
        <w:tc>
          <w:tcPr>
            <w:tcW w:w="124" w:type="dxa"/>
            <w:tcBorders/>
            <w:shd w:fill="E9F9D8" w:val="clear"/>
            <w:vAlign w:val="center"/>
          </w:tcPr>
          <w:p>
            <w:pPr>
              <w:pStyle w:val="TableContents"/>
              <w:bidi w:val="0"/>
              <w:spacing w:before="0" w:after="283"/>
              <w:jc w:val="left"/>
              <w:rPr/>
            </w:pPr>
            <w:r>
              <w:rPr/>
              <w:t>​</w:t>
            </w:r>
          </w:p>
        </w:tc>
        <w:tc>
          <w:tcPr>
            <w:tcW w:w="9927" w:type="dxa"/>
            <w:tcBorders/>
            <w:shd w:fill="E9F9D8" w:val="clear"/>
            <w:vAlign w:val="center"/>
          </w:tcPr>
          <w:p>
            <w:pPr>
              <w:pStyle w:val="TableContents"/>
              <w:bidi w:val="0"/>
              <w:spacing w:lineRule="atLeast" w:line="220" w:before="0" w:after="0"/>
              <w:jc w:val="left"/>
              <w:rPr>
                <w:spacing w:val="-2"/>
              </w:rPr>
            </w:pPr>
            <w:r>
              <w:rPr>
                <w:spacing w:val="-2"/>
              </w:rPr>
              <w:t xml:space="preserve">The affirmative vote of a majority of all the votes cast with respect to this proposal will be required to approve this proposal. </w:t>
            </w:r>
          </w:p>
        </w:tc>
        <w:tc>
          <w:tcPr>
            <w:tcW w:w="154" w:type="dxa"/>
            <w:tcBorders/>
            <w:shd w:fill="E9F9D8" w:val="clear"/>
            <w:vAlign w:val="center"/>
          </w:tcPr>
          <w:p>
            <w:pPr>
              <w:pStyle w:val="TableContents"/>
              <w:bidi w:val="0"/>
              <w:spacing w:before="0" w:after="283"/>
              <w:jc w:val="left"/>
              <w:rPr/>
            </w:pPr>
            <w:r>
              <w:rPr/>
              <w:t>​</w:t>
            </w:r>
          </w:p>
        </w:tc>
      </w:tr>
      <w:tr>
        <w:trPr/>
        <w:tc>
          <w:tcPr>
            <w:tcW w:w="124" w:type="dxa"/>
            <w:tcBorders/>
            <w:shd w:fill="E9F9D8" w:val="clear"/>
            <w:vAlign w:val="center"/>
          </w:tcPr>
          <w:p>
            <w:pPr>
              <w:pStyle w:val="TableContents"/>
              <w:bidi w:val="0"/>
              <w:spacing w:before="0" w:after="283"/>
              <w:jc w:val="left"/>
              <w:rPr/>
            </w:pPr>
            <w:r>
              <w:rPr/>
              <w:t>​</w:t>
            </w:r>
          </w:p>
        </w:tc>
        <w:tc>
          <w:tcPr>
            <w:tcW w:w="9927" w:type="dxa"/>
            <w:tcBorders/>
            <w:shd w:fill="E9F9D8" w:val="clear"/>
            <w:vAlign w:val="center"/>
          </w:tcPr>
          <w:p>
            <w:pPr>
              <w:pStyle w:val="TableContents"/>
              <w:bidi w:val="0"/>
              <w:spacing w:lineRule="atLeast" w:line="220" w:before="0" w:after="0"/>
              <w:jc w:val="left"/>
              <w:rPr/>
            </w:pPr>
            <w:r>
              <w:rPr>
                <w:spacing w:val="-2"/>
              </w:rPr>
              <w:t>The results of this advisory vote are not binding on the Compensation Committee, the Company or the Board. Nevertheless, we value input from our stockholders and will consider carefully the results of this vote when making future decisions concerning executive compensation.</w:t>
            </w:r>
            <w:r>
              <w:rPr/>
              <w:t xml:space="preserve"> </w:t>
            </w:r>
          </w:p>
        </w:tc>
        <w:tc>
          <w:tcPr>
            <w:tcW w:w="154" w:type="dxa"/>
            <w:tcBorders/>
            <w:shd w:fill="E9F9D8" w:val="clear"/>
            <w:vAlign w:val="center"/>
          </w:tcPr>
          <w:p>
            <w:pPr>
              <w:pStyle w:val="TableContents"/>
              <w:bidi w:val="0"/>
              <w:spacing w:before="0" w:after="283"/>
              <w:jc w:val="left"/>
              <w:rPr/>
            </w:pPr>
            <w:r>
              <w:rPr/>
              <w:t>​</w:t>
            </w:r>
          </w:p>
        </w:tc>
      </w:tr>
    </w:tbl>
    <w:tbl>
      <w:tblPr>
        <w:tblW w:w="10205" w:type="dxa"/>
        <w:jc w:val="left"/>
        <w:tblInd w:w="0" w:type="dxa"/>
        <w:tblLayout w:type="fixed"/>
        <w:tblCellMar>
          <w:top w:w="0" w:type="dxa"/>
          <w:left w:w="0" w:type="dxa"/>
          <w:bottom w:w="0" w:type="dxa"/>
          <w:right w:w="0" w:type="dxa"/>
        </w:tblCellMar>
      </w:tblPr>
      <w:tblGrid>
        <w:gridCol w:w="124"/>
        <w:gridCol w:w="109"/>
        <w:gridCol w:w="8668"/>
        <w:gridCol w:w="109"/>
        <w:gridCol w:w="109"/>
        <w:gridCol w:w="822"/>
        <w:gridCol w:w="109"/>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96" w:space="0" w:color="E9F9D8"/>
            </w:tcBorders>
            <w:tcMar>
              <w:bottom w:w="28" w:type="dxa"/>
            </w:tcMar>
            <w:vAlign w:val="center"/>
          </w:tcPr>
          <w:p>
            <w:pPr>
              <w:pStyle w:val="TableContents"/>
              <w:bidi w:val="0"/>
              <w:spacing w:before="0" w:after="283"/>
              <w:jc w:val="left"/>
              <w:rPr/>
            </w:pPr>
            <w:r>
              <w:rPr/>
              <w:t>​</w:t>
            </w:r>
          </w:p>
        </w:tc>
        <w:tc>
          <w:tcPr>
            <w:tcW w:w="8668" w:type="dxa"/>
            <w:tcBorders>
              <w:bottom w:val="single" w:sz="96" w:space="0" w:color="E9F9D8"/>
            </w:tcBorders>
            <w:tcMar>
              <w:bottom w:w="130" w:type="dxa"/>
            </w:tcMar>
            <w:vAlign w:val="center"/>
          </w:tcPr>
          <w:p>
            <w:pPr>
              <w:pStyle w:val="TableContents"/>
              <w:bidi w:val="0"/>
              <w:spacing w:lineRule="atLeast" w:line="260" w:before="0" w:after="0"/>
              <w:jc w:val="left"/>
              <w:rPr/>
            </w:pPr>
            <w:r>
              <w:rPr>
                <w:spacing w:val="-2"/>
              </w:rPr>
              <w:t>The Board unanimously recommends a vote </w:t>
            </w:r>
            <w:r>
              <w:rPr>
                <w:color w:val="83AD40"/>
              </w:rPr>
              <w:t>“FOR”</w:t>
            </w:r>
            <w:r>
              <w:rPr>
                <w:spacing w:val="-2"/>
              </w:rPr>
              <w:t xml:space="preserve"> the above resolution regarding the compensation of our named executive officers, as disclosed in the Compensation Discussion and Analysis section and the accompanying compensation tables and narrative discussion in this Proxy Statement. </w:t>
            </w:r>
          </w:p>
        </w:tc>
        <w:tc>
          <w:tcPr>
            <w:tcW w:w="109" w:type="dxa"/>
            <w:tcBorders>
              <w:bottom w:val="single" w:sz="96" w:space="0" w:color="E9F9D8"/>
            </w:tcBorders>
            <w:tcMar>
              <w:bottom w:w="28" w:type="dxa"/>
            </w:tcMar>
            <w:vAlign w:val="center"/>
          </w:tcPr>
          <w:p>
            <w:pPr>
              <w:pStyle w:val="TableContents"/>
              <w:bidi w:val="0"/>
              <w:spacing w:before="0" w:after="283"/>
              <w:jc w:val="left"/>
              <w:rPr/>
            </w:pPr>
            <w:r>
              <w:rPr/>
              <w:t>​</w:t>
            </w:r>
          </w:p>
        </w:tc>
        <w:tc>
          <w:tcPr>
            <w:tcW w:w="109" w:type="dxa"/>
            <w:tcBorders>
              <w:bottom w:val="single" w:sz="96" w:space="0" w:color="E9F9D8"/>
            </w:tcBorders>
            <w:tcMar>
              <w:bottom w:w="28" w:type="dxa"/>
            </w:tcMar>
            <w:vAlign w:val="center"/>
          </w:tcPr>
          <w:p>
            <w:pPr>
              <w:pStyle w:val="TableContents"/>
              <w:bidi w:val="0"/>
              <w:spacing w:before="0" w:after="283"/>
              <w:jc w:val="left"/>
              <w:rPr/>
            </w:pPr>
            <w:r>
              <w:rPr/>
              <w:t>​</w:t>
            </w:r>
          </w:p>
        </w:tc>
        <w:tc>
          <w:tcPr>
            <w:tcW w:w="822" w:type="dxa"/>
            <w:tcBorders>
              <w:bottom w:val="single" w:sz="96" w:space="0" w:color="E9F9D8"/>
            </w:tcBorders>
            <w:tcMar>
              <w:bottom w:w="130" w:type="dxa"/>
            </w:tcMar>
            <w:vAlign w:val="center"/>
          </w:tcPr>
          <w:p>
            <w:pPr>
              <w:pStyle w:val="TableContents"/>
              <w:bidi w:val="0"/>
              <w:spacing w:before="0" w:after="283"/>
              <w:jc w:val="center"/>
              <w:rPr/>
            </w:pPr>
            <w:r>
              <w:rPr/>
              <w:drawing>
                <wp:inline distT="0" distB="0" distL="0" distR="0">
                  <wp:extent cx="457200" cy="457200"/>
                  <wp:effectExtent l="0" t="0" r="0" b="0"/>
                  <wp:docPr id="606" name="Image2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6" name="Image220" descr=""/>
                          <pic:cNvPicPr>
                            <a:picLocks noChangeAspect="1" noChangeArrowheads="1"/>
                          </pic:cNvPicPr>
                        </pic:nvPicPr>
                        <pic:blipFill>
                          <a:blip r:embed="rId311"/>
                          <a:stretch>
                            <a:fillRect/>
                          </a:stretch>
                        </pic:blipFill>
                        <pic:spPr bwMode="auto">
                          <a:xfrm>
                            <a:off x="0" y="0"/>
                            <a:ext cx="457200" cy="457200"/>
                          </a:xfrm>
                          <a:prstGeom prst="rect">
                            <a:avLst/>
                          </a:prstGeom>
                        </pic:spPr>
                      </pic:pic>
                    </a:graphicData>
                  </a:graphic>
                </wp:inline>
              </w:drawing>
            </w:r>
            <w:r>
              <w:rPr/>
              <w:t xml:space="preserve"> </w:t>
            </w:r>
          </w:p>
        </w:tc>
        <w:tc>
          <w:tcPr>
            <w:tcW w:w="109" w:type="dxa"/>
            <w:tcBorders>
              <w:bottom w:val="single" w:sz="96" w:space="0" w:color="E9F9D8"/>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 w:name="tCDAA"/>
      <w:bookmarkEnd w:id="18"/>
      <w:r>
        <w:rPr>
          <w:rFonts w:ascii="calibri;arial;sans-serif" w:hAnsi="calibri;arial;sans-serif"/>
          <w:b w:val="false"/>
          <w:i w:val="false"/>
          <w:caps w:val="false"/>
          <w:smallCaps w:val="false"/>
          <w:color w:val="000000"/>
          <w:sz w:val="16"/>
        </w:rPr>
        <w:t xml:space="preserve">​ </w:t>
      </w:r>
    </w:p>
    <w:tbl>
      <w:tblPr>
        <w:tblW w:w="4330" w:type="dxa"/>
        <w:jc w:val="left"/>
        <w:tblInd w:w="900" w:type="dxa"/>
        <w:tblLayout w:type="fixed"/>
        <w:tblCellMar>
          <w:top w:w="0" w:type="dxa"/>
          <w:left w:w="0" w:type="dxa"/>
          <w:bottom w:w="0" w:type="dxa"/>
          <w:right w:w="0" w:type="dxa"/>
        </w:tblCellMar>
      </w:tblPr>
      <w:tblGrid>
        <w:gridCol w:w="124"/>
        <w:gridCol w:w="3488"/>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3488" w:type="dxa"/>
            <w:tcBorders/>
            <w:vAlign w:val="center"/>
          </w:tcPr>
          <w:p>
            <w:pPr>
              <w:pStyle w:val="TableContents"/>
              <w:bidi w:val="0"/>
              <w:spacing w:lineRule="atLeast" w:line="200" w:before="0" w:after="0"/>
              <w:jc w:val="left"/>
              <w:rPr/>
            </w:pPr>
            <w:r>
              <w:rPr>
                <w:spacing w:val="-2"/>
              </w:rPr>
              <w:t>EXECUTIVE COMPENSATION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color w:val="1F2668"/>
                <w:sz w:val="24"/>
              </w:rPr>
            </w:pPr>
            <w:r>
              <w:rPr>
                <w:color w:val="1F2668"/>
                <w:sz w:val="24"/>
              </w:rPr>
              <w:t>41</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360" w:before="560" w:after="154"/>
        <w:ind w:left="900" w:right="0" w:hanging="0"/>
        <w:jc w:val="left"/>
        <w:rPr>
          <w:rFonts w:ascii="Arial;Helvetica;sans-serif" w:hAnsi="Arial;Helvetica;sans-serif"/>
          <w:b/>
          <w:i w:val="false"/>
          <w:caps w:val="false"/>
          <w:smallCaps w:val="false"/>
          <w:color w:val="83AD40"/>
          <w:sz w:val="32"/>
        </w:rPr>
      </w:pPr>
      <w:r>
        <w:rPr>
          <w:rFonts w:ascii="Arial;Helvetica;sans-serif" w:hAnsi="Arial;Helvetica;sans-serif"/>
          <w:b/>
          <w:i w:val="false"/>
          <w:caps/>
          <w:color w:val="83AD40"/>
          <w:spacing w:val="-3"/>
          <w:sz w:val="32"/>
        </w:rPr>
        <w:t>COMPENSATION DISCUSSION AND ANALYSIS</w:t>
      </w:r>
      <w:r>
        <w:rPr>
          <w:rFonts w:ascii="Arial;Helvetica;sans-serif" w:hAnsi="Arial;Helvetica;sans-serif"/>
          <w:b/>
          <w:i w:val="false"/>
          <w:caps w:val="false"/>
          <w:smallCaps w:val="false"/>
          <w:color w:val="000000"/>
          <w:spacing w:val="6"/>
          <w:sz w:val="32"/>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This section of our proxy statement discusses the principles underlying our executive compensation policies and decisions and the most important factors relevant to an analysis of these policies and decisions. It provides qualitative and quantitative information regarding the manner and context in which compensation is awarded to, and earned by, our named executive officers and places in perspective the data presented in the tables and narrative that follow.</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Throughout this proxy statement, the individuals who served as our Chief Executive Officer, Chief Financial Officer and Chief Legal Officer and General Counsel during our 2025 fiscal year are referred to as the “named executive officers,” “our NEOs” or our “executives.” In this section, references to the “Committee” mean the Compensation Committee of the Board of Directors.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300" w:before="360" w:after="283"/>
        <w:jc w:val="left"/>
        <w:rPr>
          <w:rFonts w:ascii="Arial;Helvetica;sans-serif" w:hAnsi="Arial;Helvetica;sans-serif"/>
          <w:b/>
          <w:i w:val="false"/>
          <w:caps w:val="false"/>
          <w:smallCaps w:val="false"/>
          <w:color w:val="1F2668"/>
          <w:sz w:val="26"/>
        </w:rPr>
      </w:pPr>
      <w:r>
        <w:rPr>
          <w:rFonts w:ascii="Arial;Helvetica;sans-serif" w:hAnsi="Arial;Helvetica;sans-serif"/>
          <w:b/>
          <w:i w:val="false"/>
          <w:caps w:val="false"/>
          <w:smallCaps w:val="false"/>
          <w:color w:val="1F2668"/>
          <w:spacing w:val="-3"/>
          <w:sz w:val="26"/>
        </w:rPr>
        <w:t>Executive Summary</w:t>
      </w:r>
      <w:r>
        <w:rPr>
          <w:rFonts w:ascii="Arial;Helvetica;sans-serif" w:hAnsi="Arial;Helvetica;sans-serif"/>
          <w:b/>
          <w:i w:val="false"/>
          <w:caps w:val="false"/>
          <w:smallCaps w:val="false"/>
          <w:color w:val="000000"/>
          <w:spacing w:val="5"/>
          <w:sz w:val="26"/>
        </w:rPr>
        <w:t xml:space="preserve"> </w:t>
      </w:r>
    </w:p>
    <w:p>
      <w:pPr>
        <w:pStyle w:val="TextBody"/>
        <w:bidi w:val="0"/>
        <w:spacing w:lineRule="atLeast" w:line="260" w:before="120" w:after="283"/>
        <w:jc w:val="left"/>
        <w:rPr>
          <w:rFonts w:ascii="Arial;Helvetica;sans-serif" w:hAnsi="Arial;Helvetica;sans-serif"/>
          <w:b/>
          <w:i w:val="false"/>
          <w:caps w:val="false"/>
          <w:smallCaps w:val="false"/>
          <w:color w:val="83AD40"/>
          <w:sz w:val="22"/>
        </w:rPr>
      </w:pPr>
      <w:r>
        <w:rPr>
          <w:rFonts w:ascii="Arial;Helvetica;sans-serif" w:hAnsi="Arial;Helvetica;sans-serif"/>
          <w:b/>
          <w:i w:val="false"/>
          <w:caps w:val="false"/>
          <w:smallCaps w:val="false"/>
          <w:color w:val="83AD40"/>
          <w:spacing w:val="-2"/>
          <w:sz w:val="22"/>
        </w:rPr>
        <w:t>Named Executive Officers</w:t>
      </w:r>
      <w:r>
        <w:rPr>
          <w:rFonts w:ascii="Arial;Helvetica;sans-serif" w:hAnsi="Arial;Helvetica;sans-serif"/>
          <w:b/>
          <w:i w:val="false"/>
          <w:caps w:val="false"/>
          <w:smallCaps w:val="false"/>
          <w:color w:val="000000"/>
          <w:spacing w:val="4"/>
          <w:sz w:val="22"/>
        </w:rPr>
        <w:t xml:space="preserve"> </w:t>
      </w:r>
    </w:p>
    <w:tbl>
      <w:tblPr>
        <w:tblW w:w="9305" w:type="dxa"/>
        <w:jc w:val="left"/>
        <w:tblInd w:w="900" w:type="dxa"/>
        <w:tblLayout w:type="fixed"/>
        <w:tblCellMar>
          <w:top w:w="0" w:type="dxa"/>
          <w:left w:w="0" w:type="dxa"/>
          <w:bottom w:w="0" w:type="dxa"/>
          <w:right w:w="0" w:type="dxa"/>
        </w:tblCellMar>
      </w:tblPr>
      <w:tblGrid>
        <w:gridCol w:w="124"/>
        <w:gridCol w:w="3317"/>
        <w:gridCol w:w="109"/>
        <w:gridCol w:w="109"/>
        <w:gridCol w:w="109"/>
        <w:gridCol w:w="2160"/>
        <w:gridCol w:w="109"/>
        <w:gridCol w:w="109"/>
        <w:gridCol w:w="109"/>
        <w:gridCol w:w="2895"/>
        <w:gridCol w:w="155"/>
      </w:tblGrid>
      <w:tr>
        <w:trPr/>
        <w:tc>
          <w:tcPr>
            <w:tcW w:w="124" w:type="dxa"/>
            <w:tcBorders/>
            <w:vAlign w:val="center"/>
          </w:tcPr>
          <w:p>
            <w:pPr>
              <w:pStyle w:val="TableContents"/>
              <w:bidi w:val="0"/>
              <w:spacing w:before="0" w:after="283"/>
              <w:jc w:val="left"/>
              <w:rPr/>
            </w:pPr>
            <w:r>
              <w:rPr/>
              <w:t>​</w:t>
            </w:r>
          </w:p>
        </w:tc>
        <w:tc>
          <w:tcPr>
            <w:tcW w:w="3317" w:type="dxa"/>
            <w:tcBorders/>
            <w:vAlign w:val="center"/>
          </w:tcPr>
          <w:p>
            <w:pPr>
              <w:pStyle w:val="TableContents"/>
              <w:bidi w:val="0"/>
              <w:spacing w:before="0" w:after="0"/>
              <w:jc w:val="center"/>
              <w:rPr/>
            </w:pPr>
            <w:r>
              <w:rPr/>
              <w:drawing>
                <wp:inline distT="0" distB="0" distL="0" distR="0">
                  <wp:extent cx="1209675" cy="1457325"/>
                  <wp:effectExtent l="0" t="0" r="0" b="0"/>
                  <wp:docPr id="607" name="Image2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7" name="Image221" descr=""/>
                          <pic:cNvPicPr>
                            <a:picLocks noChangeAspect="1" noChangeArrowheads="1"/>
                          </pic:cNvPicPr>
                        </pic:nvPicPr>
                        <pic:blipFill>
                          <a:blip r:embed="rId312"/>
                          <a:stretch>
                            <a:fillRect/>
                          </a:stretch>
                        </pic:blipFill>
                        <pic:spPr bwMode="auto">
                          <a:xfrm>
                            <a:off x="0" y="0"/>
                            <a:ext cx="1209675" cy="14573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3AD40"/>
            </w:tcBorders>
            <w:shd w:fill="83AD4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60" w:type="dxa"/>
            <w:tcBorders/>
            <w:vAlign w:val="center"/>
          </w:tcPr>
          <w:p>
            <w:pPr>
              <w:pStyle w:val="TableContents"/>
              <w:bidi w:val="0"/>
              <w:spacing w:before="0" w:after="0"/>
              <w:jc w:val="center"/>
              <w:rPr/>
            </w:pPr>
            <w:r>
              <w:rPr/>
              <w:drawing>
                <wp:inline distT="0" distB="0" distL="0" distR="0">
                  <wp:extent cx="1219200" cy="1524000"/>
                  <wp:effectExtent l="0" t="0" r="0" b="0"/>
                  <wp:docPr id="608" name="Image2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 name="Image222" descr=""/>
                          <pic:cNvPicPr>
                            <a:picLocks noChangeAspect="1" noChangeArrowheads="1"/>
                          </pic:cNvPicPr>
                        </pic:nvPicPr>
                        <pic:blipFill>
                          <a:blip r:embed="rId313"/>
                          <a:stretch>
                            <a:fillRect/>
                          </a:stretch>
                        </pic:blipFill>
                        <pic:spPr bwMode="auto">
                          <a:xfrm>
                            <a:off x="0" y="0"/>
                            <a:ext cx="1219200" cy="15240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3AD40"/>
            </w:tcBorders>
            <w:shd w:fill="83AD4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95" w:type="dxa"/>
            <w:tcBorders/>
            <w:vAlign w:val="center"/>
          </w:tcPr>
          <w:p>
            <w:pPr>
              <w:pStyle w:val="TableContents"/>
              <w:bidi w:val="0"/>
              <w:spacing w:before="0" w:after="0"/>
              <w:jc w:val="center"/>
              <w:rPr/>
            </w:pPr>
            <w:r>
              <w:rPr/>
              <w:drawing>
                <wp:inline distT="0" distB="0" distL="0" distR="0">
                  <wp:extent cx="1219200" cy="1524000"/>
                  <wp:effectExtent l="0" t="0" r="0" b="0"/>
                  <wp:docPr id="609" name="Image2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9" name="Image223" descr=""/>
                          <pic:cNvPicPr>
                            <a:picLocks noChangeAspect="1" noChangeArrowheads="1"/>
                          </pic:cNvPicPr>
                        </pic:nvPicPr>
                        <pic:blipFill>
                          <a:blip r:embed="rId314"/>
                          <a:stretch>
                            <a:fillRect/>
                          </a:stretch>
                        </pic:blipFill>
                        <pic:spPr bwMode="auto">
                          <a:xfrm>
                            <a:off x="0" y="0"/>
                            <a:ext cx="1219200" cy="1524000"/>
                          </a:xfrm>
                          <a:prstGeom prst="rect">
                            <a:avLst/>
                          </a:prstGeom>
                        </pic:spPr>
                      </pic:pic>
                    </a:graphicData>
                  </a:graphic>
                </wp:inline>
              </w:drawing>
            </w:r>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bottom w:val="single" w:sz="6" w:space="0" w:color="83AD40"/>
            </w:tcBorders>
            <w:tcMar>
              <w:bottom w:w="28" w:type="dxa"/>
            </w:tcMar>
            <w:vAlign w:val="center"/>
          </w:tcPr>
          <w:p>
            <w:pPr>
              <w:pStyle w:val="TableContents"/>
              <w:bidi w:val="0"/>
              <w:spacing w:before="0" w:after="283"/>
              <w:jc w:val="left"/>
              <w:rPr/>
            </w:pPr>
            <w:r>
              <w:rPr/>
              <w:t>​</w:t>
            </w:r>
          </w:p>
        </w:tc>
        <w:tc>
          <w:tcPr>
            <w:tcW w:w="3317" w:type="dxa"/>
            <w:tcBorders>
              <w:bottom w:val="single" w:sz="6" w:space="0" w:color="83AD40"/>
            </w:tcBorders>
            <w:tcMar>
              <w:bottom w:w="180" w:type="dxa"/>
            </w:tcMar>
            <w:vAlign w:val="center"/>
          </w:tcPr>
          <w:p>
            <w:pPr>
              <w:pStyle w:val="TableContents"/>
              <w:bidi w:val="0"/>
              <w:spacing w:before="0" w:after="0"/>
              <w:jc w:val="left"/>
              <w:rPr/>
            </w:pPr>
            <w:r>
              <w:rPr>
                <w:b/>
                <w:spacing w:val="-2"/>
              </w:rPr>
              <w:t>Marc Holliday</w:t>
            </w:r>
            <w:r>
              <w:rPr>
                <w:bCs/>
                <w:spacing w:val="-1"/>
                <w:szCs w:val="11"/>
              </w:rPr>
              <w:t>﻿</w:t>
            </w:r>
            <w:r>
              <w:rPr>
                <w:b/>
                <w:spacing w:val="-1"/>
                <w:sz w:val="11"/>
              </w:rPr>
              <w:t>(1)</w:t>
            </w:r>
            <w:r>
              <w:rPr>
                <w:b/>
              </w:rPr>
              <w:t xml:space="preserve"> </w:t>
            </w:r>
          </w:p>
          <w:p>
            <w:pPr>
              <w:pStyle w:val="TableContents"/>
              <w:bidi w:val="0"/>
              <w:spacing w:before="60" w:after="283"/>
              <w:jc w:val="left"/>
              <w:rPr>
                <w:spacing w:val="-2"/>
              </w:rPr>
            </w:pPr>
            <w:r>
              <w:rPr>
                <w:spacing w:val="-2"/>
              </w:rPr>
              <w:t xml:space="preserve">Chief Executive Officer and Chairman of the Board </w:t>
            </w:r>
          </w:p>
        </w:tc>
        <w:tc>
          <w:tcPr>
            <w:tcW w:w="109" w:type="dxa"/>
            <w:tcBorders>
              <w:bottom w:val="single" w:sz="6" w:space="0" w:color="83AD40"/>
            </w:tcBorders>
            <w:tcMar>
              <w:bottom w:w="28" w:type="dxa"/>
            </w:tcMar>
            <w:vAlign w:val="center"/>
          </w:tcPr>
          <w:p>
            <w:pPr>
              <w:pStyle w:val="TableContents"/>
              <w:bidi w:val="0"/>
              <w:spacing w:before="0" w:after="283"/>
              <w:jc w:val="left"/>
              <w:rPr/>
            </w:pPr>
            <w:r>
              <w:rPr/>
              <w:t>​</w:t>
            </w:r>
          </w:p>
        </w:tc>
        <w:tc>
          <w:tcPr>
            <w:tcW w:w="109" w:type="dxa"/>
            <w:tcBorders>
              <w:bottom w:val="single" w:sz="2" w:space="0" w:color="83AD40"/>
            </w:tcBorders>
            <w:shd w:fill="83AD40" w:val="clear"/>
            <w:tcMar>
              <w:bottom w:w="28" w:type="dxa"/>
            </w:tcMar>
            <w:vAlign w:val="center"/>
          </w:tcPr>
          <w:p>
            <w:pPr>
              <w:pStyle w:val="TableContents"/>
              <w:bidi w:val="0"/>
              <w:spacing w:before="0" w:after="283"/>
              <w:jc w:val="left"/>
              <w:rPr/>
            </w:pPr>
            <w:r>
              <w:rPr/>
              <w:t>​</w:t>
            </w:r>
          </w:p>
        </w:tc>
        <w:tc>
          <w:tcPr>
            <w:tcW w:w="109" w:type="dxa"/>
            <w:tcBorders>
              <w:bottom w:val="single" w:sz="6" w:space="0" w:color="83AD40"/>
            </w:tcBorders>
            <w:tcMar>
              <w:bottom w:w="28" w:type="dxa"/>
            </w:tcMar>
            <w:vAlign w:val="center"/>
          </w:tcPr>
          <w:p>
            <w:pPr>
              <w:pStyle w:val="TableContents"/>
              <w:bidi w:val="0"/>
              <w:spacing w:before="0" w:after="283"/>
              <w:jc w:val="left"/>
              <w:rPr/>
            </w:pPr>
            <w:r>
              <w:rPr/>
              <w:t>​</w:t>
            </w:r>
          </w:p>
        </w:tc>
        <w:tc>
          <w:tcPr>
            <w:tcW w:w="2160" w:type="dxa"/>
            <w:tcBorders>
              <w:bottom w:val="single" w:sz="6" w:space="0" w:color="83AD40"/>
            </w:tcBorders>
            <w:tcMar>
              <w:bottom w:w="180" w:type="dxa"/>
            </w:tcMar>
            <w:vAlign w:val="center"/>
          </w:tcPr>
          <w:p>
            <w:pPr>
              <w:pStyle w:val="TableContents"/>
              <w:bidi w:val="0"/>
              <w:spacing w:before="0" w:after="0"/>
              <w:jc w:val="left"/>
              <w:rPr>
                <w:b/>
              </w:rPr>
            </w:pPr>
            <w:r>
              <w:rPr>
                <w:b/>
                <w:spacing w:val="-2"/>
              </w:rPr>
              <w:t>Matthew J. DiLiberto</w:t>
            </w:r>
            <w:r>
              <w:rPr>
                <w:b/>
              </w:rPr>
              <w:t xml:space="preserve"> </w:t>
            </w:r>
          </w:p>
          <w:p>
            <w:pPr>
              <w:pStyle w:val="TableContents"/>
              <w:bidi w:val="0"/>
              <w:spacing w:before="60" w:after="283"/>
              <w:jc w:val="left"/>
              <w:rPr>
                <w:spacing w:val="-2"/>
              </w:rPr>
            </w:pPr>
            <w:r>
              <w:rPr>
                <w:spacing w:val="-2"/>
              </w:rPr>
              <w:t xml:space="preserve">Chief Financial Officer </w:t>
            </w:r>
          </w:p>
        </w:tc>
        <w:tc>
          <w:tcPr>
            <w:tcW w:w="109" w:type="dxa"/>
            <w:tcBorders>
              <w:bottom w:val="single" w:sz="6" w:space="0" w:color="83AD40"/>
            </w:tcBorders>
            <w:tcMar>
              <w:bottom w:w="28" w:type="dxa"/>
            </w:tcMar>
            <w:vAlign w:val="center"/>
          </w:tcPr>
          <w:p>
            <w:pPr>
              <w:pStyle w:val="TableContents"/>
              <w:bidi w:val="0"/>
              <w:spacing w:before="0" w:after="283"/>
              <w:jc w:val="left"/>
              <w:rPr/>
            </w:pPr>
            <w:r>
              <w:rPr/>
              <w:t>​</w:t>
            </w:r>
          </w:p>
        </w:tc>
        <w:tc>
          <w:tcPr>
            <w:tcW w:w="109" w:type="dxa"/>
            <w:tcBorders>
              <w:bottom w:val="single" w:sz="2" w:space="0" w:color="83AD40"/>
            </w:tcBorders>
            <w:shd w:fill="83AD40" w:val="clear"/>
            <w:tcMar>
              <w:bottom w:w="28" w:type="dxa"/>
            </w:tcMar>
            <w:vAlign w:val="center"/>
          </w:tcPr>
          <w:p>
            <w:pPr>
              <w:pStyle w:val="TableContents"/>
              <w:bidi w:val="0"/>
              <w:spacing w:before="0" w:after="283"/>
              <w:jc w:val="left"/>
              <w:rPr/>
            </w:pPr>
            <w:r>
              <w:rPr/>
              <w:t>​</w:t>
            </w:r>
          </w:p>
        </w:tc>
        <w:tc>
          <w:tcPr>
            <w:tcW w:w="109" w:type="dxa"/>
            <w:tcBorders>
              <w:bottom w:val="single" w:sz="6" w:space="0" w:color="83AD40"/>
            </w:tcBorders>
            <w:tcMar>
              <w:bottom w:w="28" w:type="dxa"/>
            </w:tcMar>
            <w:vAlign w:val="center"/>
          </w:tcPr>
          <w:p>
            <w:pPr>
              <w:pStyle w:val="TableContents"/>
              <w:bidi w:val="0"/>
              <w:spacing w:before="0" w:after="283"/>
              <w:jc w:val="left"/>
              <w:rPr/>
            </w:pPr>
            <w:r>
              <w:rPr/>
              <w:t>​</w:t>
            </w:r>
          </w:p>
        </w:tc>
        <w:tc>
          <w:tcPr>
            <w:tcW w:w="2895" w:type="dxa"/>
            <w:tcBorders>
              <w:bottom w:val="single" w:sz="6" w:space="0" w:color="83AD40"/>
            </w:tcBorders>
            <w:tcMar>
              <w:bottom w:w="180" w:type="dxa"/>
            </w:tcMar>
            <w:vAlign w:val="center"/>
          </w:tcPr>
          <w:p>
            <w:pPr>
              <w:pStyle w:val="TableContents"/>
              <w:bidi w:val="0"/>
              <w:spacing w:before="0" w:after="0"/>
              <w:jc w:val="left"/>
              <w:rPr>
                <w:b/>
              </w:rPr>
            </w:pPr>
            <w:r>
              <w:rPr>
                <w:b/>
                <w:spacing w:val="-2"/>
              </w:rPr>
              <w:t>Andrew S. Levine</w:t>
            </w:r>
            <w:r>
              <w:rPr>
                <w:b/>
              </w:rPr>
              <w:t xml:space="preserve"> </w:t>
            </w:r>
          </w:p>
          <w:p>
            <w:pPr>
              <w:pStyle w:val="TableContents"/>
              <w:bidi w:val="0"/>
              <w:spacing w:before="60" w:after="283"/>
              <w:jc w:val="left"/>
              <w:rPr/>
            </w:pPr>
            <w:r>
              <w:rPr>
                <w:spacing w:val="-2"/>
              </w:rPr>
              <w:t>Chief Legal Officer and General Counsel</w:t>
            </w:r>
            <w:r>
              <w:rPr/>
              <w:t xml:space="preserve"> </w:t>
            </w:r>
          </w:p>
        </w:tc>
        <w:tc>
          <w:tcPr>
            <w:tcW w:w="155" w:type="dxa"/>
            <w:tcBorders>
              <w:bottom w:val="single" w:sz="6" w:space="0" w:color="83AD40"/>
            </w:tcBorders>
            <w:tcMar>
              <w:bottom w:w="28" w:type="dxa"/>
            </w:tcMar>
            <w:vAlign w:val="center"/>
          </w:tcPr>
          <w:p>
            <w:pPr>
              <w:pStyle w:val="TableContents"/>
              <w:bidi w:val="0"/>
              <w:spacing w:before="0" w:after="283"/>
              <w:jc w:val="left"/>
              <w:rPr/>
            </w:pPr>
            <w:r>
              <w:rPr/>
              <w:t>​</w:t>
            </w:r>
          </w:p>
        </w:tc>
      </w:tr>
    </w:tbl>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150"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On February 27, 2026, we appointed Harrison Sitomer as our President and Chief Investment Officer. As a result of Mr. Sitomer’s appointment, Mr. Holliday ceased to hold the title of Interim President as of February 27, 2026.</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95250" distB="0" distL="0" distR="0" simplePos="0" locked="0" layoutInCell="1" allowOverlap="1" relativeHeight="566">
                <wp:simplePos x="0" y="0"/>
                <wp:positionH relativeFrom="column">
                  <wp:align>left</wp:align>
                </wp:positionH>
                <wp:positionV relativeFrom="line">
                  <wp:align>top</wp:align>
                </wp:positionV>
                <wp:extent cx="254000" cy="254000"/>
                <wp:effectExtent l="0" t="0" r="0" b="0"/>
                <wp:wrapSquare wrapText="right"/>
                <wp:docPr id="610" name="Frame303"/>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2"/>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2"/>
                          <w:sz w:val="16"/>
                        </w:rPr>
                        <w:t>(1)</w:t>
                      </w:r>
                      <w:r>
                        <w:rPr>
                          <w:sz w:val="16"/>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60" w:before="240" w:after="283"/>
        <w:jc w:val="left"/>
        <w:rPr>
          <w:rFonts w:ascii="Arial;Helvetica;sans-serif" w:hAnsi="Arial;Helvetica;sans-serif"/>
          <w:b/>
          <w:i w:val="false"/>
          <w:caps w:val="false"/>
          <w:smallCaps w:val="false"/>
          <w:color w:val="83AD40"/>
          <w:sz w:val="22"/>
        </w:rPr>
      </w:pPr>
      <w:r>
        <w:rPr>
          <w:rFonts w:ascii="Arial;Helvetica;sans-serif" w:hAnsi="Arial;Helvetica;sans-serif"/>
          <w:b/>
          <w:i w:val="false"/>
          <w:caps w:val="false"/>
          <w:smallCaps w:val="false"/>
          <w:color w:val="83AD40"/>
          <w:spacing w:val="-2"/>
          <w:sz w:val="22"/>
        </w:rPr>
        <w:t>Compensation Objectives and Philosophy</w:t>
      </w:r>
      <w:r>
        <w:rPr>
          <w:rFonts w:ascii="Arial;Helvetica;sans-serif" w:hAnsi="Arial;Helvetica;sans-serif"/>
          <w:b/>
          <w:i w:val="false"/>
          <w:caps w:val="false"/>
          <w:smallCaps w:val="false"/>
          <w:color w:val="000000"/>
          <w:spacing w:val="4"/>
          <w:sz w:val="22"/>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We have adopted a pay-for-performance executive compensation philosophy that rewards the achievement of annual and long-term goals of both the Company and individual executives, while achieving the following objectives:</w:t>
      </w:r>
      <w:r>
        <w:rPr>
          <w:rFonts w:ascii="Arial;Helvetica;sans-serif" w:hAnsi="Arial;Helvetica;sans-serif"/>
          <w:b w:val="false"/>
          <w:i w:val="false"/>
          <w:caps w:val="false"/>
          <w:smallCaps w:val="false"/>
          <w:color w:val="000000"/>
          <w:spacing w:val="4"/>
          <w:sz w:val="18"/>
        </w:rPr>
        <w:t xml:space="preserve"> </w:t>
      </w:r>
    </w:p>
    <w:tbl>
      <w:tblPr>
        <w:tblW w:w="9305" w:type="dxa"/>
        <w:jc w:val="left"/>
        <w:tblInd w:w="900" w:type="dxa"/>
        <w:tblLayout w:type="fixed"/>
        <w:tblCellMar>
          <w:top w:w="0" w:type="dxa"/>
          <w:left w:w="0" w:type="dxa"/>
          <w:bottom w:w="28" w:type="dxa"/>
          <w:right w:w="0" w:type="dxa"/>
        </w:tblCellMar>
      </w:tblPr>
      <w:tblGrid>
        <w:gridCol w:w="124"/>
        <w:gridCol w:w="1880"/>
        <w:gridCol w:w="109"/>
        <w:gridCol w:w="109"/>
        <w:gridCol w:w="109"/>
        <w:gridCol w:w="1295"/>
        <w:gridCol w:w="109"/>
        <w:gridCol w:w="109"/>
        <w:gridCol w:w="109"/>
        <w:gridCol w:w="1636"/>
        <w:gridCol w:w="109"/>
        <w:gridCol w:w="109"/>
        <w:gridCol w:w="109"/>
        <w:gridCol w:w="1399"/>
        <w:gridCol w:w="109"/>
        <w:gridCol w:w="109"/>
        <w:gridCol w:w="109"/>
        <w:gridCol w:w="1506"/>
        <w:gridCol w:w="157"/>
      </w:tblGrid>
      <w:tr>
        <w:trPr/>
        <w:tc>
          <w:tcPr>
            <w:tcW w:w="124" w:type="dxa"/>
            <w:tcBorders>
              <w:bottom w:val="single" w:sz="6" w:space="0" w:color="83AD40"/>
            </w:tcBorders>
            <w:vAlign w:val="center"/>
          </w:tcPr>
          <w:p>
            <w:pPr>
              <w:pStyle w:val="TableContents"/>
              <w:bidi w:val="0"/>
              <w:spacing w:before="0" w:after="283"/>
              <w:jc w:val="left"/>
              <w:rPr/>
            </w:pPr>
            <w:r>
              <w:rPr/>
              <w:t>​</w:t>
            </w:r>
          </w:p>
        </w:tc>
        <w:tc>
          <w:tcPr>
            <w:tcW w:w="1880" w:type="dxa"/>
            <w:tcBorders>
              <w:bottom w:val="single" w:sz="6" w:space="0" w:color="83AD40"/>
            </w:tcBorders>
            <w:tcMar>
              <w:bottom w:w="180" w:type="dxa"/>
            </w:tcMar>
            <w:vAlign w:val="center"/>
          </w:tcPr>
          <w:p>
            <w:pPr>
              <w:pStyle w:val="TableContents"/>
              <w:bidi w:val="0"/>
              <w:spacing w:before="0" w:after="0"/>
              <w:jc w:val="left"/>
              <w:rPr>
                <w:b/>
                <w:color w:val="83AD40"/>
                <w:sz w:val="22"/>
              </w:rPr>
            </w:pPr>
            <w:r>
              <w:rPr>
                <w:b/>
                <w:color w:val="83AD40"/>
                <w:spacing w:val="-2"/>
                <w:sz w:val="22"/>
              </w:rPr>
              <w:t>ALIGNMENT</w:t>
            </w:r>
            <w:r>
              <w:rPr>
                <w:b/>
                <w:color w:val="000000"/>
                <w:sz w:val="22"/>
              </w:rPr>
              <w:t>​</w:t>
            </w:r>
            <w:r>
              <w:rPr>
                <w:b/>
                <w:color w:val="83AD40"/>
                <w:sz w:val="22"/>
              </w:rPr>
              <w:t xml:space="preserve"> </w:t>
            </w:r>
          </w:p>
          <w:p>
            <w:pPr>
              <w:pStyle w:val="TableContents"/>
              <w:bidi w:val="0"/>
              <w:spacing w:lineRule="atLeast" w:line="220" w:before="120" w:after="283"/>
              <w:jc w:val="left"/>
              <w:rPr>
                <w:spacing w:val="-2"/>
              </w:rPr>
            </w:pPr>
            <w:r>
              <w:rPr>
                <w:spacing w:val="-2"/>
              </w:rPr>
              <w:t xml:space="preserve">Provide performance-based incentives that create a strong alignment of management and stockholder interests </w:t>
            </w:r>
          </w:p>
        </w:tc>
        <w:tc>
          <w:tcPr>
            <w:tcW w:w="109" w:type="dxa"/>
            <w:tcBorders>
              <w:bottom w:val="single" w:sz="6" w:space="0" w:color="83AD40"/>
            </w:tcBorders>
            <w:vAlign w:val="center"/>
          </w:tcPr>
          <w:p>
            <w:pPr>
              <w:pStyle w:val="TableContents"/>
              <w:bidi w:val="0"/>
              <w:spacing w:before="0" w:after="283"/>
              <w:jc w:val="left"/>
              <w:rPr/>
            </w:pPr>
            <w:r>
              <w:rPr/>
              <w:t>​</w:t>
            </w:r>
          </w:p>
        </w:tc>
        <w:tc>
          <w:tcPr>
            <w:tcW w:w="109" w:type="dxa"/>
            <w:tcBorders>
              <w:bottom w:val="single" w:sz="2" w:space="0" w:color="83AD40"/>
            </w:tcBorders>
            <w:shd w:fill="83AD40" w:val="clear"/>
            <w:vAlign w:val="center"/>
          </w:tcPr>
          <w:p>
            <w:pPr>
              <w:pStyle w:val="TableContents"/>
              <w:bidi w:val="0"/>
              <w:spacing w:before="0" w:after="283"/>
              <w:jc w:val="left"/>
              <w:rPr/>
            </w:pPr>
            <w:r>
              <w:rPr/>
              <w:t>​</w:t>
            </w:r>
          </w:p>
        </w:tc>
        <w:tc>
          <w:tcPr>
            <w:tcW w:w="109" w:type="dxa"/>
            <w:tcBorders>
              <w:bottom w:val="single" w:sz="6" w:space="0" w:color="83AD40"/>
            </w:tcBorders>
            <w:vAlign w:val="center"/>
          </w:tcPr>
          <w:p>
            <w:pPr>
              <w:pStyle w:val="TableContents"/>
              <w:bidi w:val="0"/>
              <w:spacing w:before="0" w:after="283"/>
              <w:jc w:val="left"/>
              <w:rPr/>
            </w:pPr>
            <w:r>
              <w:rPr/>
              <w:t>​</w:t>
            </w:r>
          </w:p>
        </w:tc>
        <w:tc>
          <w:tcPr>
            <w:tcW w:w="1295" w:type="dxa"/>
            <w:tcBorders>
              <w:bottom w:val="single" w:sz="6" w:space="0" w:color="83AD40"/>
            </w:tcBorders>
            <w:tcMar>
              <w:bottom w:w="180" w:type="dxa"/>
            </w:tcMar>
            <w:vAlign w:val="center"/>
          </w:tcPr>
          <w:p>
            <w:pPr>
              <w:pStyle w:val="TableContents"/>
              <w:bidi w:val="0"/>
              <w:spacing w:before="0" w:after="0"/>
              <w:jc w:val="left"/>
              <w:rPr>
                <w:b/>
                <w:color w:val="83AD40"/>
                <w:sz w:val="22"/>
              </w:rPr>
            </w:pPr>
            <w:r>
              <w:rPr>
                <w:b/>
                <w:color w:val="83AD40"/>
                <w:spacing w:val="-2"/>
                <w:sz w:val="22"/>
              </w:rPr>
              <w:t>TALENT</w:t>
            </w:r>
            <w:r>
              <w:rPr>
                <w:b/>
                <w:color w:val="83AD40"/>
                <w:sz w:val="22"/>
              </w:rPr>
              <w:t xml:space="preserve"> </w:t>
            </w:r>
          </w:p>
          <w:p>
            <w:pPr>
              <w:pStyle w:val="TableContents"/>
              <w:bidi w:val="0"/>
              <w:spacing w:lineRule="atLeast" w:line="220" w:before="160" w:after="283"/>
              <w:jc w:val="left"/>
              <w:rPr>
                <w:spacing w:val="-2"/>
              </w:rPr>
            </w:pPr>
            <w:r>
              <w:rPr>
                <w:spacing w:val="-2"/>
              </w:rPr>
              <w:t xml:space="preserve">Attract and retain top talent in a market that is highly competitive for New York City commercial real estate management </w:t>
            </w:r>
          </w:p>
        </w:tc>
        <w:tc>
          <w:tcPr>
            <w:tcW w:w="109" w:type="dxa"/>
            <w:tcBorders>
              <w:bottom w:val="single" w:sz="6" w:space="0" w:color="83AD40"/>
            </w:tcBorders>
            <w:vAlign w:val="center"/>
          </w:tcPr>
          <w:p>
            <w:pPr>
              <w:pStyle w:val="TableContents"/>
              <w:bidi w:val="0"/>
              <w:spacing w:before="0" w:after="283"/>
              <w:jc w:val="left"/>
              <w:rPr/>
            </w:pPr>
            <w:r>
              <w:rPr/>
              <w:t>​</w:t>
            </w:r>
          </w:p>
        </w:tc>
        <w:tc>
          <w:tcPr>
            <w:tcW w:w="109" w:type="dxa"/>
            <w:tcBorders>
              <w:bottom w:val="single" w:sz="2" w:space="0" w:color="83AD40"/>
            </w:tcBorders>
            <w:shd w:fill="83AD40" w:val="clear"/>
            <w:vAlign w:val="center"/>
          </w:tcPr>
          <w:p>
            <w:pPr>
              <w:pStyle w:val="TableContents"/>
              <w:bidi w:val="0"/>
              <w:spacing w:before="0" w:after="283"/>
              <w:jc w:val="left"/>
              <w:rPr/>
            </w:pPr>
            <w:r>
              <w:rPr/>
              <w:t>​</w:t>
            </w:r>
          </w:p>
        </w:tc>
        <w:tc>
          <w:tcPr>
            <w:tcW w:w="109" w:type="dxa"/>
            <w:tcBorders>
              <w:bottom w:val="single" w:sz="6" w:space="0" w:color="83AD40"/>
            </w:tcBorders>
            <w:vAlign w:val="center"/>
          </w:tcPr>
          <w:p>
            <w:pPr>
              <w:pStyle w:val="TableContents"/>
              <w:bidi w:val="0"/>
              <w:spacing w:before="0" w:after="283"/>
              <w:jc w:val="left"/>
              <w:rPr/>
            </w:pPr>
            <w:r>
              <w:rPr/>
              <w:t>​</w:t>
            </w:r>
          </w:p>
        </w:tc>
        <w:tc>
          <w:tcPr>
            <w:tcW w:w="1636" w:type="dxa"/>
            <w:tcBorders>
              <w:bottom w:val="single" w:sz="6" w:space="0" w:color="83AD40"/>
            </w:tcBorders>
            <w:tcMar>
              <w:bottom w:w="180" w:type="dxa"/>
            </w:tcMar>
            <w:vAlign w:val="center"/>
          </w:tcPr>
          <w:p>
            <w:pPr>
              <w:pStyle w:val="TableContents"/>
              <w:bidi w:val="0"/>
              <w:spacing w:before="0" w:after="0"/>
              <w:jc w:val="left"/>
              <w:rPr>
                <w:b/>
                <w:color w:val="83AD40"/>
                <w:sz w:val="22"/>
              </w:rPr>
            </w:pPr>
            <w:r>
              <w:rPr>
                <w:b/>
                <w:color w:val="83AD40"/>
                <w:spacing w:val="-2"/>
                <w:sz w:val="22"/>
              </w:rPr>
              <w:t>MOTIVATION</w:t>
            </w:r>
            <w:r>
              <w:rPr>
                <w:b/>
                <w:color w:val="83AD40"/>
                <w:sz w:val="22"/>
              </w:rPr>
              <w:t xml:space="preserve"> </w:t>
            </w:r>
          </w:p>
          <w:p>
            <w:pPr>
              <w:pStyle w:val="TableContents"/>
              <w:bidi w:val="0"/>
              <w:spacing w:lineRule="atLeast" w:line="220" w:before="160" w:after="283"/>
              <w:jc w:val="left"/>
              <w:rPr>
                <w:spacing w:val="-2"/>
              </w:rPr>
            </w:pPr>
            <w:r>
              <w:rPr>
                <w:spacing w:val="-2"/>
              </w:rPr>
              <w:t xml:space="preserve">Motivate our executives to achieve superior performance </w:t>
            </w:r>
          </w:p>
        </w:tc>
        <w:tc>
          <w:tcPr>
            <w:tcW w:w="109" w:type="dxa"/>
            <w:tcBorders>
              <w:bottom w:val="single" w:sz="6" w:space="0" w:color="83AD40"/>
            </w:tcBorders>
            <w:vAlign w:val="center"/>
          </w:tcPr>
          <w:p>
            <w:pPr>
              <w:pStyle w:val="TableContents"/>
              <w:bidi w:val="0"/>
              <w:spacing w:before="0" w:after="283"/>
              <w:jc w:val="left"/>
              <w:rPr/>
            </w:pPr>
            <w:r>
              <w:rPr/>
              <w:t>​</w:t>
            </w:r>
          </w:p>
        </w:tc>
        <w:tc>
          <w:tcPr>
            <w:tcW w:w="109" w:type="dxa"/>
            <w:tcBorders>
              <w:bottom w:val="single" w:sz="2" w:space="0" w:color="83AD40"/>
            </w:tcBorders>
            <w:shd w:fill="83AD40" w:val="clear"/>
            <w:vAlign w:val="center"/>
          </w:tcPr>
          <w:p>
            <w:pPr>
              <w:pStyle w:val="TableContents"/>
              <w:bidi w:val="0"/>
              <w:spacing w:before="0" w:after="283"/>
              <w:jc w:val="left"/>
              <w:rPr/>
            </w:pPr>
            <w:r>
              <w:rPr/>
              <w:t>​</w:t>
            </w:r>
          </w:p>
        </w:tc>
        <w:tc>
          <w:tcPr>
            <w:tcW w:w="109" w:type="dxa"/>
            <w:tcBorders>
              <w:bottom w:val="single" w:sz="6" w:space="0" w:color="83AD40"/>
            </w:tcBorders>
            <w:vAlign w:val="center"/>
          </w:tcPr>
          <w:p>
            <w:pPr>
              <w:pStyle w:val="TableContents"/>
              <w:bidi w:val="0"/>
              <w:spacing w:before="0" w:after="283"/>
              <w:jc w:val="left"/>
              <w:rPr/>
            </w:pPr>
            <w:r>
              <w:rPr/>
              <w:t>​</w:t>
            </w:r>
          </w:p>
        </w:tc>
        <w:tc>
          <w:tcPr>
            <w:tcW w:w="1399" w:type="dxa"/>
            <w:tcBorders>
              <w:bottom w:val="single" w:sz="6" w:space="0" w:color="83AD40"/>
            </w:tcBorders>
            <w:tcMar>
              <w:bottom w:w="180" w:type="dxa"/>
            </w:tcMar>
            <w:vAlign w:val="center"/>
          </w:tcPr>
          <w:p>
            <w:pPr>
              <w:pStyle w:val="TableContents"/>
              <w:bidi w:val="0"/>
              <w:spacing w:before="0" w:after="0"/>
              <w:jc w:val="left"/>
              <w:rPr>
                <w:b/>
                <w:color w:val="83AD40"/>
                <w:sz w:val="22"/>
              </w:rPr>
            </w:pPr>
            <w:r>
              <w:rPr>
                <w:b/>
                <w:color w:val="83AD40"/>
                <w:spacing w:val="-2"/>
                <w:sz w:val="22"/>
              </w:rPr>
              <w:t>BALANCE</w:t>
            </w:r>
            <w:r>
              <w:rPr>
                <w:b/>
                <w:color w:val="83AD40"/>
                <w:sz w:val="22"/>
              </w:rPr>
              <w:t xml:space="preserve"> </w:t>
            </w:r>
          </w:p>
          <w:p>
            <w:pPr>
              <w:pStyle w:val="TableContents"/>
              <w:bidi w:val="0"/>
              <w:spacing w:lineRule="atLeast" w:line="220" w:before="160" w:after="283"/>
              <w:jc w:val="left"/>
              <w:rPr>
                <w:spacing w:val="-2"/>
              </w:rPr>
            </w:pPr>
            <w:r>
              <w:rPr>
                <w:spacing w:val="-2"/>
              </w:rPr>
              <w:t xml:space="preserve">Achieve an appropriate balance between risk and reward in our compensation programs that does not create incentives for unnecessary or excessive risk taking </w:t>
            </w:r>
          </w:p>
        </w:tc>
        <w:tc>
          <w:tcPr>
            <w:tcW w:w="109" w:type="dxa"/>
            <w:tcBorders>
              <w:bottom w:val="single" w:sz="6" w:space="0" w:color="83AD40"/>
            </w:tcBorders>
            <w:vAlign w:val="center"/>
          </w:tcPr>
          <w:p>
            <w:pPr>
              <w:pStyle w:val="TableContents"/>
              <w:bidi w:val="0"/>
              <w:spacing w:before="0" w:after="283"/>
              <w:jc w:val="left"/>
              <w:rPr/>
            </w:pPr>
            <w:r>
              <w:rPr/>
              <w:t>​</w:t>
            </w:r>
          </w:p>
        </w:tc>
        <w:tc>
          <w:tcPr>
            <w:tcW w:w="109" w:type="dxa"/>
            <w:tcBorders>
              <w:bottom w:val="single" w:sz="2" w:space="0" w:color="83AD40"/>
            </w:tcBorders>
            <w:shd w:fill="83AD40" w:val="clear"/>
            <w:vAlign w:val="center"/>
          </w:tcPr>
          <w:p>
            <w:pPr>
              <w:pStyle w:val="TableContents"/>
              <w:bidi w:val="0"/>
              <w:spacing w:before="0" w:after="283"/>
              <w:jc w:val="left"/>
              <w:rPr/>
            </w:pPr>
            <w:r>
              <w:rPr/>
              <w:t>​</w:t>
            </w:r>
          </w:p>
        </w:tc>
        <w:tc>
          <w:tcPr>
            <w:tcW w:w="109" w:type="dxa"/>
            <w:tcBorders>
              <w:bottom w:val="single" w:sz="6" w:space="0" w:color="83AD40"/>
            </w:tcBorders>
            <w:vAlign w:val="center"/>
          </w:tcPr>
          <w:p>
            <w:pPr>
              <w:pStyle w:val="TableContents"/>
              <w:bidi w:val="0"/>
              <w:spacing w:before="0" w:after="283"/>
              <w:jc w:val="left"/>
              <w:rPr/>
            </w:pPr>
            <w:r>
              <w:rPr/>
              <w:t>​</w:t>
            </w:r>
          </w:p>
        </w:tc>
        <w:tc>
          <w:tcPr>
            <w:tcW w:w="1506" w:type="dxa"/>
            <w:tcBorders>
              <w:bottom w:val="single" w:sz="6" w:space="0" w:color="83AD40"/>
            </w:tcBorders>
            <w:tcMar>
              <w:bottom w:w="180" w:type="dxa"/>
            </w:tcMar>
            <w:vAlign w:val="center"/>
          </w:tcPr>
          <w:p>
            <w:pPr>
              <w:pStyle w:val="TableContents"/>
              <w:bidi w:val="0"/>
              <w:spacing w:before="0" w:after="0"/>
              <w:jc w:val="left"/>
              <w:rPr>
                <w:b/>
                <w:color w:val="83AD40"/>
                <w:sz w:val="22"/>
              </w:rPr>
            </w:pPr>
            <w:r>
              <w:rPr>
                <w:b/>
                <w:color w:val="83AD40"/>
                <w:spacing w:val="-2"/>
                <w:sz w:val="22"/>
              </w:rPr>
              <w:t>EFFICIENCY</w:t>
            </w:r>
            <w:r>
              <w:rPr>
                <w:b/>
                <w:color w:val="83AD40"/>
                <w:sz w:val="22"/>
              </w:rPr>
              <w:t xml:space="preserve"> </w:t>
            </w:r>
          </w:p>
          <w:p>
            <w:pPr>
              <w:pStyle w:val="TableContents"/>
              <w:bidi w:val="0"/>
              <w:spacing w:lineRule="atLeast" w:line="220" w:before="160" w:after="283"/>
              <w:jc w:val="left"/>
              <w:rPr/>
            </w:pPr>
            <w:r>
              <w:rPr>
                <w:spacing w:val="-2"/>
              </w:rPr>
              <w:t>Foster the dedication required to succeed against our competitors, while maintaining low overall general and administrative expense</w:t>
            </w:r>
            <w:r>
              <w:rPr/>
              <w:t xml:space="preserve"> </w:t>
            </w:r>
          </w:p>
        </w:tc>
        <w:tc>
          <w:tcPr>
            <w:tcW w:w="157" w:type="dxa"/>
            <w:tcBorders>
              <w:bottom w:val="single" w:sz="6" w:space="0" w:color="83AD40"/>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225" w:type="dxa"/>
        <w:jc w:val="left"/>
        <w:tblInd w:w="900" w:type="dxa"/>
        <w:tblLayout w:type="fixed"/>
        <w:tblCellMar>
          <w:top w:w="0" w:type="dxa"/>
          <w:left w:w="0" w:type="dxa"/>
          <w:bottom w:w="0" w:type="dxa"/>
          <w:right w:w="0" w:type="dxa"/>
        </w:tblCellMar>
      </w:tblPr>
      <w:tblGrid>
        <w:gridCol w:w="124"/>
        <w:gridCol w:w="346"/>
        <w:gridCol w:w="109"/>
        <w:gridCol w:w="109"/>
        <w:gridCol w:w="4383"/>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42</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383" w:type="dxa"/>
            <w:tcBorders/>
            <w:vAlign w:val="center"/>
          </w:tcPr>
          <w:p>
            <w:pPr>
              <w:pStyle w:val="TableContents"/>
              <w:bidi w:val="0"/>
              <w:spacing w:lineRule="atLeast" w:line="200" w:before="0" w:after="0"/>
              <w:jc w:val="left"/>
              <w:rPr/>
            </w:pPr>
            <w:r>
              <w:rPr>
                <w:spacing w:val="-2"/>
              </w:rPr>
              <w:t>    </w:t>
            </w:r>
            <w:r>
              <w:rPr>
                <w:spacing w:val="-2"/>
                <w:sz w:val="16"/>
              </w:rPr>
              <w:t>SL GREEN REALTY CORP. 2026 PROXY STATEMENT</w:t>
            </w:r>
            <w:r>
              <w:rPr>
                <w:sz w:val="16"/>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60" w:before="560" w:after="154"/>
        <w:ind w:left="900" w:right="0" w:hanging="0"/>
        <w:jc w:val="left"/>
        <w:rPr>
          <w:rFonts w:ascii="Arial;Helvetica;sans-serif" w:hAnsi="Arial;Helvetica;sans-serif"/>
          <w:b/>
          <w:i w:val="false"/>
          <w:caps w:val="false"/>
          <w:smallCaps w:val="false"/>
          <w:color w:val="83AD40"/>
          <w:sz w:val="22"/>
        </w:rPr>
      </w:pPr>
      <w:r>
        <w:rPr>
          <w:rFonts w:ascii="Arial;Helvetica;sans-serif" w:hAnsi="Arial;Helvetica;sans-serif"/>
          <w:b/>
          <w:i w:val="false"/>
          <w:caps w:val="false"/>
          <w:smallCaps w:val="false"/>
          <w:color w:val="83AD40"/>
          <w:spacing w:val="-2"/>
          <w:sz w:val="22"/>
        </w:rPr>
        <w:t>Stockholder Outreach</w:t>
      </w:r>
      <w:r>
        <w:rPr>
          <w:rFonts w:ascii="Arial;Helvetica;sans-serif" w:hAnsi="Arial;Helvetica;sans-serif"/>
          <w:b/>
          <w:i w:val="false"/>
          <w:caps w:val="false"/>
          <w:smallCaps w:val="false"/>
          <w:color w:val="000000"/>
          <w:spacing w:val="4"/>
          <w:sz w:val="22"/>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Our Board has always valued stockholder feedback and has engaged in a robust stockholder outreach program over many years. Stockholder feedback received following our 2025 Annual Meeting directly informed Board and committee level decisions, including those related to executive compensation listed in the tables below.</w:t>
      </w:r>
      <w:r>
        <w:rPr>
          <w:rFonts w:ascii="Arial;Helvetica;sans-serif" w:hAnsi="Arial;Helvetica;sans-serif"/>
          <w:b w:val="false"/>
          <w:i w:val="false"/>
          <w:caps w:val="false"/>
          <w:smallCaps w:val="false"/>
          <w:color w:val="000000"/>
          <w:spacing w:val="4"/>
          <w:sz w:val="18"/>
        </w:rPr>
        <w:t xml:space="preserve"> </w:t>
      </w:r>
    </w:p>
    <w:tbl>
      <w:tblPr>
        <w:tblW w:w="9305" w:type="dxa"/>
        <w:jc w:val="left"/>
        <w:tblInd w:w="900" w:type="dxa"/>
        <w:tblLayout w:type="fixed"/>
        <w:tblCellMar>
          <w:top w:w="0" w:type="dxa"/>
          <w:left w:w="0" w:type="dxa"/>
          <w:bottom w:w="0" w:type="dxa"/>
          <w:right w:w="0" w:type="dxa"/>
        </w:tblCellMar>
      </w:tblPr>
      <w:tblGrid>
        <w:gridCol w:w="3313"/>
        <w:gridCol w:w="109"/>
        <w:gridCol w:w="109"/>
        <w:gridCol w:w="109"/>
        <w:gridCol w:w="109"/>
        <w:gridCol w:w="427"/>
        <w:gridCol w:w="109"/>
        <w:gridCol w:w="109"/>
        <w:gridCol w:w="109"/>
        <w:gridCol w:w="109"/>
        <w:gridCol w:w="109"/>
        <w:gridCol w:w="427"/>
        <w:gridCol w:w="109"/>
        <w:gridCol w:w="109"/>
        <w:gridCol w:w="109"/>
        <w:gridCol w:w="109"/>
        <w:gridCol w:w="109"/>
        <w:gridCol w:w="427"/>
        <w:gridCol w:w="109"/>
        <w:gridCol w:w="109"/>
        <w:gridCol w:w="109"/>
        <w:gridCol w:w="109"/>
        <w:gridCol w:w="109"/>
        <w:gridCol w:w="427"/>
        <w:gridCol w:w="109"/>
        <w:gridCol w:w="109"/>
        <w:gridCol w:w="109"/>
        <w:gridCol w:w="109"/>
        <w:gridCol w:w="109"/>
        <w:gridCol w:w="427"/>
        <w:gridCol w:w="109"/>
        <w:gridCol w:w="109"/>
        <w:gridCol w:w="109"/>
        <w:gridCol w:w="109"/>
        <w:gridCol w:w="109"/>
        <w:gridCol w:w="427"/>
        <w:gridCol w:w="109"/>
        <w:gridCol w:w="160"/>
      </w:tblGrid>
      <w:tr>
        <w:trPr/>
        <w:tc>
          <w:tcPr>
            <w:tcW w:w="331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614" w:type="dxa"/>
            <w:gridSpan w:val="34"/>
            <w:tcBorders>
              <w:bottom w:val="single" w:sz="2" w:space="0" w:color="1F2668"/>
            </w:tcBorders>
            <w:tcMar>
              <w:bottom w:w="70" w:type="dxa"/>
            </w:tcMar>
            <w:vAlign w:val="center"/>
          </w:tcPr>
          <w:p>
            <w:pPr>
              <w:pStyle w:val="TableContents"/>
              <w:bidi w:val="0"/>
              <w:spacing w:before="0" w:after="0"/>
              <w:jc w:val="center"/>
              <w:rPr>
                <w:spacing w:val="-2"/>
              </w:rPr>
            </w:pPr>
            <w:r>
              <w:rPr>
                <w:spacing w:val="-2"/>
              </w:rPr>
              <w:t xml:space="preserve">Stockholder Outreach following Annual Meeting </w:t>
            </w:r>
          </w:p>
        </w:tc>
        <w:tc>
          <w:tcPr>
            <w:tcW w:w="160"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31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754" w:type="dxa"/>
            <w:gridSpan w:val="4"/>
            <w:tcBorders>
              <w:bottom w:val="single" w:sz="2" w:space="0" w:color="1F2668"/>
            </w:tcBorders>
            <w:tcMar>
              <w:bottom w:w="70" w:type="dxa"/>
            </w:tcMar>
            <w:vAlign w:val="center"/>
          </w:tcPr>
          <w:p>
            <w:pPr>
              <w:pStyle w:val="TableContents"/>
              <w:bidi w:val="0"/>
              <w:spacing w:before="0" w:after="0"/>
              <w:jc w:val="right"/>
              <w:rPr/>
            </w:pPr>
            <w:r>
              <w:rPr>
                <w:spacing w:val="-2"/>
              </w:rPr>
              <w:t>2025</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754" w:type="dxa"/>
            <w:gridSpan w:val="4"/>
            <w:tcBorders>
              <w:bottom w:val="single" w:sz="2" w:space="0" w:color="1F2668"/>
            </w:tcBorders>
            <w:tcMar>
              <w:bottom w:w="70" w:type="dxa"/>
            </w:tcMar>
            <w:vAlign w:val="center"/>
          </w:tcPr>
          <w:p>
            <w:pPr>
              <w:pStyle w:val="TableContents"/>
              <w:bidi w:val="0"/>
              <w:spacing w:before="0" w:after="0"/>
              <w:jc w:val="right"/>
              <w:rPr/>
            </w:pPr>
            <w:r>
              <w:rPr>
                <w:spacing w:val="-2"/>
              </w:rPr>
              <w:t>2024</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754" w:type="dxa"/>
            <w:gridSpan w:val="4"/>
            <w:tcBorders>
              <w:bottom w:val="single" w:sz="2" w:space="0" w:color="1F2668"/>
            </w:tcBorders>
            <w:tcMar>
              <w:bottom w:w="70" w:type="dxa"/>
            </w:tcMar>
            <w:vAlign w:val="center"/>
          </w:tcPr>
          <w:p>
            <w:pPr>
              <w:pStyle w:val="TableContents"/>
              <w:bidi w:val="0"/>
              <w:spacing w:before="0" w:after="0"/>
              <w:jc w:val="right"/>
              <w:rPr/>
            </w:pPr>
            <w:r>
              <w:rPr>
                <w:spacing w:val="-2"/>
              </w:rPr>
              <w:t>2023</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754" w:type="dxa"/>
            <w:gridSpan w:val="4"/>
            <w:tcBorders>
              <w:bottom w:val="single" w:sz="2" w:space="0" w:color="1F2668"/>
            </w:tcBorders>
            <w:tcMar>
              <w:bottom w:w="70" w:type="dxa"/>
            </w:tcMar>
            <w:vAlign w:val="center"/>
          </w:tcPr>
          <w:p>
            <w:pPr>
              <w:pStyle w:val="TableContents"/>
              <w:bidi w:val="0"/>
              <w:spacing w:before="0" w:after="0"/>
              <w:jc w:val="right"/>
              <w:rPr/>
            </w:pPr>
            <w:r>
              <w:rPr>
                <w:spacing w:val="-2"/>
              </w:rPr>
              <w:t>2022</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754" w:type="dxa"/>
            <w:gridSpan w:val="4"/>
            <w:tcBorders>
              <w:bottom w:val="single" w:sz="2" w:space="0" w:color="1F2668"/>
            </w:tcBorders>
            <w:tcMar>
              <w:bottom w:w="70" w:type="dxa"/>
            </w:tcMar>
            <w:vAlign w:val="center"/>
          </w:tcPr>
          <w:p>
            <w:pPr>
              <w:pStyle w:val="TableContents"/>
              <w:bidi w:val="0"/>
              <w:spacing w:before="0" w:after="0"/>
              <w:jc w:val="right"/>
              <w:rPr/>
            </w:pPr>
            <w:r>
              <w:rPr>
                <w:spacing w:val="-2"/>
              </w:rPr>
              <w:t>2021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754" w:type="dxa"/>
            <w:gridSpan w:val="4"/>
            <w:tcBorders>
              <w:bottom w:val="single" w:sz="2" w:space="0" w:color="1F2668"/>
            </w:tcBorders>
            <w:tcMar>
              <w:bottom w:w="70" w:type="dxa"/>
            </w:tcMar>
            <w:vAlign w:val="center"/>
          </w:tcPr>
          <w:p>
            <w:pPr>
              <w:pStyle w:val="TableContents"/>
              <w:bidi w:val="0"/>
              <w:spacing w:before="0" w:after="0"/>
              <w:jc w:val="right"/>
              <w:rPr/>
            </w:pPr>
            <w:r>
              <w:rPr>
                <w:spacing w:val="-2"/>
              </w:rPr>
              <w:t>2020</w:t>
            </w:r>
            <w:r>
              <w:rPr/>
              <w:t xml:space="preserve"> </w:t>
            </w:r>
          </w:p>
        </w:tc>
        <w:tc>
          <w:tcPr>
            <w:tcW w:w="160"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313" w:type="dxa"/>
            <w:tcBorders>
              <w:bottom w:val="single" w:sz="2" w:space="0" w:color="4B5088"/>
            </w:tcBorders>
            <w:tcMar>
              <w:bottom w:w="70" w:type="dxa"/>
            </w:tcMar>
            <w:vAlign w:val="center"/>
          </w:tcPr>
          <w:p>
            <w:pPr>
              <w:pStyle w:val="TableContents"/>
              <w:bidi w:val="0"/>
              <w:spacing w:before="0" w:after="0"/>
              <w:jc w:val="left"/>
              <w:rPr>
                <w:b w:val="false"/>
                <w:color w:val="1F2668"/>
                <w:spacing w:val="-2"/>
              </w:rPr>
            </w:pPr>
            <w:r>
              <w:rPr>
                <w:b w:val="false"/>
                <w:color w:val="1F2668"/>
                <w:spacing w:val="-2"/>
              </w:rPr>
              <w:t xml:space="preserve">Offered Engagement to stockholders owning approx.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427" w:type="dxa"/>
            <w:tcBorders>
              <w:bottom w:val="single" w:sz="2" w:space="0" w:color="4B5088"/>
            </w:tcBorders>
            <w:tcMar>
              <w:bottom w:w="70" w:type="dxa"/>
            </w:tcMar>
            <w:vAlign w:val="center"/>
          </w:tcPr>
          <w:p>
            <w:pPr>
              <w:pStyle w:val="TableContents"/>
              <w:bidi w:val="0"/>
              <w:spacing w:before="0" w:after="283"/>
              <w:jc w:val="right"/>
              <w:rPr/>
            </w:pPr>
            <w:r>
              <w:rPr/>
              <w:t>75%</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427" w:type="dxa"/>
            <w:tcBorders>
              <w:bottom w:val="single" w:sz="2" w:space="0" w:color="4B5088"/>
            </w:tcBorders>
            <w:tcMar>
              <w:bottom w:w="70" w:type="dxa"/>
            </w:tcMar>
            <w:vAlign w:val="center"/>
          </w:tcPr>
          <w:p>
            <w:pPr>
              <w:pStyle w:val="TableContents"/>
              <w:bidi w:val="0"/>
              <w:spacing w:before="0" w:after="283"/>
              <w:jc w:val="right"/>
              <w:rPr/>
            </w:pPr>
            <w:r>
              <w:rPr/>
              <w:t>68%</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427" w:type="dxa"/>
            <w:tcBorders>
              <w:bottom w:val="single" w:sz="2" w:space="0" w:color="4B5088"/>
            </w:tcBorders>
            <w:tcMar>
              <w:bottom w:w="70" w:type="dxa"/>
            </w:tcMar>
            <w:vAlign w:val="center"/>
          </w:tcPr>
          <w:p>
            <w:pPr>
              <w:pStyle w:val="TableContents"/>
              <w:bidi w:val="0"/>
              <w:spacing w:before="0" w:after="283"/>
              <w:jc w:val="right"/>
              <w:rPr/>
            </w:pPr>
            <w:r>
              <w:rPr/>
              <w:t>75%</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427" w:type="dxa"/>
            <w:tcBorders>
              <w:bottom w:val="single" w:sz="2" w:space="0" w:color="4B5088"/>
            </w:tcBorders>
            <w:tcMar>
              <w:bottom w:w="70" w:type="dxa"/>
            </w:tcMar>
            <w:vAlign w:val="center"/>
          </w:tcPr>
          <w:p>
            <w:pPr>
              <w:pStyle w:val="TableContents"/>
              <w:bidi w:val="0"/>
              <w:spacing w:before="0" w:after="283"/>
              <w:jc w:val="right"/>
              <w:rPr/>
            </w:pPr>
            <w:r>
              <w:rPr/>
              <w:t>66%</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427" w:type="dxa"/>
            <w:tcBorders>
              <w:bottom w:val="single" w:sz="2" w:space="0" w:color="4B5088"/>
            </w:tcBorders>
            <w:tcMar>
              <w:bottom w:w="70" w:type="dxa"/>
            </w:tcMar>
            <w:vAlign w:val="center"/>
          </w:tcPr>
          <w:p>
            <w:pPr>
              <w:pStyle w:val="TableContents"/>
              <w:bidi w:val="0"/>
              <w:spacing w:before="0" w:after="283"/>
              <w:jc w:val="right"/>
              <w:rPr/>
            </w:pPr>
            <w:r>
              <w:rPr/>
              <w:t>65%</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427" w:type="dxa"/>
            <w:tcBorders>
              <w:bottom w:val="single" w:sz="2" w:space="0" w:color="4B5088"/>
            </w:tcBorders>
            <w:tcMar>
              <w:bottom w:w="70" w:type="dxa"/>
            </w:tcMar>
            <w:vAlign w:val="center"/>
          </w:tcPr>
          <w:p>
            <w:pPr>
              <w:pStyle w:val="TableContents"/>
              <w:bidi w:val="0"/>
              <w:spacing w:before="0" w:after="283"/>
              <w:jc w:val="right"/>
              <w:rPr/>
            </w:pPr>
            <w:r>
              <w:rPr/>
              <w:t>65%</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60"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313" w:type="dxa"/>
            <w:tcBorders>
              <w:bottom w:val="single" w:sz="2" w:space="0" w:color="4B5088"/>
            </w:tcBorders>
            <w:tcMar>
              <w:bottom w:w="70" w:type="dxa"/>
            </w:tcMar>
            <w:vAlign w:val="center"/>
          </w:tcPr>
          <w:p>
            <w:pPr>
              <w:pStyle w:val="TableContents"/>
              <w:bidi w:val="0"/>
              <w:spacing w:before="0" w:after="0"/>
              <w:jc w:val="left"/>
              <w:rPr>
                <w:b w:val="false"/>
                <w:color w:val="1F2668"/>
                <w:spacing w:val="-2"/>
              </w:rPr>
            </w:pPr>
            <w:r>
              <w:rPr>
                <w:b w:val="false"/>
                <w:color w:val="1F2668"/>
                <w:spacing w:val="-2"/>
              </w:rPr>
              <w:t xml:space="preserve">Had one-on-one discussions with stockholders owning approx.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427" w:type="dxa"/>
            <w:tcBorders>
              <w:bottom w:val="single" w:sz="2" w:space="0" w:color="4B5088"/>
            </w:tcBorders>
            <w:tcMar>
              <w:bottom w:w="70" w:type="dxa"/>
            </w:tcMar>
            <w:vAlign w:val="center"/>
          </w:tcPr>
          <w:p>
            <w:pPr>
              <w:pStyle w:val="TableContents"/>
              <w:bidi w:val="0"/>
              <w:spacing w:before="0" w:after="283"/>
              <w:jc w:val="right"/>
              <w:rPr/>
            </w:pPr>
            <w:r>
              <w:rPr/>
              <w:t>67%</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427" w:type="dxa"/>
            <w:tcBorders>
              <w:bottom w:val="single" w:sz="2" w:space="0" w:color="4B5088"/>
            </w:tcBorders>
            <w:tcMar>
              <w:bottom w:w="70" w:type="dxa"/>
            </w:tcMar>
            <w:vAlign w:val="center"/>
          </w:tcPr>
          <w:p>
            <w:pPr>
              <w:pStyle w:val="TableContents"/>
              <w:bidi w:val="0"/>
              <w:spacing w:before="0" w:after="283"/>
              <w:jc w:val="right"/>
              <w:rPr/>
            </w:pPr>
            <w:r>
              <w:rPr/>
              <w:t>44%</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427" w:type="dxa"/>
            <w:tcBorders>
              <w:bottom w:val="single" w:sz="2" w:space="0" w:color="4B5088"/>
            </w:tcBorders>
            <w:tcMar>
              <w:bottom w:w="70" w:type="dxa"/>
            </w:tcMar>
            <w:vAlign w:val="center"/>
          </w:tcPr>
          <w:p>
            <w:pPr>
              <w:pStyle w:val="TableContents"/>
              <w:bidi w:val="0"/>
              <w:spacing w:before="0" w:after="283"/>
              <w:jc w:val="right"/>
              <w:rPr/>
            </w:pPr>
            <w:r>
              <w:rPr/>
              <w:t>69%</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427" w:type="dxa"/>
            <w:tcBorders>
              <w:bottom w:val="single" w:sz="2" w:space="0" w:color="4B5088"/>
            </w:tcBorders>
            <w:tcMar>
              <w:bottom w:w="70" w:type="dxa"/>
            </w:tcMar>
            <w:vAlign w:val="center"/>
          </w:tcPr>
          <w:p>
            <w:pPr>
              <w:pStyle w:val="TableContents"/>
              <w:bidi w:val="0"/>
              <w:spacing w:before="0" w:after="283"/>
              <w:jc w:val="right"/>
              <w:rPr/>
            </w:pPr>
            <w:r>
              <w:rPr/>
              <w:t>30%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427" w:type="dxa"/>
            <w:tcBorders>
              <w:bottom w:val="single" w:sz="2" w:space="0" w:color="4B5088"/>
            </w:tcBorders>
            <w:tcMar>
              <w:bottom w:w="70" w:type="dxa"/>
            </w:tcMar>
            <w:vAlign w:val="center"/>
          </w:tcPr>
          <w:p>
            <w:pPr>
              <w:pStyle w:val="TableContents"/>
              <w:bidi w:val="0"/>
              <w:spacing w:before="0" w:after="283"/>
              <w:jc w:val="right"/>
              <w:rPr/>
            </w:pPr>
            <w:r>
              <w:rPr/>
              <w:t>50%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427" w:type="dxa"/>
            <w:tcBorders>
              <w:bottom w:val="single" w:sz="2" w:space="0" w:color="4B5088"/>
            </w:tcBorders>
            <w:tcMar>
              <w:bottom w:w="70" w:type="dxa"/>
            </w:tcMar>
            <w:vAlign w:val="center"/>
          </w:tcPr>
          <w:p>
            <w:pPr>
              <w:pStyle w:val="TableContents"/>
              <w:bidi w:val="0"/>
              <w:spacing w:before="0" w:after="283"/>
              <w:jc w:val="right"/>
              <w:rPr/>
            </w:pPr>
            <w:r>
              <w:rPr/>
              <w:t>41%</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60"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313" w:type="dxa"/>
            <w:tcBorders>
              <w:bottom w:val="single" w:sz="2" w:space="0" w:color="1F2668"/>
            </w:tcBorders>
            <w:tcMar>
              <w:bottom w:w="70" w:type="dxa"/>
            </w:tcMar>
            <w:vAlign w:val="center"/>
          </w:tcPr>
          <w:p>
            <w:pPr>
              <w:pStyle w:val="TableContents"/>
              <w:bidi w:val="0"/>
              <w:spacing w:before="0" w:after="0"/>
              <w:jc w:val="left"/>
              <w:rPr>
                <w:b w:val="false"/>
                <w:color w:val="1F2668"/>
                <w:spacing w:val="-2"/>
              </w:rPr>
            </w:pPr>
            <w:r>
              <w:rPr>
                <w:b w:val="false"/>
                <w:color w:val="1F2668"/>
                <w:spacing w:val="-2"/>
              </w:rPr>
              <w:t xml:space="preserve">Directors participated in calls with stockholders owning approx.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70" w:type="dxa"/>
            </w:tcMar>
            <w:vAlign w:val="center"/>
          </w:tcPr>
          <w:p>
            <w:pPr>
              <w:pStyle w:val="TableContents"/>
              <w:bidi w:val="0"/>
              <w:spacing w:before="0" w:after="283"/>
              <w:jc w:val="right"/>
              <w:rPr/>
            </w:pPr>
            <w:r>
              <w:rPr/>
              <w:t>​</w:t>
            </w:r>
          </w:p>
        </w:tc>
        <w:tc>
          <w:tcPr>
            <w:tcW w:w="427" w:type="dxa"/>
            <w:tcBorders>
              <w:bottom w:val="single" w:sz="2" w:space="0" w:color="1F2668"/>
            </w:tcBorders>
            <w:tcMar>
              <w:bottom w:w="70" w:type="dxa"/>
            </w:tcMar>
            <w:vAlign w:val="center"/>
          </w:tcPr>
          <w:p>
            <w:pPr>
              <w:pStyle w:val="TableContents"/>
              <w:bidi w:val="0"/>
              <w:spacing w:before="0" w:after="283"/>
              <w:jc w:val="right"/>
              <w:rPr/>
            </w:pPr>
            <w:r>
              <w:rPr/>
              <w:t>61%</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70" w:type="dxa"/>
            </w:tcMar>
            <w:vAlign w:val="center"/>
          </w:tcPr>
          <w:p>
            <w:pPr>
              <w:pStyle w:val="TableContents"/>
              <w:bidi w:val="0"/>
              <w:spacing w:before="0" w:after="283"/>
              <w:jc w:val="right"/>
              <w:rPr/>
            </w:pPr>
            <w:r>
              <w:rPr/>
              <w:t>​</w:t>
            </w:r>
          </w:p>
        </w:tc>
        <w:tc>
          <w:tcPr>
            <w:tcW w:w="427" w:type="dxa"/>
            <w:tcBorders>
              <w:bottom w:val="single" w:sz="2" w:space="0" w:color="1F2668"/>
            </w:tcBorders>
            <w:tcMar>
              <w:bottom w:w="70" w:type="dxa"/>
            </w:tcMar>
            <w:vAlign w:val="center"/>
          </w:tcPr>
          <w:p>
            <w:pPr>
              <w:pStyle w:val="TableContents"/>
              <w:bidi w:val="0"/>
              <w:spacing w:before="0" w:after="283"/>
              <w:jc w:val="right"/>
              <w:rPr/>
            </w:pPr>
            <w:r>
              <w:rPr/>
              <w:t>39%</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70" w:type="dxa"/>
            </w:tcMar>
            <w:vAlign w:val="center"/>
          </w:tcPr>
          <w:p>
            <w:pPr>
              <w:pStyle w:val="TableContents"/>
              <w:bidi w:val="0"/>
              <w:spacing w:before="0" w:after="283"/>
              <w:jc w:val="right"/>
              <w:rPr/>
            </w:pPr>
            <w:r>
              <w:rPr/>
              <w:t>​</w:t>
            </w:r>
          </w:p>
        </w:tc>
        <w:tc>
          <w:tcPr>
            <w:tcW w:w="427" w:type="dxa"/>
            <w:tcBorders>
              <w:bottom w:val="single" w:sz="2" w:space="0" w:color="1F2668"/>
            </w:tcBorders>
            <w:tcMar>
              <w:bottom w:w="70" w:type="dxa"/>
            </w:tcMar>
            <w:vAlign w:val="center"/>
          </w:tcPr>
          <w:p>
            <w:pPr>
              <w:pStyle w:val="TableContents"/>
              <w:bidi w:val="0"/>
              <w:spacing w:before="0" w:after="283"/>
              <w:jc w:val="right"/>
              <w:rPr/>
            </w:pPr>
            <w:r>
              <w:rPr/>
              <w:t>38%</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70" w:type="dxa"/>
            </w:tcMar>
            <w:vAlign w:val="center"/>
          </w:tcPr>
          <w:p>
            <w:pPr>
              <w:pStyle w:val="TableContents"/>
              <w:bidi w:val="0"/>
              <w:spacing w:before="0" w:after="283"/>
              <w:jc w:val="right"/>
              <w:rPr/>
            </w:pPr>
            <w:r>
              <w:rPr/>
              <w:t>​</w:t>
            </w:r>
          </w:p>
        </w:tc>
        <w:tc>
          <w:tcPr>
            <w:tcW w:w="427" w:type="dxa"/>
            <w:tcBorders>
              <w:bottom w:val="single" w:sz="2" w:space="0" w:color="1F2668"/>
            </w:tcBorders>
            <w:tcMar>
              <w:bottom w:w="70" w:type="dxa"/>
            </w:tcMar>
            <w:vAlign w:val="center"/>
          </w:tcPr>
          <w:p>
            <w:pPr>
              <w:pStyle w:val="TableContents"/>
              <w:bidi w:val="0"/>
              <w:spacing w:before="0" w:after="283"/>
              <w:jc w:val="right"/>
              <w:rPr/>
            </w:pPr>
            <w:r>
              <w:rPr/>
              <w:t>29%</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70" w:type="dxa"/>
            </w:tcMar>
            <w:vAlign w:val="center"/>
          </w:tcPr>
          <w:p>
            <w:pPr>
              <w:pStyle w:val="TableContents"/>
              <w:bidi w:val="0"/>
              <w:spacing w:before="0" w:after="283"/>
              <w:jc w:val="right"/>
              <w:rPr/>
            </w:pPr>
            <w:r>
              <w:rPr/>
              <w:t>​</w:t>
            </w:r>
          </w:p>
        </w:tc>
        <w:tc>
          <w:tcPr>
            <w:tcW w:w="427" w:type="dxa"/>
            <w:tcBorders>
              <w:bottom w:val="single" w:sz="2" w:space="0" w:color="1F2668"/>
            </w:tcBorders>
            <w:tcMar>
              <w:bottom w:w="70" w:type="dxa"/>
            </w:tcMar>
            <w:vAlign w:val="center"/>
          </w:tcPr>
          <w:p>
            <w:pPr>
              <w:pStyle w:val="TableContents"/>
              <w:bidi w:val="0"/>
              <w:spacing w:before="0" w:after="283"/>
              <w:jc w:val="right"/>
              <w:rPr/>
            </w:pPr>
            <w:r>
              <w:rPr/>
              <w:t>36%</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70" w:type="dxa"/>
            </w:tcMar>
            <w:vAlign w:val="center"/>
          </w:tcPr>
          <w:p>
            <w:pPr>
              <w:pStyle w:val="TableContents"/>
              <w:bidi w:val="0"/>
              <w:spacing w:before="0" w:after="283"/>
              <w:jc w:val="right"/>
              <w:rPr/>
            </w:pPr>
            <w:r>
              <w:rPr/>
              <w:t>​</w:t>
            </w:r>
          </w:p>
        </w:tc>
        <w:tc>
          <w:tcPr>
            <w:tcW w:w="427" w:type="dxa"/>
            <w:tcBorders>
              <w:bottom w:val="single" w:sz="2" w:space="0" w:color="1F2668"/>
            </w:tcBorders>
            <w:tcMar>
              <w:bottom w:w="70" w:type="dxa"/>
            </w:tcMar>
            <w:vAlign w:val="center"/>
          </w:tcPr>
          <w:p>
            <w:pPr>
              <w:pStyle w:val="TableContents"/>
              <w:bidi w:val="0"/>
              <w:spacing w:before="0" w:after="283"/>
              <w:jc w:val="right"/>
              <w:rPr/>
            </w:pPr>
            <w:r>
              <w:rPr/>
              <w:t>41%</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60" w:type="dxa"/>
            <w:tcBorders>
              <w:bottom w:val="single" w:sz="2" w:space="0" w:color="FFFFFF"/>
            </w:tcBorders>
            <w:tcMar>
              <w:bottom w:w="28" w:type="dxa"/>
            </w:tcMar>
            <w:vAlign w:val="center"/>
          </w:tcPr>
          <w:p>
            <w:pPr>
              <w:pStyle w:val="TableContents"/>
              <w:bidi w:val="0"/>
              <w:spacing w:before="0" w:after="283"/>
              <w:jc w:val="left"/>
              <w:rPr/>
            </w:pPr>
            <w:r>
              <w:rPr/>
              <w:t>​</w:t>
            </w:r>
          </w:p>
        </w:tc>
      </w:tr>
    </w:tbl>
    <w:tbl>
      <w:tblPr>
        <w:tblW w:w="9305" w:type="dxa"/>
        <w:jc w:val="left"/>
        <w:tblInd w:w="900" w:type="dxa"/>
        <w:tblLayout w:type="fixed"/>
        <w:tblCellMar>
          <w:top w:w="0" w:type="dxa"/>
          <w:left w:w="0" w:type="dxa"/>
          <w:bottom w:w="0" w:type="dxa"/>
          <w:right w:w="0" w:type="dxa"/>
        </w:tblCellMar>
      </w:tblPr>
      <w:tblGrid>
        <w:gridCol w:w="124"/>
        <w:gridCol w:w="109"/>
        <w:gridCol w:w="3630"/>
        <w:gridCol w:w="109"/>
        <w:gridCol w:w="109"/>
        <w:gridCol w:w="109"/>
        <w:gridCol w:w="4851"/>
        <w:gridCol w:w="109"/>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E9F9D8" w:val="clear"/>
            <w:tcMar>
              <w:bottom w:w="28" w:type="dxa"/>
            </w:tcMar>
            <w:vAlign w:val="center"/>
          </w:tcPr>
          <w:p>
            <w:pPr>
              <w:pStyle w:val="TableContents"/>
              <w:bidi w:val="0"/>
              <w:spacing w:before="0" w:after="283"/>
              <w:jc w:val="left"/>
              <w:rPr/>
            </w:pPr>
            <w:r>
              <w:rPr/>
              <w:t>​</w:t>
            </w:r>
          </w:p>
        </w:tc>
        <w:tc>
          <w:tcPr>
            <w:tcW w:w="3630" w:type="dxa"/>
            <w:tcBorders>
              <w:bottom w:val="single" w:sz="2" w:space="0" w:color="000000"/>
            </w:tcBorders>
            <w:shd w:fill="E9F9D8" w:val="clear"/>
            <w:tcMar>
              <w:bottom w:w="52" w:type="dxa"/>
            </w:tcMar>
            <w:vAlign w:val="center"/>
          </w:tcPr>
          <w:p>
            <w:pPr>
              <w:pStyle w:val="TableContents"/>
              <w:bidi w:val="0"/>
              <w:spacing w:before="0" w:after="0"/>
              <w:jc w:val="center"/>
              <w:rPr/>
            </w:pPr>
            <w:r>
              <w:rPr>
                <w:spacing w:val="-2"/>
              </w:rPr>
              <w:t xml:space="preserve">Shareholder Feedback </w:t>
              <w:br/>
              <w:t>(“What we heard”)</w:t>
            </w:r>
            <w:r>
              <w:rPr/>
              <w:t xml:space="preserve"> </w:t>
            </w:r>
          </w:p>
        </w:tc>
        <w:tc>
          <w:tcPr>
            <w:tcW w:w="109" w:type="dxa"/>
            <w:tcBorders>
              <w:bottom w:val="single" w:sz="2" w:space="0" w:color="000000"/>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83AD40"/>
            </w:tcBorders>
            <w:shd w:fill="83AD4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8D8D8" w:val="clear"/>
            <w:tcMar>
              <w:bottom w:w="28" w:type="dxa"/>
            </w:tcMar>
            <w:vAlign w:val="center"/>
          </w:tcPr>
          <w:p>
            <w:pPr>
              <w:pStyle w:val="TableContents"/>
              <w:bidi w:val="0"/>
              <w:spacing w:before="0" w:after="283"/>
              <w:jc w:val="left"/>
              <w:rPr/>
            </w:pPr>
            <w:r>
              <w:rPr/>
              <w:t>​</w:t>
            </w:r>
          </w:p>
        </w:tc>
        <w:tc>
          <w:tcPr>
            <w:tcW w:w="4851" w:type="dxa"/>
            <w:tcBorders>
              <w:bottom w:val="single" w:sz="2" w:space="0" w:color="000000"/>
            </w:tcBorders>
            <w:shd w:fill="D8D8D8" w:val="clear"/>
            <w:tcMar>
              <w:bottom w:w="52" w:type="dxa"/>
            </w:tcMar>
            <w:vAlign w:val="center"/>
          </w:tcPr>
          <w:p>
            <w:pPr>
              <w:pStyle w:val="TableContents"/>
              <w:bidi w:val="0"/>
              <w:spacing w:before="0" w:after="0"/>
              <w:jc w:val="center"/>
              <w:rPr/>
            </w:pPr>
            <w:r>
              <w:rPr>
                <w:spacing w:val="-2"/>
              </w:rPr>
              <w:t xml:space="preserve">Board Responsiveness </w:t>
              <w:br/>
              <w:t>(“What we did”)</w:t>
            </w:r>
            <w:r>
              <w:rPr/>
              <w:t xml:space="preserve"> </w:t>
            </w:r>
          </w:p>
        </w:tc>
        <w:tc>
          <w:tcPr>
            <w:tcW w:w="109" w:type="dxa"/>
            <w:tcBorders>
              <w:bottom w:val="single" w:sz="2" w:space="0" w:color="000000"/>
            </w:tcBorders>
            <w:shd w:fill="D8D8D8" w:val="clear"/>
            <w:tcMar>
              <w:bottom w:w="28" w:type="dxa"/>
            </w:tcMar>
            <w:vAlign w:val="center"/>
          </w:tcPr>
          <w:p>
            <w:pPr>
              <w:pStyle w:val="TableContents"/>
              <w:bidi w:val="0"/>
              <w:spacing w:before="0" w:after="283"/>
              <w:jc w:val="left"/>
              <w:rPr/>
            </w:pPr>
            <w:r>
              <w:rPr/>
              <w:t>​</w:t>
            </w:r>
          </w:p>
        </w:tc>
        <w:tc>
          <w:tcPr>
            <w:tcW w:w="155" w:type="dxa"/>
            <w:tcBorders/>
            <w:shd w:fill="D8D8D8"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E9F9D8" w:val="clear"/>
            <w:tcMar>
              <w:bottom w:w="28" w:type="dxa"/>
            </w:tcMar>
            <w:vAlign w:val="center"/>
          </w:tcPr>
          <w:p>
            <w:pPr>
              <w:pStyle w:val="TableContents"/>
              <w:bidi w:val="0"/>
              <w:spacing w:before="0" w:after="283"/>
              <w:jc w:val="left"/>
              <w:rPr/>
            </w:pPr>
            <w:r>
              <w:rPr/>
              <w:t>​</w:t>
            </w:r>
          </w:p>
        </w:tc>
        <w:tc>
          <w:tcPr>
            <w:tcW w:w="8808" w:type="dxa"/>
            <w:gridSpan w:val="5"/>
            <w:tcBorders>
              <w:bottom w:val="single" w:sz="2" w:space="0" w:color="000000"/>
            </w:tcBorders>
            <w:shd w:fill="E9F9D8" w:val="clear"/>
            <w:tcMar>
              <w:bottom w:w="28" w:type="dxa"/>
            </w:tcMar>
            <w:vAlign w:val="center"/>
          </w:tcPr>
          <w:p>
            <w:pPr>
              <w:pStyle w:val="TableContents"/>
              <w:bidi w:val="0"/>
              <w:spacing w:lineRule="atLeast" w:line="220" w:before="0" w:after="0"/>
              <w:jc w:val="center"/>
              <w:rPr/>
            </w:pPr>
            <w:r>
              <w:rPr>
                <w:spacing w:val="-2"/>
              </w:rPr>
              <w:t>Following the June 3, 2025 Annual Meeting</w:t>
            </w:r>
            <w:r>
              <w:rPr/>
              <w:t xml:space="preserve"> </w:t>
            </w:r>
          </w:p>
        </w:tc>
        <w:tc>
          <w:tcPr>
            <w:tcW w:w="109" w:type="dxa"/>
            <w:tcBorders>
              <w:bottom w:val="single" w:sz="2" w:space="0" w:color="000000"/>
            </w:tcBorders>
            <w:shd w:fill="E9F9D8" w:val="clear"/>
            <w:tcMar>
              <w:bottom w:w="28" w:type="dxa"/>
            </w:tcMar>
            <w:vAlign w:val="center"/>
          </w:tcPr>
          <w:p>
            <w:pPr>
              <w:pStyle w:val="TableContents"/>
              <w:bidi w:val="0"/>
              <w:spacing w:before="0" w:after="283"/>
              <w:jc w:val="left"/>
              <w:rPr/>
            </w:pPr>
            <w:r>
              <w:rPr/>
              <w:t>​</w:t>
            </w:r>
          </w:p>
        </w:tc>
        <w:tc>
          <w:tcPr>
            <w:tcW w:w="155" w:type="dxa"/>
            <w:tcBorders/>
            <w:shd w:fill="E9F9D8"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630" w:type="dxa"/>
            <w:tcBorders>
              <w:bottom w:val="single" w:sz="2" w:space="0" w:color="000000"/>
            </w:tcBorders>
            <w:tcMar>
              <w:bottom w:w="152" w:type="dxa"/>
            </w:tcMar>
            <w:vAlign w:val="center"/>
          </w:tcPr>
          <w:p>
            <w:pPr>
              <w:pStyle w:val="TableContents"/>
              <w:bidi w:val="0"/>
              <w:spacing w:before="0" w:after="283"/>
              <w:jc w:val="left"/>
              <w:rPr>
                <w:spacing w:val="-2"/>
              </w:rPr>
            </w:pPr>
            <w:r>
              <w:rPr>
                <w:spacing w:val="-2"/>
              </w:rPr>
              <w:t xml:space="preserve">Increase formulaic performance basis of NEOs’ annual bonus to at least 50%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83AD40"/>
            </w:tcBorders>
            <w:shd w:fill="83AD4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8D8D8" w:val="clear"/>
            <w:tcMar>
              <w:bottom w:w="28" w:type="dxa"/>
            </w:tcMar>
            <w:vAlign w:val="center"/>
          </w:tcPr>
          <w:p>
            <w:pPr>
              <w:pStyle w:val="TableContents"/>
              <w:bidi w:val="0"/>
              <w:spacing w:before="0" w:after="283"/>
              <w:jc w:val="left"/>
              <w:rPr/>
            </w:pPr>
            <w:r>
              <w:rPr/>
              <w:t>​</w:t>
            </w:r>
          </w:p>
        </w:tc>
        <w:tc>
          <w:tcPr>
            <w:tcW w:w="4851" w:type="dxa"/>
            <w:tcBorders>
              <w:bottom w:val="single" w:sz="2" w:space="0" w:color="000000"/>
            </w:tcBorders>
            <w:shd w:fill="D8D8D8" w:val="clear"/>
            <w:tcMar>
              <w:bottom w:w="152" w:type="dxa"/>
            </w:tcMar>
            <w:vAlign w:val="center"/>
          </w:tcPr>
          <w:p>
            <w:pPr>
              <w:pStyle w:val="TableContents"/>
              <w:bidi w:val="0"/>
              <w:spacing w:before="0" w:after="0"/>
              <w:jc w:val="left"/>
              <w:rPr/>
            </w:pPr>
            <w:r>
              <w:rPr>
                <w:spacing w:val="-2"/>
                <w:u w:val="single"/>
              </w:rPr>
              <w:t>August 2025: General Counsel Employment Agreement</w:t>
            </w:r>
            <w:r>
              <w:rPr/>
              <w:t xml:space="preserve"> </w:t>
              <w:br/>
            </w:r>
            <w:r>
              <w:rPr>
                <w:spacing w:val="-2"/>
              </w:rPr>
              <w:t>Implemented 50% formulaic performance-based annual bonus versus prior annual bonus structure which was 100% discretionary</w:t>
            </w:r>
            <w:r>
              <w:rPr/>
              <w:t xml:space="preserve"> </w:t>
            </w:r>
          </w:p>
          <w:p>
            <w:pPr>
              <w:pStyle w:val="TableContents"/>
              <w:bidi w:val="0"/>
              <w:spacing w:before="120" w:after="283"/>
              <w:jc w:val="left"/>
              <w:rPr/>
            </w:pPr>
            <w:r>
              <w:rPr>
                <w:spacing w:val="-2"/>
                <w:u w:val="single"/>
              </w:rPr>
              <w:t>February 2026: President and Chief Investment Officer Employment Agreement</w:t>
            </w:r>
            <w:r>
              <w:rPr/>
              <w:t xml:space="preserve"> </w:t>
            </w:r>
          </w:p>
          <w:p>
            <w:pPr>
              <w:pStyle w:val="TableContents"/>
              <w:bidi w:val="0"/>
              <w:spacing w:before="120" w:after="283"/>
              <w:jc w:val="left"/>
              <w:rPr>
                <w:spacing w:val="-2"/>
              </w:rPr>
            </w:pPr>
            <w:r>
              <w:rPr>
                <w:spacing w:val="-2"/>
              </w:rPr>
              <w:t xml:space="preserve">Implemented 75% performance-based annual bonus </w:t>
            </w:r>
          </w:p>
        </w:tc>
        <w:tc>
          <w:tcPr>
            <w:tcW w:w="109" w:type="dxa"/>
            <w:tcBorders>
              <w:bottom w:val="single" w:sz="2" w:space="0" w:color="000000"/>
            </w:tcBorders>
            <w:shd w:fill="D8D8D8" w:val="clear"/>
            <w:tcMar>
              <w:bottom w:w="28" w:type="dxa"/>
            </w:tcMar>
            <w:vAlign w:val="center"/>
          </w:tcPr>
          <w:p>
            <w:pPr>
              <w:pStyle w:val="TableContents"/>
              <w:bidi w:val="0"/>
              <w:spacing w:before="0" w:after="283"/>
              <w:jc w:val="left"/>
              <w:rPr/>
            </w:pPr>
            <w:r>
              <w:rPr/>
              <w:t>​</w:t>
            </w:r>
          </w:p>
        </w:tc>
        <w:tc>
          <w:tcPr>
            <w:tcW w:w="155" w:type="dxa"/>
            <w:tcBorders/>
            <w:shd w:fill="D8D8D8"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630" w:type="dxa"/>
            <w:tcBorders>
              <w:bottom w:val="single" w:sz="2" w:space="0" w:color="000000"/>
            </w:tcBorders>
            <w:tcMar>
              <w:bottom w:w="28" w:type="dxa"/>
            </w:tcMar>
            <w:vAlign w:val="center"/>
          </w:tcPr>
          <w:p>
            <w:pPr>
              <w:pStyle w:val="TableContents"/>
              <w:bidi w:val="0"/>
              <w:spacing w:before="0" w:after="283"/>
              <w:jc w:val="left"/>
              <w:rPr>
                <w:spacing w:val="-2"/>
              </w:rPr>
            </w:pPr>
            <w:r>
              <w:rPr>
                <w:spacing w:val="-2"/>
              </w:rPr>
              <w:t xml:space="preserve">Ensure NEO compensation plans do not include “guaranteed” incentives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83AD40"/>
            </w:tcBorders>
            <w:shd w:fill="83AD4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8D8D8" w:val="clear"/>
            <w:tcMar>
              <w:bottom w:w="28" w:type="dxa"/>
            </w:tcMar>
            <w:vAlign w:val="center"/>
          </w:tcPr>
          <w:p>
            <w:pPr>
              <w:pStyle w:val="TableContents"/>
              <w:bidi w:val="0"/>
              <w:spacing w:before="0" w:after="283"/>
              <w:jc w:val="left"/>
              <w:rPr/>
            </w:pPr>
            <w:r>
              <w:rPr/>
              <w:t>​</w:t>
            </w:r>
          </w:p>
        </w:tc>
        <w:tc>
          <w:tcPr>
            <w:tcW w:w="4851" w:type="dxa"/>
            <w:tcBorders>
              <w:bottom w:val="single" w:sz="2" w:space="0" w:color="000000"/>
            </w:tcBorders>
            <w:shd w:fill="D8D8D8" w:val="clear"/>
            <w:tcMar>
              <w:bottom w:w="28" w:type="dxa"/>
            </w:tcMar>
            <w:vAlign w:val="center"/>
          </w:tcPr>
          <w:p>
            <w:pPr>
              <w:pStyle w:val="TableContents"/>
              <w:bidi w:val="0"/>
              <w:spacing w:before="0" w:after="0"/>
              <w:jc w:val="left"/>
              <w:rPr>
                <w:sz w:val="18"/>
              </w:rPr>
            </w:pPr>
            <w:r>
              <w:rPr>
                <w:spacing w:val="-2"/>
                <w:sz w:val="18"/>
                <w:u w:val="single"/>
              </w:rPr>
              <w:t>June 2025: Amended CEO Employment Agreement</w:t>
            </w:r>
            <w:r>
              <w:rPr>
                <w:sz w:val="18"/>
              </w:rPr>
              <w:t xml:space="preserve"> </w:t>
              <w:br/>
            </w:r>
            <w:r>
              <w:rPr>
                <w:spacing w:val="-2"/>
                <w:sz w:val="18"/>
              </w:rPr>
              <w:t xml:space="preserve">Clarified that the CEO’s annual time-based award is not guaranteed, with the ultimate value to be determined by the Committee based on performance during the prior year </w:t>
            </w:r>
          </w:p>
        </w:tc>
        <w:tc>
          <w:tcPr>
            <w:tcW w:w="109" w:type="dxa"/>
            <w:tcBorders>
              <w:bottom w:val="single" w:sz="2" w:space="0" w:color="000000"/>
            </w:tcBorders>
            <w:shd w:fill="D8D8D8" w:val="clear"/>
            <w:tcMar>
              <w:bottom w:w="28" w:type="dxa"/>
            </w:tcMar>
            <w:vAlign w:val="center"/>
          </w:tcPr>
          <w:p>
            <w:pPr>
              <w:pStyle w:val="TableContents"/>
              <w:bidi w:val="0"/>
              <w:spacing w:before="0" w:after="283"/>
              <w:jc w:val="left"/>
              <w:rPr/>
            </w:pPr>
            <w:r>
              <w:rPr/>
              <w:t>​</w:t>
            </w:r>
          </w:p>
        </w:tc>
        <w:tc>
          <w:tcPr>
            <w:tcW w:w="155" w:type="dxa"/>
            <w:tcBorders/>
            <w:shd w:fill="D8D8D8"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630" w:type="dxa"/>
            <w:tcBorders>
              <w:bottom w:val="single" w:sz="2" w:space="0" w:color="000000"/>
            </w:tcBorders>
            <w:tcMar>
              <w:bottom w:w="152" w:type="dxa"/>
            </w:tcMar>
            <w:vAlign w:val="center"/>
          </w:tcPr>
          <w:p>
            <w:pPr>
              <w:pStyle w:val="TableContents"/>
              <w:bidi w:val="0"/>
              <w:spacing w:before="0" w:after="283"/>
              <w:jc w:val="left"/>
              <w:rPr>
                <w:spacing w:val="-2"/>
              </w:rPr>
            </w:pPr>
            <w:r>
              <w:rPr>
                <w:spacing w:val="-2"/>
              </w:rPr>
              <w:t xml:space="preserve">Eliminate formulaic cash payments following a change of control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83AD40"/>
            </w:tcBorders>
            <w:shd w:fill="83AD4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8D8D8" w:val="clear"/>
            <w:tcMar>
              <w:bottom w:w="28" w:type="dxa"/>
            </w:tcMar>
            <w:vAlign w:val="center"/>
          </w:tcPr>
          <w:p>
            <w:pPr>
              <w:pStyle w:val="TableContents"/>
              <w:bidi w:val="0"/>
              <w:spacing w:before="0" w:after="283"/>
              <w:jc w:val="left"/>
              <w:rPr/>
            </w:pPr>
            <w:r>
              <w:rPr/>
              <w:t>​</w:t>
            </w:r>
          </w:p>
        </w:tc>
        <w:tc>
          <w:tcPr>
            <w:tcW w:w="4851" w:type="dxa"/>
            <w:tcBorders>
              <w:bottom w:val="single" w:sz="2" w:space="0" w:color="000000"/>
            </w:tcBorders>
            <w:shd w:fill="D8D8D8" w:val="clear"/>
            <w:tcMar>
              <w:bottom w:w="152" w:type="dxa"/>
            </w:tcMar>
            <w:vAlign w:val="center"/>
          </w:tcPr>
          <w:p>
            <w:pPr>
              <w:pStyle w:val="TableContents"/>
              <w:bidi w:val="0"/>
              <w:spacing w:lineRule="atLeast" w:line="180" w:before="0" w:after="0"/>
              <w:jc w:val="left"/>
              <w:rPr/>
            </w:pPr>
            <w:r>
              <w:rPr>
                <w:spacing w:val="-2"/>
              </w:rPr>
              <w:t>Eliminated the provision in the:</w:t>
            </w:r>
            <w:r>
              <w:rPr/>
              <w:t xml:space="preserve"> </w:t>
            </w:r>
          </w:p>
          <w:p>
            <w:pPr>
              <w:pStyle w:val="TableContents"/>
              <w:bidi w:val="0"/>
              <w:spacing w:lineRule="atLeast" w:line="180" w:before="40" w:after="0"/>
              <w:ind w:left="140" w:right="0" w:hanging="0"/>
              <w:jc w:val="left"/>
              <w:rPr/>
            </w:pPr>
            <w:r>
              <w:rPr>
                <w:spacing w:val="-2"/>
              </w:rPr>
              <w:t>CEO employment agreement (June 2025)</w:t>
            </w:r>
            <w:r>
              <w:rPr/>
              <w:t xml:space="preserve"> </w:t>
            </w:r>
            <w:r>
              <mc:AlternateContent>
                <mc:Choice Requires="wps">
                  <w:drawing>
                    <wp:anchor behindDoc="0" distT="25400" distB="0" distL="0" distR="0" simplePos="0" locked="0" layoutInCell="1" allowOverlap="1" relativeHeight="567">
                      <wp:simplePos x="0" y="0"/>
                      <wp:positionH relativeFrom="column">
                        <wp:align>left</wp:align>
                      </wp:positionH>
                      <wp:positionV relativeFrom="line">
                        <wp:align>top</wp:align>
                      </wp:positionV>
                      <wp:extent cx="88900" cy="525780"/>
                      <wp:effectExtent l="0" t="0" r="0" b="0"/>
                      <wp:wrapSquare wrapText="right"/>
                      <wp:docPr id="611" name="Frame304"/>
                      <a:graphic xmlns:a="http://schemas.openxmlformats.org/drawingml/2006/main">
                        <a:graphicData uri="http://schemas.microsoft.com/office/word/2010/wordprocessingShape">
                          <wps:wsp>
                            <wps:cNvSpPr txBox="1"/>
                            <wps:spPr>
                              <a:xfrm>
                                <a:off x="0" y="0"/>
                                <a:ext cx="88900" cy="52578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7pt;height:41.4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40" w:after="0"/>
              <w:ind w:left="140" w:right="0" w:hanging="0"/>
              <w:jc w:val="left"/>
              <w:rPr/>
            </w:pPr>
            <w:r>
              <w:rPr>
                <w:spacing w:val="-2"/>
              </w:rPr>
              <w:t>General Counsel employment agreement (August 2025)</w:t>
            </w:r>
            <w:r>
              <w:rPr/>
              <w:t xml:space="preserve"> </w:t>
            </w:r>
            <w:r>
              <mc:AlternateContent>
                <mc:Choice Requires="wps">
                  <w:drawing>
                    <wp:anchor behindDoc="0" distT="25400" distB="0" distL="0" distR="0" simplePos="0" locked="0" layoutInCell="1" allowOverlap="1" relativeHeight="568">
                      <wp:simplePos x="0" y="0"/>
                      <wp:positionH relativeFrom="column">
                        <wp:align>left</wp:align>
                      </wp:positionH>
                      <wp:positionV relativeFrom="line">
                        <wp:align>top</wp:align>
                      </wp:positionV>
                      <wp:extent cx="88900" cy="525780"/>
                      <wp:effectExtent l="0" t="0" r="0" b="0"/>
                      <wp:wrapSquare wrapText="right"/>
                      <wp:docPr id="612" name="Frame305"/>
                      <a:graphic xmlns:a="http://schemas.openxmlformats.org/drawingml/2006/main">
                        <a:graphicData uri="http://schemas.microsoft.com/office/word/2010/wordprocessingShape">
                          <wps:wsp>
                            <wps:cNvSpPr txBox="1"/>
                            <wps:spPr>
                              <a:xfrm>
                                <a:off x="0" y="0"/>
                                <a:ext cx="88900" cy="52578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7pt;height:41.4pt;mso-wrap-distance-left:0pt;mso-wrap-distance-right:0pt;mso-wrap-distance-top:2pt;mso-wrap-distance-bottom:0pt;margin-top:2pt;mso-position-vertical:top;mso-position-vertical-relative:text;margin-left:7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40" w:after="0"/>
              <w:ind w:left="140" w:right="0" w:hanging="0"/>
              <w:jc w:val="left"/>
              <w:rPr/>
            </w:pPr>
            <w:r>
              <w:rPr>
                <w:spacing w:val="-2"/>
              </w:rPr>
              <w:t>CFO employment agreement (February 2026)</w:t>
            </w:r>
            <w:r>
              <w:rPr/>
              <w:t xml:space="preserve"> </w:t>
            </w:r>
            <w:r>
              <mc:AlternateContent>
                <mc:Choice Requires="wps">
                  <w:drawing>
                    <wp:anchor behindDoc="0" distT="25400" distB="0" distL="0" distR="0" simplePos="0" locked="0" layoutInCell="1" allowOverlap="1" relativeHeight="569">
                      <wp:simplePos x="0" y="0"/>
                      <wp:positionH relativeFrom="column">
                        <wp:align>left</wp:align>
                      </wp:positionH>
                      <wp:positionV relativeFrom="line">
                        <wp:align>top</wp:align>
                      </wp:positionV>
                      <wp:extent cx="88900" cy="525780"/>
                      <wp:effectExtent l="0" t="0" r="0" b="0"/>
                      <wp:wrapSquare wrapText="right"/>
                      <wp:docPr id="613" name="Frame306"/>
                      <a:graphic xmlns:a="http://schemas.openxmlformats.org/drawingml/2006/main">
                        <a:graphicData uri="http://schemas.microsoft.com/office/word/2010/wordprocessingShape">
                          <wps:wsp>
                            <wps:cNvSpPr txBox="1"/>
                            <wps:spPr>
                              <a:xfrm>
                                <a:off x="0" y="0"/>
                                <a:ext cx="88900" cy="52578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7pt;height:41.4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40" w:after="0"/>
              <w:ind w:left="140" w:right="0" w:hanging="0"/>
              <w:jc w:val="left"/>
              <w:rPr>
                <w:spacing w:val="-2"/>
              </w:rPr>
            </w:pPr>
            <w:r>
              <w:rPr>
                <w:spacing w:val="-2"/>
              </w:rPr>
              <w:t xml:space="preserve">President employment agreement (February 2026) </w:t>
            </w:r>
            <w:r>
              <mc:AlternateContent>
                <mc:Choice Requires="wps">
                  <w:drawing>
                    <wp:anchor behindDoc="0" distT="25400" distB="0" distL="0" distR="0" simplePos="0" locked="0" layoutInCell="1" allowOverlap="1" relativeHeight="570">
                      <wp:simplePos x="0" y="0"/>
                      <wp:positionH relativeFrom="column">
                        <wp:align>left</wp:align>
                      </wp:positionH>
                      <wp:positionV relativeFrom="line">
                        <wp:align>top</wp:align>
                      </wp:positionV>
                      <wp:extent cx="88900" cy="525780"/>
                      <wp:effectExtent l="0" t="0" r="0" b="0"/>
                      <wp:wrapSquare wrapText="right"/>
                      <wp:docPr id="614" name="Frame307"/>
                      <a:graphic xmlns:a="http://schemas.openxmlformats.org/drawingml/2006/main">
                        <a:graphicData uri="http://schemas.microsoft.com/office/word/2010/wordprocessingShape">
                          <wps:wsp>
                            <wps:cNvSpPr txBox="1"/>
                            <wps:spPr>
                              <a:xfrm>
                                <a:off x="0" y="0"/>
                                <a:ext cx="88900" cy="52578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7pt;height:41.4pt;mso-wrap-distance-left:0pt;mso-wrap-distance-right:0pt;mso-wrap-distance-top:2pt;mso-wrap-distance-bottom:0pt;margin-top:2pt;mso-position-vertical:top;mso-position-vertical-relative:text;margin-left:7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000000"/>
            </w:tcBorders>
            <w:shd w:fill="D8D8D8" w:val="clear"/>
            <w:tcMar>
              <w:bottom w:w="28" w:type="dxa"/>
            </w:tcMar>
            <w:vAlign w:val="center"/>
          </w:tcPr>
          <w:p>
            <w:pPr>
              <w:pStyle w:val="TableContents"/>
              <w:bidi w:val="0"/>
              <w:spacing w:before="0" w:after="283"/>
              <w:jc w:val="left"/>
              <w:rPr/>
            </w:pPr>
            <w:r>
              <w:rPr/>
              <w:t>​</w:t>
            </w:r>
          </w:p>
        </w:tc>
        <w:tc>
          <w:tcPr>
            <w:tcW w:w="155" w:type="dxa"/>
            <w:tcBorders/>
            <w:shd w:fill="D8D8D8"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630" w:type="dxa"/>
            <w:tcBorders>
              <w:bottom w:val="single" w:sz="2" w:space="0" w:color="000000"/>
            </w:tcBorders>
            <w:tcMar>
              <w:bottom w:w="125" w:type="dxa"/>
            </w:tcMar>
            <w:vAlign w:val="center"/>
          </w:tcPr>
          <w:p>
            <w:pPr>
              <w:pStyle w:val="TableContents"/>
              <w:bidi w:val="0"/>
              <w:spacing w:before="0" w:after="283"/>
              <w:jc w:val="left"/>
              <w:rPr>
                <w:spacing w:val="-2"/>
              </w:rPr>
            </w:pPr>
            <w:r>
              <w:rPr>
                <w:spacing w:val="-2"/>
              </w:rPr>
              <w:t xml:space="preserve">Eliminate short-term performance periods in long-term performance incentives plan for all NEOs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83AD40"/>
            </w:tcBorders>
            <w:shd w:fill="83AD4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8D8D8" w:val="clear"/>
            <w:tcMar>
              <w:bottom w:w="28" w:type="dxa"/>
            </w:tcMar>
            <w:vAlign w:val="center"/>
          </w:tcPr>
          <w:p>
            <w:pPr>
              <w:pStyle w:val="TableContents"/>
              <w:bidi w:val="0"/>
              <w:spacing w:before="0" w:after="283"/>
              <w:jc w:val="left"/>
              <w:rPr/>
            </w:pPr>
            <w:r>
              <w:rPr/>
              <w:t>​</w:t>
            </w:r>
          </w:p>
        </w:tc>
        <w:tc>
          <w:tcPr>
            <w:tcW w:w="4851" w:type="dxa"/>
            <w:tcBorders>
              <w:bottom w:val="single" w:sz="2" w:space="0" w:color="000000"/>
            </w:tcBorders>
            <w:shd w:fill="D8D8D8" w:val="clear"/>
            <w:tcMar>
              <w:bottom w:w="125" w:type="dxa"/>
            </w:tcMar>
            <w:vAlign w:val="center"/>
          </w:tcPr>
          <w:p>
            <w:pPr>
              <w:pStyle w:val="TableContents"/>
              <w:bidi w:val="0"/>
              <w:spacing w:before="0" w:after="0"/>
              <w:jc w:val="left"/>
              <w:rPr/>
            </w:pPr>
            <w:r>
              <w:rPr>
                <w:spacing w:val="-2"/>
              </w:rPr>
              <w:t>Adopted three-year performance goals in long-term performance equity awards for:</w:t>
            </w:r>
            <w:r>
              <w:rPr/>
              <w:t xml:space="preserve"> </w:t>
            </w:r>
          </w:p>
          <w:p>
            <w:pPr>
              <w:pStyle w:val="TableContents"/>
              <w:bidi w:val="0"/>
              <w:spacing w:lineRule="atLeast" w:line="180" w:before="40" w:after="0"/>
              <w:ind w:left="140" w:right="0" w:hanging="0"/>
              <w:jc w:val="left"/>
              <w:rPr/>
            </w:pPr>
            <w:r>
              <w:rPr>
                <w:spacing w:val="-2"/>
              </w:rPr>
              <w:t>General Counsel’s 2025 equity awards</w:t>
            </w:r>
            <w:r>
              <w:rPr/>
              <w:t xml:space="preserve"> </w:t>
            </w:r>
            <w:r>
              <mc:AlternateContent>
                <mc:Choice Requires="wps">
                  <w:drawing>
                    <wp:anchor behindDoc="0" distT="25400" distB="0" distL="0" distR="0" simplePos="0" locked="0" layoutInCell="1" allowOverlap="1" relativeHeight="571">
                      <wp:simplePos x="0" y="0"/>
                      <wp:positionH relativeFrom="column">
                        <wp:align>left</wp:align>
                      </wp:positionH>
                      <wp:positionV relativeFrom="line">
                        <wp:align>top</wp:align>
                      </wp:positionV>
                      <wp:extent cx="88900" cy="525780"/>
                      <wp:effectExtent l="0" t="0" r="0" b="0"/>
                      <wp:wrapSquare wrapText="right"/>
                      <wp:docPr id="615" name="Frame308"/>
                      <a:graphic xmlns:a="http://schemas.openxmlformats.org/drawingml/2006/main">
                        <a:graphicData uri="http://schemas.microsoft.com/office/word/2010/wordprocessingShape">
                          <wps:wsp>
                            <wps:cNvSpPr txBox="1"/>
                            <wps:spPr>
                              <a:xfrm>
                                <a:off x="0" y="0"/>
                                <a:ext cx="88900" cy="52578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7pt;height:41.4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40" w:after="0"/>
              <w:ind w:left="140" w:right="0" w:hanging="0"/>
              <w:jc w:val="left"/>
              <w:rPr/>
            </w:pPr>
            <w:r>
              <w:rPr>
                <w:spacing w:val="-2"/>
              </w:rPr>
              <w:t>CFO’s 2026 equity awards</w:t>
            </w:r>
            <w:r>
              <w:rPr/>
              <w:t xml:space="preserve"> </w:t>
            </w:r>
            <w:r>
              <mc:AlternateContent>
                <mc:Choice Requires="wps">
                  <w:drawing>
                    <wp:anchor behindDoc="0" distT="25400" distB="0" distL="0" distR="0" simplePos="0" locked="0" layoutInCell="1" allowOverlap="1" relativeHeight="572">
                      <wp:simplePos x="0" y="0"/>
                      <wp:positionH relativeFrom="column">
                        <wp:align>left</wp:align>
                      </wp:positionH>
                      <wp:positionV relativeFrom="line">
                        <wp:align>top</wp:align>
                      </wp:positionV>
                      <wp:extent cx="88900" cy="525780"/>
                      <wp:effectExtent l="0" t="0" r="0" b="0"/>
                      <wp:wrapSquare wrapText="right"/>
                      <wp:docPr id="616" name="Frame309"/>
                      <a:graphic xmlns:a="http://schemas.openxmlformats.org/drawingml/2006/main">
                        <a:graphicData uri="http://schemas.microsoft.com/office/word/2010/wordprocessingShape">
                          <wps:wsp>
                            <wps:cNvSpPr txBox="1"/>
                            <wps:spPr>
                              <a:xfrm>
                                <a:off x="0" y="0"/>
                                <a:ext cx="88900" cy="52578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7pt;height:41.4pt;mso-wrap-distance-left:0pt;mso-wrap-distance-right:0pt;mso-wrap-distance-top:2pt;mso-wrap-distance-bottom:0pt;margin-top:2pt;mso-position-vertical:top;mso-position-vertical-relative:text;margin-left:7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40" w:after="0"/>
              <w:ind w:left="140" w:right="0" w:hanging="0"/>
              <w:jc w:val="left"/>
              <w:rPr>
                <w:spacing w:val="-2"/>
              </w:rPr>
            </w:pPr>
            <w:r>
              <w:rPr>
                <w:spacing w:val="-2"/>
              </w:rPr>
              <w:t xml:space="preserve">President’s 2026 equity awards </w:t>
            </w:r>
            <w:r>
              <mc:AlternateContent>
                <mc:Choice Requires="wps">
                  <w:drawing>
                    <wp:anchor behindDoc="0" distT="25400" distB="0" distL="0" distR="0" simplePos="0" locked="0" layoutInCell="1" allowOverlap="1" relativeHeight="573">
                      <wp:simplePos x="0" y="0"/>
                      <wp:positionH relativeFrom="column">
                        <wp:align>left</wp:align>
                      </wp:positionH>
                      <wp:positionV relativeFrom="line">
                        <wp:align>top</wp:align>
                      </wp:positionV>
                      <wp:extent cx="88900" cy="525780"/>
                      <wp:effectExtent l="0" t="0" r="0" b="0"/>
                      <wp:wrapSquare wrapText="right"/>
                      <wp:docPr id="617" name="Frame310"/>
                      <a:graphic xmlns:a="http://schemas.openxmlformats.org/drawingml/2006/main">
                        <a:graphicData uri="http://schemas.microsoft.com/office/word/2010/wordprocessingShape">
                          <wps:wsp>
                            <wps:cNvSpPr txBox="1"/>
                            <wps:spPr>
                              <a:xfrm>
                                <a:off x="0" y="0"/>
                                <a:ext cx="88900" cy="52578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7pt;height:41.4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000000"/>
            </w:tcBorders>
            <w:shd w:fill="D8D8D8" w:val="clear"/>
            <w:tcMar>
              <w:bottom w:w="28" w:type="dxa"/>
            </w:tcMar>
            <w:vAlign w:val="center"/>
          </w:tcPr>
          <w:p>
            <w:pPr>
              <w:pStyle w:val="TableContents"/>
              <w:bidi w:val="0"/>
              <w:spacing w:before="0" w:after="283"/>
              <w:jc w:val="left"/>
              <w:rPr/>
            </w:pPr>
            <w:r>
              <w:rPr/>
              <w:t>​</w:t>
            </w:r>
          </w:p>
        </w:tc>
        <w:tc>
          <w:tcPr>
            <w:tcW w:w="155" w:type="dxa"/>
            <w:tcBorders/>
            <w:shd w:fill="D8D8D8"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E9F9D8" w:val="clear"/>
            <w:tcMar>
              <w:bottom w:w="28" w:type="dxa"/>
            </w:tcMar>
            <w:vAlign w:val="center"/>
          </w:tcPr>
          <w:p>
            <w:pPr>
              <w:pStyle w:val="TableContents"/>
              <w:bidi w:val="0"/>
              <w:spacing w:before="0" w:after="283"/>
              <w:jc w:val="left"/>
              <w:rPr/>
            </w:pPr>
            <w:r>
              <w:rPr/>
              <w:t>​</w:t>
            </w:r>
          </w:p>
        </w:tc>
        <w:tc>
          <w:tcPr>
            <w:tcW w:w="8808" w:type="dxa"/>
            <w:gridSpan w:val="5"/>
            <w:tcBorders>
              <w:bottom w:val="single" w:sz="2" w:space="0" w:color="000000"/>
            </w:tcBorders>
            <w:shd w:fill="E9F9D8" w:val="clear"/>
            <w:tcMar>
              <w:bottom w:w="28" w:type="dxa"/>
            </w:tcMar>
            <w:vAlign w:val="center"/>
          </w:tcPr>
          <w:p>
            <w:pPr>
              <w:pStyle w:val="TableContents"/>
              <w:bidi w:val="0"/>
              <w:spacing w:lineRule="atLeast" w:line="220" w:before="0" w:after="0"/>
              <w:jc w:val="center"/>
              <w:rPr/>
            </w:pPr>
            <w:r>
              <w:rPr>
                <w:spacing w:val="-2"/>
              </w:rPr>
              <w:t>Prior to the June 3, 2025 Annual Meeting</w:t>
            </w:r>
            <w:r>
              <w:rPr/>
              <w:t xml:space="preserve"> </w:t>
            </w:r>
          </w:p>
        </w:tc>
        <w:tc>
          <w:tcPr>
            <w:tcW w:w="109" w:type="dxa"/>
            <w:tcBorders>
              <w:bottom w:val="single" w:sz="2" w:space="0" w:color="000000"/>
            </w:tcBorders>
            <w:shd w:fill="E9F9D8" w:val="clear"/>
            <w:tcMar>
              <w:bottom w:w="28" w:type="dxa"/>
            </w:tcMar>
            <w:vAlign w:val="center"/>
          </w:tcPr>
          <w:p>
            <w:pPr>
              <w:pStyle w:val="TableContents"/>
              <w:bidi w:val="0"/>
              <w:spacing w:before="0" w:after="283"/>
              <w:jc w:val="left"/>
              <w:rPr/>
            </w:pPr>
            <w:r>
              <w:rPr/>
              <w:t>​</w:t>
            </w:r>
          </w:p>
        </w:tc>
        <w:tc>
          <w:tcPr>
            <w:tcW w:w="155" w:type="dxa"/>
            <w:tcBorders/>
            <w:shd w:fill="E9F9D8"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630" w:type="dxa"/>
            <w:tcBorders>
              <w:bottom w:val="single" w:sz="2" w:space="0" w:color="000000"/>
            </w:tcBorders>
            <w:tcMar>
              <w:bottom w:w="152" w:type="dxa"/>
            </w:tcMar>
            <w:vAlign w:val="center"/>
          </w:tcPr>
          <w:p>
            <w:pPr>
              <w:pStyle w:val="TableContents"/>
              <w:bidi w:val="0"/>
              <w:spacing w:before="0" w:after="283"/>
              <w:jc w:val="left"/>
              <w:rPr>
                <w:spacing w:val="-2"/>
              </w:rPr>
            </w:pPr>
            <w:r>
              <w:rPr>
                <w:spacing w:val="-2"/>
              </w:rPr>
              <w:t xml:space="preserve">Eliminate short term performance periods in long-term performance incentives plan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83AD40"/>
            </w:tcBorders>
            <w:shd w:fill="83AD4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8D8D8" w:val="clear"/>
            <w:tcMar>
              <w:bottom w:w="28" w:type="dxa"/>
            </w:tcMar>
            <w:vAlign w:val="center"/>
          </w:tcPr>
          <w:p>
            <w:pPr>
              <w:pStyle w:val="TableContents"/>
              <w:bidi w:val="0"/>
              <w:spacing w:before="0" w:after="283"/>
              <w:jc w:val="left"/>
              <w:rPr/>
            </w:pPr>
            <w:r>
              <w:rPr/>
              <w:t>​</w:t>
            </w:r>
          </w:p>
        </w:tc>
        <w:tc>
          <w:tcPr>
            <w:tcW w:w="4851" w:type="dxa"/>
            <w:tcBorders>
              <w:bottom w:val="single" w:sz="2" w:space="0" w:color="000000"/>
            </w:tcBorders>
            <w:shd w:fill="D8D8D8" w:val="clear"/>
            <w:tcMar>
              <w:bottom w:w="152" w:type="dxa"/>
            </w:tcMar>
            <w:vAlign w:val="center"/>
          </w:tcPr>
          <w:p>
            <w:pPr>
              <w:pStyle w:val="TableContents"/>
              <w:bidi w:val="0"/>
              <w:spacing w:lineRule="atLeast" w:line="180" w:before="0" w:after="0"/>
              <w:jc w:val="left"/>
              <w:rPr/>
            </w:pPr>
            <w:r>
              <w:rPr>
                <w:spacing w:val="-2"/>
                <w:u w:val="single"/>
              </w:rPr>
              <w:t>December 2024: CEO New Employment Agreement</w:t>
            </w:r>
            <w:r>
              <w:rPr/>
              <w:t xml:space="preserve"> </w:t>
            </w:r>
          </w:p>
          <w:p>
            <w:pPr>
              <w:pStyle w:val="TableContents"/>
              <w:bidi w:val="0"/>
              <w:spacing w:lineRule="atLeast" w:line="220" w:before="40" w:after="0"/>
              <w:ind w:left="140" w:right="0" w:hanging="0"/>
              <w:jc w:val="left"/>
              <w:rPr/>
            </w:pPr>
            <w:r>
              <w:rPr>
                <w:spacing w:val="-2"/>
              </w:rPr>
              <w:t>Eliminated short-term performance periods from long- term incentive plan</w:t>
            </w:r>
            <w:r>
              <w:rPr/>
              <w:t xml:space="preserve"> </w:t>
            </w:r>
            <w:r>
              <mc:AlternateContent>
                <mc:Choice Requires="wps">
                  <w:drawing>
                    <wp:anchor behindDoc="0" distT="25400" distB="0" distL="0" distR="0" simplePos="0" locked="0" layoutInCell="1" allowOverlap="1" relativeHeight="574">
                      <wp:simplePos x="0" y="0"/>
                      <wp:positionH relativeFrom="column">
                        <wp:align>left</wp:align>
                      </wp:positionH>
                      <wp:positionV relativeFrom="line">
                        <wp:align>top</wp:align>
                      </wp:positionV>
                      <wp:extent cx="88900" cy="525780"/>
                      <wp:effectExtent l="0" t="0" r="0" b="0"/>
                      <wp:wrapSquare wrapText="right"/>
                      <wp:docPr id="618" name="Frame311"/>
                      <a:graphic xmlns:a="http://schemas.openxmlformats.org/drawingml/2006/main">
                        <a:graphicData uri="http://schemas.microsoft.com/office/word/2010/wordprocessingShape">
                          <wps:wsp>
                            <wps:cNvSpPr txBox="1"/>
                            <wps:spPr>
                              <a:xfrm>
                                <a:off x="0" y="0"/>
                                <a:ext cx="88900" cy="52578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7pt;height:41.4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40" w:after="0"/>
              <w:ind w:left="140" w:right="0" w:hanging="0"/>
              <w:jc w:val="left"/>
              <w:rPr/>
            </w:pPr>
            <w:r>
              <w:rPr>
                <w:spacing w:val="-2"/>
              </w:rPr>
              <w:t>Adopted exclusively three-year performance goals in long-term performance equity awards</w:t>
            </w:r>
            <w:r>
              <w:rPr/>
              <w:t xml:space="preserve"> </w:t>
            </w:r>
            <w:r>
              <mc:AlternateContent>
                <mc:Choice Requires="wps">
                  <w:drawing>
                    <wp:anchor behindDoc="0" distT="25400" distB="0" distL="0" distR="0" simplePos="0" locked="0" layoutInCell="1" allowOverlap="1" relativeHeight="575">
                      <wp:simplePos x="0" y="0"/>
                      <wp:positionH relativeFrom="column">
                        <wp:align>left</wp:align>
                      </wp:positionH>
                      <wp:positionV relativeFrom="line">
                        <wp:align>top</wp:align>
                      </wp:positionV>
                      <wp:extent cx="88900" cy="525780"/>
                      <wp:effectExtent l="0" t="0" r="0" b="0"/>
                      <wp:wrapSquare wrapText="right"/>
                      <wp:docPr id="619" name="Frame312"/>
                      <a:graphic xmlns:a="http://schemas.openxmlformats.org/drawingml/2006/main">
                        <a:graphicData uri="http://schemas.microsoft.com/office/word/2010/wordprocessingShape">
                          <wps:wsp>
                            <wps:cNvSpPr txBox="1"/>
                            <wps:spPr>
                              <a:xfrm>
                                <a:off x="0" y="0"/>
                                <a:ext cx="88900" cy="52578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7pt;height:41.4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40" w:after="0"/>
              <w:ind w:left="140" w:right="0" w:hanging="0"/>
              <w:jc w:val="left"/>
              <w:rPr>
                <w:spacing w:val="-2"/>
              </w:rPr>
            </w:pPr>
            <w:r>
              <w:rPr>
                <w:spacing w:val="-2"/>
              </w:rPr>
              <w:t xml:space="preserve">Reduced target value from $7.5 million to $5.0 million in annual long-term performance-based equity awards </w:t>
            </w:r>
            <w:r>
              <mc:AlternateContent>
                <mc:Choice Requires="wps">
                  <w:drawing>
                    <wp:anchor behindDoc="0" distT="25400" distB="0" distL="0" distR="0" simplePos="0" locked="0" layoutInCell="1" allowOverlap="1" relativeHeight="576">
                      <wp:simplePos x="0" y="0"/>
                      <wp:positionH relativeFrom="column">
                        <wp:align>left</wp:align>
                      </wp:positionH>
                      <wp:positionV relativeFrom="line">
                        <wp:align>top</wp:align>
                      </wp:positionV>
                      <wp:extent cx="88900" cy="525780"/>
                      <wp:effectExtent l="0" t="0" r="0" b="0"/>
                      <wp:wrapSquare wrapText="right"/>
                      <wp:docPr id="620" name="Frame313"/>
                      <a:graphic xmlns:a="http://schemas.openxmlformats.org/drawingml/2006/main">
                        <a:graphicData uri="http://schemas.microsoft.com/office/word/2010/wordprocessingShape">
                          <wps:wsp>
                            <wps:cNvSpPr txBox="1"/>
                            <wps:spPr>
                              <a:xfrm>
                                <a:off x="0" y="0"/>
                                <a:ext cx="88900" cy="52578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7pt;height:41.4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000000"/>
            </w:tcBorders>
            <w:shd w:fill="D8D8D8" w:val="clear"/>
            <w:tcMar>
              <w:bottom w:w="28" w:type="dxa"/>
            </w:tcMar>
            <w:vAlign w:val="center"/>
          </w:tcPr>
          <w:p>
            <w:pPr>
              <w:pStyle w:val="TableContents"/>
              <w:bidi w:val="0"/>
              <w:spacing w:before="0" w:after="283"/>
              <w:jc w:val="left"/>
              <w:rPr/>
            </w:pPr>
            <w:r>
              <w:rPr/>
              <w:t>​</w:t>
            </w:r>
          </w:p>
        </w:tc>
        <w:tc>
          <w:tcPr>
            <w:tcW w:w="155" w:type="dxa"/>
            <w:tcBorders/>
            <w:shd w:fill="D8D8D8"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83AD40"/>
            </w:tcBorders>
            <w:tcMar>
              <w:bottom w:w="28" w:type="dxa"/>
            </w:tcMar>
            <w:vAlign w:val="center"/>
          </w:tcPr>
          <w:p>
            <w:pPr>
              <w:pStyle w:val="TableContents"/>
              <w:bidi w:val="0"/>
              <w:spacing w:before="0" w:after="283"/>
              <w:jc w:val="left"/>
              <w:rPr/>
            </w:pPr>
            <w:r>
              <w:rPr/>
              <w:t>​</w:t>
            </w:r>
          </w:p>
        </w:tc>
        <w:tc>
          <w:tcPr>
            <w:tcW w:w="3630" w:type="dxa"/>
            <w:tcBorders>
              <w:bottom w:val="single" w:sz="6" w:space="0" w:color="83AD40"/>
            </w:tcBorders>
            <w:tcMar>
              <w:bottom w:w="28" w:type="dxa"/>
            </w:tcMar>
            <w:vAlign w:val="center"/>
          </w:tcPr>
          <w:p>
            <w:pPr>
              <w:pStyle w:val="TableContents"/>
              <w:bidi w:val="0"/>
              <w:spacing w:before="0" w:after="283"/>
              <w:jc w:val="left"/>
              <w:rPr>
                <w:spacing w:val="-2"/>
              </w:rPr>
            </w:pPr>
            <w:r>
              <w:rPr>
                <w:spacing w:val="-2"/>
              </w:rPr>
              <w:t xml:space="preserve">Update cash severance basis to “average” and eliminate “maximum bonus” </w:t>
            </w:r>
          </w:p>
        </w:tc>
        <w:tc>
          <w:tcPr>
            <w:tcW w:w="109" w:type="dxa"/>
            <w:tcBorders>
              <w:bottom w:val="single" w:sz="6" w:space="0" w:color="83AD40"/>
            </w:tcBorders>
            <w:tcMar>
              <w:bottom w:w="28" w:type="dxa"/>
            </w:tcMar>
            <w:vAlign w:val="center"/>
          </w:tcPr>
          <w:p>
            <w:pPr>
              <w:pStyle w:val="TableContents"/>
              <w:bidi w:val="0"/>
              <w:spacing w:before="0" w:after="283"/>
              <w:jc w:val="left"/>
              <w:rPr/>
            </w:pPr>
            <w:r>
              <w:rPr/>
              <w:t>​</w:t>
            </w:r>
          </w:p>
        </w:tc>
        <w:tc>
          <w:tcPr>
            <w:tcW w:w="109" w:type="dxa"/>
            <w:tcBorders>
              <w:bottom w:val="single" w:sz="6" w:space="0" w:color="83AD40"/>
            </w:tcBorders>
            <w:shd w:fill="83AD40" w:val="clear"/>
            <w:tcMar>
              <w:bottom w:w="28" w:type="dxa"/>
            </w:tcMar>
            <w:vAlign w:val="center"/>
          </w:tcPr>
          <w:p>
            <w:pPr>
              <w:pStyle w:val="TableContents"/>
              <w:bidi w:val="0"/>
              <w:spacing w:before="0" w:after="283"/>
              <w:jc w:val="left"/>
              <w:rPr/>
            </w:pPr>
            <w:r>
              <w:rPr/>
              <w:t>​</w:t>
            </w:r>
          </w:p>
        </w:tc>
        <w:tc>
          <w:tcPr>
            <w:tcW w:w="109" w:type="dxa"/>
            <w:tcBorders>
              <w:bottom w:val="single" w:sz="6" w:space="0" w:color="83AD40"/>
            </w:tcBorders>
            <w:shd w:fill="D8D8D8" w:val="clear"/>
            <w:tcMar>
              <w:bottom w:w="28" w:type="dxa"/>
            </w:tcMar>
            <w:vAlign w:val="center"/>
          </w:tcPr>
          <w:p>
            <w:pPr>
              <w:pStyle w:val="TableContents"/>
              <w:bidi w:val="0"/>
              <w:spacing w:before="0" w:after="283"/>
              <w:jc w:val="left"/>
              <w:rPr/>
            </w:pPr>
            <w:r>
              <w:rPr/>
              <w:t>​</w:t>
            </w:r>
          </w:p>
        </w:tc>
        <w:tc>
          <w:tcPr>
            <w:tcW w:w="4851" w:type="dxa"/>
            <w:tcBorders>
              <w:bottom w:val="single" w:sz="6" w:space="0" w:color="83AD40"/>
            </w:tcBorders>
            <w:shd w:fill="D8D8D8" w:val="clear"/>
            <w:tcMar>
              <w:bottom w:w="28" w:type="dxa"/>
            </w:tcMar>
            <w:vAlign w:val="center"/>
          </w:tcPr>
          <w:p>
            <w:pPr>
              <w:pStyle w:val="TableContents"/>
              <w:bidi w:val="0"/>
              <w:spacing w:before="0" w:after="283"/>
              <w:jc w:val="left"/>
              <w:rPr/>
            </w:pPr>
            <w:r>
              <w:rPr>
                <w:spacing w:val="-2"/>
                <w:u w:val="single"/>
              </w:rPr>
              <w:t>December 2024: CEO New Employment Agreement</w:t>
            </w:r>
            <w:r>
              <w:rPr/>
              <w:t xml:space="preserve"> </w:t>
              <w:br/>
            </w:r>
            <w:r>
              <w:rPr>
                <w:spacing w:val="-2"/>
              </w:rPr>
              <w:t>Reduced cash severance basis from “maximum bonus” to “average bonus in prior two years”</w:t>
            </w:r>
            <w:r>
              <w:rPr/>
              <w:t xml:space="preserve"> </w:t>
            </w:r>
          </w:p>
        </w:tc>
        <w:tc>
          <w:tcPr>
            <w:tcW w:w="109" w:type="dxa"/>
            <w:tcBorders>
              <w:bottom w:val="single" w:sz="6" w:space="0" w:color="83AD40"/>
            </w:tcBorders>
            <w:shd w:fill="D8D8D8" w:val="clear"/>
            <w:tcMar>
              <w:bottom w:w="28" w:type="dxa"/>
            </w:tcMar>
            <w:vAlign w:val="center"/>
          </w:tcPr>
          <w:p>
            <w:pPr>
              <w:pStyle w:val="TableContents"/>
              <w:bidi w:val="0"/>
              <w:spacing w:before="0" w:after="283"/>
              <w:jc w:val="left"/>
              <w:rPr/>
            </w:pPr>
            <w:r>
              <w:rPr/>
              <w:t>​</w:t>
            </w:r>
          </w:p>
        </w:tc>
        <w:tc>
          <w:tcPr>
            <w:tcW w:w="155" w:type="dxa"/>
            <w:tcBorders/>
            <w:shd w:fill="D8D8D8" w:val="clear"/>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4330" w:type="dxa"/>
        <w:jc w:val="left"/>
        <w:tblInd w:w="900" w:type="dxa"/>
        <w:tblLayout w:type="fixed"/>
        <w:tblCellMar>
          <w:top w:w="0" w:type="dxa"/>
          <w:left w:w="0" w:type="dxa"/>
          <w:bottom w:w="0" w:type="dxa"/>
          <w:right w:w="0" w:type="dxa"/>
        </w:tblCellMar>
      </w:tblPr>
      <w:tblGrid>
        <w:gridCol w:w="124"/>
        <w:gridCol w:w="3488"/>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3488" w:type="dxa"/>
            <w:tcBorders/>
            <w:vAlign w:val="center"/>
          </w:tcPr>
          <w:p>
            <w:pPr>
              <w:pStyle w:val="TableContents"/>
              <w:bidi w:val="0"/>
              <w:spacing w:lineRule="atLeast" w:line="200" w:before="0" w:after="0"/>
              <w:jc w:val="left"/>
              <w:rPr/>
            </w:pPr>
            <w:r>
              <w:rPr>
                <w:spacing w:val="-2"/>
              </w:rPr>
              <w:t>EXECUTIVE COMPENSATION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color w:val="1F2668"/>
                <w:sz w:val="24"/>
              </w:rPr>
            </w:pPr>
            <w:r>
              <w:rPr>
                <w:color w:val="1F2668"/>
                <w:sz w:val="24"/>
              </w:rPr>
              <w:t>43</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60" w:before="560" w:after="154"/>
        <w:ind w:left="900" w:right="0" w:hanging="0"/>
        <w:jc w:val="left"/>
        <w:rPr>
          <w:rFonts w:ascii="Arial;Helvetica;sans-serif" w:hAnsi="Arial;Helvetica;sans-serif"/>
          <w:b/>
          <w:i w:val="false"/>
          <w:caps w:val="false"/>
          <w:smallCaps w:val="false"/>
          <w:color w:val="83AD40"/>
          <w:sz w:val="22"/>
        </w:rPr>
      </w:pPr>
      <w:r>
        <w:rPr>
          <w:rFonts w:ascii="Arial;Helvetica;sans-serif" w:hAnsi="Arial;Helvetica;sans-serif"/>
          <w:b/>
          <w:i w:val="false"/>
          <w:caps w:val="false"/>
          <w:smallCaps w:val="false"/>
          <w:color w:val="83AD40"/>
          <w:spacing w:val="-2"/>
          <w:sz w:val="22"/>
        </w:rPr>
        <w:t>Transformation of Executive Pay Reflects Stockholder Feedback</w:t>
      </w:r>
      <w:r>
        <w:rPr>
          <w:rFonts w:ascii="Arial;Helvetica;sans-serif" w:hAnsi="Arial;Helvetica;sans-serif"/>
          <w:b/>
          <w:i w:val="false"/>
          <w:caps w:val="false"/>
          <w:smallCaps w:val="false"/>
          <w:color w:val="000000"/>
          <w:spacing w:val="4"/>
          <w:sz w:val="22"/>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 xml:space="preserve">In line with stockholder feedback, we deliberately and decisively </w:t>
      </w:r>
      <w:r>
        <w:rPr>
          <w:rFonts w:ascii="Arial;Helvetica;sans-serif" w:hAnsi="Arial;Helvetica;sans-serif"/>
          <w:b/>
          <w:i w:val="false"/>
          <w:caps w:val="false"/>
          <w:smallCaps w:val="false"/>
          <w:color w:val="000000"/>
          <w:spacing w:val="-2"/>
          <w:sz w:val="18"/>
        </w:rPr>
        <w:t>transformed executive pay</w:t>
      </w:r>
      <w:r>
        <w:rPr>
          <w:rFonts w:ascii="Arial;Helvetica;sans-serif" w:hAnsi="Arial;Helvetica;sans-serif"/>
          <w:b w:val="false"/>
          <w:i w:val="false"/>
          <w:caps w:val="false"/>
          <w:smallCaps w:val="false"/>
          <w:color w:val="000000"/>
          <w:spacing w:val="-2"/>
          <w:sz w:val="18"/>
        </w:rPr>
        <w:t xml:space="preserve"> to focus on incentivizing and rewarding executives for actions that </w:t>
      </w:r>
      <w:r>
        <w:rPr>
          <w:rFonts w:ascii="Arial;Helvetica;sans-serif" w:hAnsi="Arial;Helvetica;sans-serif"/>
          <w:b/>
          <w:i w:val="false"/>
          <w:caps w:val="false"/>
          <w:smallCaps w:val="false"/>
          <w:color w:val="000000"/>
          <w:spacing w:val="-2"/>
          <w:sz w:val="18"/>
        </w:rPr>
        <w:t>create sustainable stockholder value</w:t>
      </w:r>
      <w:r>
        <w:rPr>
          <w:rFonts w:ascii="Arial;Helvetica;sans-serif" w:hAnsi="Arial;Helvetica;sans-serif"/>
          <w:b w:val="false"/>
          <w:i w:val="false"/>
          <w:caps w:val="false"/>
          <w:smallCaps w:val="false"/>
          <w:color w:val="000000"/>
          <w:spacing w:val="-2"/>
          <w:sz w:val="18"/>
        </w:rPr>
        <w:t>. The table below outlines our NEO compensation structure, specifically noting changes made in direct response to stockholder feedback.</w:t>
      </w:r>
      <w:r>
        <w:rPr>
          <w:rFonts w:ascii="Arial;Helvetica;sans-serif" w:hAnsi="Arial;Helvetica;sans-serif"/>
          <w:b w:val="false"/>
          <w:i w:val="false"/>
          <w:caps w:val="false"/>
          <w:smallCaps w:val="false"/>
          <w:color w:val="000000"/>
          <w:spacing w:val="4"/>
          <w:sz w:val="18"/>
        </w:rPr>
        <w:t xml:space="preserve"> </w:t>
      </w:r>
    </w:p>
    <w:tbl>
      <w:tblPr>
        <w:tblW w:w="9305" w:type="dxa"/>
        <w:jc w:val="left"/>
        <w:tblInd w:w="900" w:type="dxa"/>
        <w:tblLayout w:type="fixed"/>
        <w:tblCellMar>
          <w:top w:w="0" w:type="dxa"/>
          <w:left w:w="0" w:type="dxa"/>
          <w:bottom w:w="28" w:type="dxa"/>
          <w:right w:w="0" w:type="dxa"/>
        </w:tblCellMar>
      </w:tblPr>
      <w:tblGrid>
        <w:gridCol w:w="124"/>
        <w:gridCol w:w="1523"/>
        <w:gridCol w:w="109"/>
        <w:gridCol w:w="109"/>
        <w:gridCol w:w="109"/>
        <w:gridCol w:w="7176"/>
        <w:gridCol w:w="155"/>
      </w:tblGrid>
      <w:tr>
        <w:trPr/>
        <w:tc>
          <w:tcPr>
            <w:tcW w:w="124" w:type="dxa"/>
            <w:tcBorders>
              <w:bottom w:val="single" w:sz="8" w:space="0" w:color="83AD40"/>
            </w:tcBorders>
            <w:shd w:fill="E9F9D8" w:val="clear"/>
            <w:vAlign w:val="center"/>
          </w:tcPr>
          <w:p>
            <w:pPr>
              <w:pStyle w:val="TableContents"/>
              <w:bidi w:val="0"/>
              <w:spacing w:before="0" w:after="283"/>
              <w:jc w:val="left"/>
              <w:rPr/>
            </w:pPr>
            <w:r>
              <w:rPr/>
              <w:t>​</w:t>
            </w:r>
          </w:p>
        </w:tc>
        <w:tc>
          <w:tcPr>
            <w:tcW w:w="1523" w:type="dxa"/>
            <w:tcBorders>
              <w:bottom w:val="single" w:sz="8" w:space="0" w:color="83AD40"/>
            </w:tcBorders>
            <w:shd w:fill="E9F9D8" w:val="clear"/>
            <w:vAlign w:val="center"/>
          </w:tcPr>
          <w:p>
            <w:pPr>
              <w:pStyle w:val="TableContents"/>
              <w:bidi w:val="0"/>
              <w:spacing w:lineRule="atLeast" w:line="203" w:before="0" w:after="0"/>
              <w:jc w:val="left"/>
              <w:rPr/>
            </w:pPr>
            <w:r>
              <w:rPr>
                <w:spacing w:val="-2"/>
              </w:rPr>
              <w:t>Pay Element</w:t>
            </w:r>
            <w:r>
              <w:rPr/>
              <w:t xml:space="preserve"> </w:t>
            </w:r>
          </w:p>
        </w:tc>
        <w:tc>
          <w:tcPr>
            <w:tcW w:w="109" w:type="dxa"/>
            <w:tcBorders>
              <w:bottom w:val="single" w:sz="8" w:space="0" w:color="83AD40"/>
            </w:tcBorders>
            <w:shd w:fill="E9F9D8" w:val="clear"/>
            <w:vAlign w:val="center"/>
          </w:tcPr>
          <w:p>
            <w:pPr>
              <w:pStyle w:val="TableContents"/>
              <w:bidi w:val="0"/>
              <w:spacing w:before="0" w:after="283"/>
              <w:jc w:val="left"/>
              <w:rPr/>
            </w:pPr>
            <w:r>
              <w:rPr/>
              <w:t>​</w:t>
            </w:r>
          </w:p>
        </w:tc>
        <w:tc>
          <w:tcPr>
            <w:tcW w:w="109" w:type="dxa"/>
            <w:tcBorders>
              <w:bottom w:val="single" w:sz="8" w:space="0" w:color="FFFFFF"/>
            </w:tcBorders>
            <w:shd w:fill="FFFFFF" w:val="clear"/>
            <w:vAlign w:val="center"/>
          </w:tcPr>
          <w:p>
            <w:pPr>
              <w:pStyle w:val="TableContents"/>
              <w:bidi w:val="0"/>
              <w:spacing w:before="0" w:after="283"/>
              <w:jc w:val="left"/>
              <w:rPr/>
            </w:pPr>
            <w:r>
              <w:rPr/>
              <w:t>​</w:t>
            </w:r>
          </w:p>
        </w:tc>
        <w:tc>
          <w:tcPr>
            <w:tcW w:w="109" w:type="dxa"/>
            <w:tcBorders>
              <w:bottom w:val="single" w:sz="8" w:space="0" w:color="83AD40"/>
            </w:tcBorders>
            <w:shd w:fill="E9F9D8" w:val="clear"/>
            <w:vAlign w:val="center"/>
          </w:tcPr>
          <w:p>
            <w:pPr>
              <w:pStyle w:val="TableContents"/>
              <w:bidi w:val="0"/>
              <w:spacing w:before="0" w:after="283"/>
              <w:jc w:val="left"/>
              <w:rPr/>
            </w:pPr>
            <w:r>
              <w:rPr/>
              <w:t>​</w:t>
            </w:r>
          </w:p>
        </w:tc>
        <w:tc>
          <w:tcPr>
            <w:tcW w:w="7176" w:type="dxa"/>
            <w:tcBorders>
              <w:bottom w:val="single" w:sz="8" w:space="0" w:color="83AD40"/>
            </w:tcBorders>
            <w:shd w:fill="E9F9D8" w:val="clear"/>
            <w:vAlign w:val="center"/>
          </w:tcPr>
          <w:p>
            <w:pPr>
              <w:pStyle w:val="TableContents"/>
              <w:bidi w:val="0"/>
              <w:spacing w:lineRule="atLeast" w:line="203" w:before="0" w:after="0"/>
              <w:jc w:val="center"/>
              <w:rPr/>
            </w:pPr>
            <w:r>
              <w:rPr>
                <w:spacing w:val="-2"/>
              </w:rPr>
              <w:t>Evolution of Executive Pay (2019-2026)</w:t>
            </w:r>
            <w:r>
              <w:rPr/>
              <w:t xml:space="preserve"> </w:t>
            </w:r>
          </w:p>
        </w:tc>
        <w:tc>
          <w:tcPr>
            <w:tcW w:w="155" w:type="dxa"/>
            <w:tcBorders>
              <w:bottom w:val="single" w:sz="8" w:space="0" w:color="83AD40"/>
            </w:tcBorders>
            <w:shd w:fill="E9F9D8" w:val="clear"/>
            <w:vAlign w:val="center"/>
          </w:tcPr>
          <w:p>
            <w:pPr>
              <w:pStyle w:val="TableContents"/>
              <w:bidi w:val="0"/>
              <w:spacing w:before="0" w:after="283"/>
              <w:jc w:val="left"/>
              <w:rPr/>
            </w:pPr>
            <w:r>
              <w:rPr/>
              <w:t>​</w:t>
            </w:r>
          </w:p>
        </w:tc>
      </w:tr>
      <w:tr>
        <w:trPr/>
        <w:tc>
          <w:tcPr>
            <w:tcW w:w="124" w:type="dxa"/>
            <w:vMerge w:val="restart"/>
            <w:tcBorders>
              <w:bottom w:val="single" w:sz="8" w:space="0" w:color="83AD40"/>
            </w:tcBorders>
            <w:shd w:fill="E9F9D8" w:val="clear"/>
            <w:vAlign w:val="center"/>
          </w:tcPr>
          <w:p>
            <w:pPr>
              <w:pStyle w:val="TableContents"/>
              <w:bidi w:val="0"/>
              <w:spacing w:before="0" w:after="283"/>
              <w:jc w:val="left"/>
              <w:rPr/>
            </w:pPr>
            <w:r>
              <w:rPr/>
              <w:t>​</w:t>
            </w:r>
          </w:p>
        </w:tc>
        <w:tc>
          <w:tcPr>
            <w:tcW w:w="1523" w:type="dxa"/>
            <w:vMerge w:val="restart"/>
            <w:tcBorders>
              <w:bottom w:val="single" w:sz="8" w:space="0" w:color="83AD40"/>
            </w:tcBorders>
            <w:shd w:fill="E9F9D8" w:val="clear"/>
            <w:vAlign w:val="center"/>
          </w:tcPr>
          <w:p>
            <w:pPr>
              <w:pStyle w:val="TableContents"/>
              <w:bidi w:val="0"/>
              <w:spacing w:lineRule="atLeast" w:line="220" w:before="0" w:after="0"/>
              <w:jc w:val="left"/>
              <w:rPr>
                <w:b/>
              </w:rPr>
            </w:pPr>
            <w:r>
              <w:rPr>
                <w:b/>
                <w:spacing w:val="-2"/>
              </w:rPr>
              <w:t>Base Salary</w:t>
            </w:r>
            <w:r>
              <w:rPr>
                <w:b/>
              </w:rPr>
              <w:t xml:space="preserve"> </w:t>
            </w:r>
          </w:p>
        </w:tc>
        <w:tc>
          <w:tcPr>
            <w:tcW w:w="109" w:type="dxa"/>
            <w:vMerge w:val="restart"/>
            <w:tcBorders>
              <w:bottom w:val="single" w:sz="8" w:space="0" w:color="83AD40"/>
            </w:tcBorders>
            <w:shd w:fill="E9F9D8" w:val="clear"/>
            <w:vAlign w:val="center"/>
          </w:tcPr>
          <w:p>
            <w:pPr>
              <w:pStyle w:val="TableContents"/>
              <w:bidi w:val="0"/>
              <w:spacing w:before="0" w:after="283"/>
              <w:jc w:val="left"/>
              <w:rPr/>
            </w:pPr>
            <w:r>
              <w:rPr/>
              <w:t>​</w:t>
            </w:r>
          </w:p>
        </w:tc>
        <w:tc>
          <w:tcPr>
            <w:tcW w:w="109" w:type="dxa"/>
            <w:vMerge w:val="restart"/>
            <w:tcBorders>
              <w:bottom w:val="single" w:sz="8"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76" w:type="dxa"/>
            <w:tcBorders/>
            <w:tcMar>
              <w:bottom w:w="0" w:type="dxa"/>
            </w:tcMar>
            <w:vAlign w:val="center"/>
          </w:tcPr>
          <w:p>
            <w:pPr>
              <w:pStyle w:val="TableContents"/>
              <w:bidi w:val="0"/>
              <w:spacing w:lineRule="atLeast" w:line="180" w:before="0" w:after="0"/>
              <w:ind w:left="240" w:right="0" w:hanging="0"/>
              <w:jc w:val="left"/>
              <w:rPr>
                <w:spacing w:val="-2"/>
              </w:rPr>
            </w:pPr>
            <w:r>
              <w:rPr>
                <w:spacing w:val="-2"/>
              </w:rPr>
              <w:t xml:space="preserve">Remains the only fixed pay element </w:t>
            </w:r>
            <w:r>
              <mc:AlternateContent>
                <mc:Choice Requires="wps">
                  <w:drawing>
                    <wp:anchor behindDoc="0" distT="0" distB="0" distL="0" distR="0" simplePos="0" locked="0" layoutInCell="1" allowOverlap="1" relativeHeight="577">
                      <wp:simplePos x="0" y="0"/>
                      <wp:positionH relativeFrom="column">
                        <wp:align>left</wp:align>
                      </wp:positionH>
                      <wp:positionV relativeFrom="line">
                        <wp:posOffset>635</wp:posOffset>
                      </wp:positionV>
                      <wp:extent cx="152400" cy="525780"/>
                      <wp:effectExtent l="0" t="0" r="0" b="0"/>
                      <wp:wrapSquare wrapText="right"/>
                      <wp:docPr id="621" name="Frame314"/>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180" w:before="0" w:after="283"/>
                                    <w:jc w:val="left"/>
                                    <w:rPr/>
                                  </w:pPr>
                                  <w:r>
                                    <w:rPr>
                                      <w:color w:val="83AD4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83AD4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60" w:after="0"/>
              <w:ind w:left="240" w:right="0" w:hanging="0"/>
              <w:jc w:val="left"/>
              <w:rPr>
                <w:spacing w:val="-2"/>
              </w:rPr>
            </w:pPr>
            <w:r>
              <w:rPr>
                <w:spacing w:val="-2"/>
              </w:rPr>
              <w:t xml:space="preserve">Base salaries determined under respective employment agreements with no guaranteed increases each year </w:t>
            </w:r>
            <w:r>
              <mc:AlternateContent>
                <mc:Choice Requires="wps">
                  <w:drawing>
                    <wp:anchor behindDoc="0" distT="101600" distB="0" distL="0" distR="0" simplePos="0" locked="0" layoutInCell="1" allowOverlap="1" relativeHeight="578">
                      <wp:simplePos x="0" y="0"/>
                      <wp:positionH relativeFrom="column">
                        <wp:align>left</wp:align>
                      </wp:positionH>
                      <wp:positionV relativeFrom="line">
                        <wp:align>top</wp:align>
                      </wp:positionV>
                      <wp:extent cx="152400" cy="525780"/>
                      <wp:effectExtent l="0" t="0" r="0" b="0"/>
                      <wp:wrapSquare wrapText="right"/>
                      <wp:docPr id="622" name="Frame315"/>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20" w:before="0" w:after="283"/>
                                    <w:jc w:val="left"/>
                                    <w:rPr/>
                                  </w:pPr>
                                  <w:r>
                                    <w:rPr>
                                      <w:color w:val="83AD4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83AD4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vMerge w:val="continue"/>
            <w:tcBorders>
              <w:bottom w:val="single" w:sz="8" w:space="0" w:color="83AD40"/>
            </w:tcBorders>
            <w:shd w:fill="E9F9D8" w:val="clear"/>
            <w:vAlign w:val="center"/>
          </w:tcPr>
          <w:p>
            <w:pPr>
              <w:pStyle w:val="Normal"/>
              <w:bidi w:val="0"/>
              <w:jc w:val="left"/>
              <w:rPr/>
            </w:pPr>
            <w:r>
              <w:rPr/>
            </w:r>
          </w:p>
        </w:tc>
        <w:tc>
          <w:tcPr>
            <w:tcW w:w="1523" w:type="dxa"/>
            <w:vMerge w:val="continue"/>
            <w:tcBorders>
              <w:bottom w:val="single" w:sz="8" w:space="0" w:color="83AD40"/>
            </w:tcBorders>
            <w:shd w:fill="E9F9D8" w:val="clear"/>
            <w:vAlign w:val="center"/>
          </w:tcPr>
          <w:p>
            <w:pPr>
              <w:pStyle w:val="Normal"/>
              <w:bidi w:val="0"/>
              <w:jc w:val="left"/>
              <w:rPr/>
            </w:pPr>
            <w:r>
              <w:rPr/>
            </w:r>
          </w:p>
        </w:tc>
        <w:tc>
          <w:tcPr>
            <w:tcW w:w="109" w:type="dxa"/>
            <w:vMerge w:val="continue"/>
            <w:tcBorders>
              <w:bottom w:val="single" w:sz="8" w:space="0" w:color="83AD40"/>
            </w:tcBorders>
            <w:shd w:fill="E9F9D8" w:val="clear"/>
            <w:vAlign w:val="center"/>
          </w:tcPr>
          <w:p>
            <w:pPr>
              <w:pStyle w:val="Normal"/>
              <w:bidi w:val="0"/>
              <w:jc w:val="left"/>
              <w:rPr/>
            </w:pPr>
            <w:r>
              <w:rPr/>
            </w:r>
          </w:p>
        </w:tc>
        <w:tc>
          <w:tcPr>
            <w:tcW w:w="109" w:type="dxa"/>
            <w:vMerge w:val="continue"/>
            <w:tcBorders>
              <w:bottom w:val="single" w:sz="8" w:space="0" w:color="FFFFFF"/>
            </w:tcBorders>
            <w:shd w:fill="FFFFFF" w:val="clear"/>
            <w:vAlign w:val="center"/>
          </w:tcPr>
          <w:p>
            <w:pPr>
              <w:pStyle w:val="Normal"/>
              <w:bidi w:val="0"/>
              <w:jc w:val="left"/>
              <w:rPr/>
            </w:pPr>
            <w:r>
              <w:rPr/>
            </w:r>
          </w:p>
        </w:tc>
        <w:tc>
          <w:tcPr>
            <w:tcW w:w="109" w:type="dxa"/>
            <w:tcBorders>
              <w:bottom w:val="single" w:sz="8" w:space="0" w:color="83AD40"/>
            </w:tcBorders>
            <w:shd w:fill="83AD40" w:val="clear"/>
            <w:vAlign w:val="center"/>
          </w:tcPr>
          <w:p>
            <w:pPr>
              <w:pStyle w:val="TableContents"/>
              <w:bidi w:val="0"/>
              <w:spacing w:before="0" w:after="283"/>
              <w:jc w:val="left"/>
              <w:rPr/>
            </w:pPr>
            <w:r>
              <w:rPr/>
              <w:t>​</w:t>
            </w:r>
          </w:p>
        </w:tc>
        <w:tc>
          <w:tcPr>
            <w:tcW w:w="7176" w:type="dxa"/>
            <w:tcBorders>
              <w:bottom w:val="single" w:sz="8" w:space="0" w:color="83AD40"/>
            </w:tcBorders>
            <w:shd w:fill="83AD40" w:val="clear"/>
            <w:vAlign w:val="center"/>
          </w:tcPr>
          <w:p>
            <w:pPr>
              <w:pStyle w:val="TableContents"/>
              <w:bidi w:val="0"/>
              <w:spacing w:lineRule="atLeast" w:line="180" w:before="0" w:after="0"/>
              <w:jc w:val="left"/>
              <w:rPr/>
            </w:pPr>
            <w:r>
              <w:rPr>
                <w:spacing w:val="-2"/>
              </w:rPr>
              <w:t>In response to stockholder feedback:</w:t>
            </w:r>
            <w:r>
              <w:rPr/>
              <w:t xml:space="preserve"> </w:t>
            </w:r>
          </w:p>
          <w:p>
            <w:pPr>
              <w:pStyle w:val="TableContents"/>
              <w:bidi w:val="0"/>
              <w:spacing w:lineRule="atLeast" w:line="180" w:before="160" w:after="0"/>
              <w:ind w:left="240" w:right="0" w:hanging="0"/>
              <w:jc w:val="left"/>
              <w:rPr>
                <w:b w:val="false"/>
              </w:rPr>
            </w:pPr>
            <w:r>
              <w:rPr>
                <w:b/>
                <w:spacing w:val="-2"/>
              </w:rPr>
              <w:t>Deferred Compensation pay element was eliminated</w:t>
            </w:r>
            <w:r>
              <w:rPr>
                <w:b w:val="false"/>
              </w:rPr>
              <w:t xml:space="preserve"> </w:t>
            </w:r>
            <w:r>
              <mc:AlternateContent>
                <mc:Choice Requires="wps">
                  <w:drawing>
                    <wp:anchor behindDoc="0" distT="101600" distB="0" distL="0" distR="0" simplePos="0" locked="0" layoutInCell="1" allowOverlap="1" relativeHeight="579">
                      <wp:simplePos x="0" y="0"/>
                      <wp:positionH relativeFrom="column">
                        <wp:align>left</wp:align>
                      </wp:positionH>
                      <wp:positionV relativeFrom="line">
                        <wp:align>top</wp:align>
                      </wp:positionV>
                      <wp:extent cx="152400" cy="525780"/>
                      <wp:effectExtent l="0" t="0" r="0" b="0"/>
                      <wp:wrapSquare wrapText="right"/>
                      <wp:docPr id="623" name="Frame316"/>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 w:val="false"/>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 w:val="false"/>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bottom w:val="single" w:sz="8" w:space="0" w:color="83AD40"/>
            </w:tcBorders>
            <w:shd w:fill="83AD40" w:val="clear"/>
            <w:vAlign w:val="center"/>
          </w:tcPr>
          <w:p>
            <w:pPr>
              <w:pStyle w:val="TableContents"/>
              <w:bidi w:val="0"/>
              <w:spacing w:before="0" w:after="283"/>
              <w:jc w:val="left"/>
              <w:rPr/>
            </w:pPr>
            <w:r>
              <w:rPr/>
              <w:t>​</w:t>
            </w:r>
          </w:p>
        </w:tc>
      </w:tr>
      <w:tr>
        <w:trPr/>
        <w:tc>
          <w:tcPr>
            <w:tcW w:w="124" w:type="dxa"/>
            <w:vMerge w:val="restart"/>
            <w:tcBorders>
              <w:bottom w:val="single" w:sz="8" w:space="0" w:color="83AD40"/>
            </w:tcBorders>
            <w:shd w:fill="E9F9D8" w:val="clear"/>
            <w:vAlign w:val="center"/>
          </w:tcPr>
          <w:p>
            <w:pPr>
              <w:pStyle w:val="TableContents"/>
              <w:bidi w:val="0"/>
              <w:spacing w:before="0" w:after="283"/>
              <w:jc w:val="left"/>
              <w:rPr/>
            </w:pPr>
            <w:r>
              <w:rPr/>
              <w:t>​</w:t>
            </w:r>
          </w:p>
        </w:tc>
        <w:tc>
          <w:tcPr>
            <w:tcW w:w="1523" w:type="dxa"/>
            <w:vMerge w:val="restart"/>
            <w:tcBorders>
              <w:bottom w:val="single" w:sz="8" w:space="0" w:color="83AD40"/>
            </w:tcBorders>
            <w:shd w:fill="E9F9D8" w:val="clear"/>
            <w:vAlign w:val="center"/>
          </w:tcPr>
          <w:p>
            <w:pPr>
              <w:pStyle w:val="TableContents"/>
              <w:bidi w:val="0"/>
              <w:spacing w:lineRule="atLeast" w:line="220" w:before="0" w:after="0"/>
              <w:jc w:val="left"/>
              <w:rPr>
                <w:b/>
              </w:rPr>
            </w:pPr>
            <w:r>
              <w:rPr>
                <w:b/>
                <w:spacing w:val="-2"/>
              </w:rPr>
              <w:t>Annual Bonus</w:t>
            </w:r>
            <w:r>
              <w:rPr>
                <w:b/>
              </w:rPr>
              <w:t xml:space="preserve"> </w:t>
            </w:r>
          </w:p>
        </w:tc>
        <w:tc>
          <w:tcPr>
            <w:tcW w:w="109" w:type="dxa"/>
            <w:vMerge w:val="restart"/>
            <w:tcBorders>
              <w:bottom w:val="single" w:sz="8" w:space="0" w:color="83AD40"/>
            </w:tcBorders>
            <w:shd w:fill="E9F9D8" w:val="clear"/>
            <w:vAlign w:val="center"/>
          </w:tcPr>
          <w:p>
            <w:pPr>
              <w:pStyle w:val="TableContents"/>
              <w:bidi w:val="0"/>
              <w:spacing w:before="0" w:after="283"/>
              <w:jc w:val="left"/>
              <w:rPr/>
            </w:pPr>
            <w:r>
              <w:rPr/>
              <w:t>​</w:t>
            </w:r>
          </w:p>
        </w:tc>
        <w:tc>
          <w:tcPr>
            <w:tcW w:w="109" w:type="dxa"/>
            <w:vMerge w:val="restart"/>
            <w:tcBorders>
              <w:bottom w:val="single" w:sz="8"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76" w:type="dxa"/>
            <w:tcBorders/>
            <w:tcMar>
              <w:bottom w:w="0" w:type="dxa"/>
            </w:tcMar>
            <w:vAlign w:val="center"/>
          </w:tcPr>
          <w:p>
            <w:pPr>
              <w:pStyle w:val="TableContents"/>
              <w:bidi w:val="0"/>
              <w:spacing w:lineRule="atLeast" w:line="220" w:before="0" w:after="0"/>
              <w:ind w:left="240" w:right="0" w:hanging="0"/>
              <w:jc w:val="left"/>
              <w:rPr/>
            </w:pPr>
            <w:r>
              <w:rPr>
                <w:spacing w:val="-2"/>
              </w:rPr>
              <w:t>Primarily performance-based incentive structure with payouts determined based on Company performance against preset financial and operational goals in line with those announced at Investor Conference</w:t>
            </w:r>
            <w:r>
              <w:rPr/>
              <w:t xml:space="preserve"> </w:t>
            </w:r>
            <w:r>
              <mc:AlternateContent>
                <mc:Choice Requires="wps">
                  <w:drawing>
                    <wp:anchor behindDoc="0" distT="0" distB="0" distL="0" distR="0" simplePos="0" locked="0" layoutInCell="1" allowOverlap="1" relativeHeight="580">
                      <wp:simplePos x="0" y="0"/>
                      <wp:positionH relativeFrom="column">
                        <wp:align>left</wp:align>
                      </wp:positionH>
                      <wp:positionV relativeFrom="line">
                        <wp:posOffset>635</wp:posOffset>
                      </wp:positionV>
                      <wp:extent cx="152400" cy="525780"/>
                      <wp:effectExtent l="0" t="0" r="0" b="0"/>
                      <wp:wrapSquare wrapText="right"/>
                      <wp:docPr id="624" name="Frame317"/>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20" w:before="0" w:after="283"/>
                                    <w:jc w:val="left"/>
                                    <w:rPr/>
                                  </w:pPr>
                                  <w:r>
                                    <w:rPr>
                                      <w:color w:val="83AD4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83AD4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60" w:after="0"/>
              <w:ind w:left="440" w:right="0" w:hanging="0"/>
              <w:jc w:val="left"/>
              <w:rPr/>
            </w:pPr>
            <w:r>
              <w:rPr>
                <w:spacing w:val="-2"/>
              </w:rPr>
              <w:t>CEO Annual Bonus: 100% formulaic</w:t>
            </w:r>
            <w:r>
              <w:rPr/>
              <w:t xml:space="preserve"> </w:t>
            </w:r>
            <w:r>
              <mc:AlternateContent>
                <mc:Choice Requires="wps">
                  <w:drawing>
                    <wp:anchor behindDoc="0" distT="101600" distB="0" distL="152400" distR="0" simplePos="0" locked="0" layoutInCell="1" allowOverlap="1" relativeHeight="581">
                      <wp:simplePos x="0" y="0"/>
                      <wp:positionH relativeFrom="column">
                        <wp:align>left</wp:align>
                      </wp:positionH>
                      <wp:positionV relativeFrom="line">
                        <wp:align>top</wp:align>
                      </wp:positionV>
                      <wp:extent cx="127000" cy="525780"/>
                      <wp:effectExtent l="0" t="0" r="0" b="0"/>
                      <wp:wrapSquare wrapText="right"/>
                      <wp:docPr id="625" name="Frame318"/>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180" w:before="0" w:after="283"/>
                                    <w:jc w:val="left"/>
                                    <w:rPr/>
                                  </w:pPr>
                                  <w:r>
                                    <w:rPr>
                                      <w:color w:val="83AD4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12pt;mso-wrap-distance-right:0pt;mso-wrap-distance-top:8pt;mso-wrap-distance-bottom:0pt;margin-top:8pt;mso-position-vertical:top;mso-position-vertical-relative:text;margin-left:12pt;mso-position-horizontal:left;mso-position-horizontal-relative:text">
                      <v:textbox>
                        <w:txbxContent>
                          <w:p>
                            <w:pPr>
                              <w:pStyle w:val="TextBody"/>
                              <w:bidi w:val="0"/>
                              <w:spacing w:lineRule="atLeast" w:line="180" w:before="0" w:after="283"/>
                              <w:jc w:val="left"/>
                              <w:rPr/>
                            </w:pPr>
                            <w:r>
                              <w:rPr>
                                <w:color w:val="83AD4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60" w:after="0"/>
              <w:ind w:left="440" w:right="0" w:hanging="0"/>
              <w:jc w:val="left"/>
              <w:rPr/>
            </w:pPr>
            <w:r>
              <w:rPr>
                <w:spacing w:val="-2"/>
              </w:rPr>
              <w:t>President Annual Bonus: 75% formulaic</w:t>
            </w:r>
            <w:r>
              <w:rPr/>
              <w:t xml:space="preserve"> </w:t>
            </w:r>
            <w:r>
              <mc:AlternateContent>
                <mc:Choice Requires="wps">
                  <w:drawing>
                    <wp:anchor behindDoc="0" distT="101600" distB="0" distL="152400" distR="0" simplePos="0" locked="0" layoutInCell="1" allowOverlap="1" relativeHeight="582">
                      <wp:simplePos x="0" y="0"/>
                      <wp:positionH relativeFrom="column">
                        <wp:align>left</wp:align>
                      </wp:positionH>
                      <wp:positionV relativeFrom="line">
                        <wp:align>top</wp:align>
                      </wp:positionV>
                      <wp:extent cx="127000" cy="525780"/>
                      <wp:effectExtent l="0" t="0" r="0" b="0"/>
                      <wp:wrapSquare wrapText="right"/>
                      <wp:docPr id="626" name="Frame319"/>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180" w:before="0" w:after="283"/>
                                    <w:jc w:val="left"/>
                                    <w:rPr/>
                                  </w:pPr>
                                  <w:r>
                                    <w:rPr>
                                      <w:color w:val="83AD4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12pt;mso-wrap-distance-right:0pt;mso-wrap-distance-top:8pt;mso-wrap-distance-bottom:0pt;margin-top:8pt;mso-position-vertical:top;mso-position-vertical-relative:text;margin-left:34pt;mso-position-horizontal:left;mso-position-horizontal-relative:text">
                      <v:textbox>
                        <w:txbxContent>
                          <w:p>
                            <w:pPr>
                              <w:pStyle w:val="TextBody"/>
                              <w:bidi w:val="0"/>
                              <w:spacing w:lineRule="atLeast" w:line="180" w:before="0" w:after="283"/>
                              <w:jc w:val="left"/>
                              <w:rPr/>
                            </w:pPr>
                            <w:r>
                              <w:rPr>
                                <w:color w:val="83AD4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60" w:after="0"/>
              <w:ind w:left="440" w:right="0" w:hanging="0"/>
              <w:jc w:val="left"/>
              <w:rPr/>
            </w:pPr>
            <w:r>
              <w:rPr>
                <w:spacing w:val="-2"/>
              </w:rPr>
              <w:t>CFO Annual Bonus: 60% formulaic</w:t>
            </w:r>
            <w:r>
              <w:rPr/>
              <w:t xml:space="preserve"> </w:t>
            </w:r>
            <w:r>
              <mc:AlternateContent>
                <mc:Choice Requires="wps">
                  <w:drawing>
                    <wp:anchor behindDoc="0" distT="101600" distB="0" distL="152400" distR="0" simplePos="0" locked="0" layoutInCell="1" allowOverlap="1" relativeHeight="583">
                      <wp:simplePos x="0" y="0"/>
                      <wp:positionH relativeFrom="column">
                        <wp:align>left</wp:align>
                      </wp:positionH>
                      <wp:positionV relativeFrom="line">
                        <wp:align>top</wp:align>
                      </wp:positionV>
                      <wp:extent cx="127000" cy="525780"/>
                      <wp:effectExtent l="0" t="0" r="0" b="0"/>
                      <wp:wrapSquare wrapText="right"/>
                      <wp:docPr id="627" name="Frame320"/>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180" w:before="0" w:after="283"/>
                                    <w:jc w:val="left"/>
                                    <w:rPr/>
                                  </w:pPr>
                                  <w:r>
                                    <w:rPr>
                                      <w:color w:val="83AD4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12pt;mso-wrap-distance-right:0pt;mso-wrap-distance-top:8pt;mso-wrap-distance-bottom:0pt;margin-top:8pt;mso-position-vertical:top;mso-position-vertical-relative:text;margin-left:12pt;mso-position-horizontal:left;mso-position-horizontal-relative:text">
                      <v:textbox>
                        <w:txbxContent>
                          <w:p>
                            <w:pPr>
                              <w:pStyle w:val="TextBody"/>
                              <w:bidi w:val="0"/>
                              <w:spacing w:lineRule="atLeast" w:line="180" w:before="0" w:after="283"/>
                              <w:jc w:val="left"/>
                              <w:rPr/>
                            </w:pPr>
                            <w:r>
                              <w:rPr>
                                <w:color w:val="83AD4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60" w:after="0"/>
              <w:ind w:left="440" w:right="0" w:hanging="0"/>
              <w:jc w:val="left"/>
              <w:rPr/>
            </w:pPr>
            <w:r>
              <w:rPr>
                <w:spacing w:val="-2"/>
              </w:rPr>
              <w:t>General Counsel Annual Bonus: 50% formulaic</w:t>
            </w:r>
            <w:r>
              <w:rPr/>
              <w:t xml:space="preserve"> </w:t>
            </w:r>
            <w:r>
              <mc:AlternateContent>
                <mc:Choice Requires="wps">
                  <w:drawing>
                    <wp:anchor behindDoc="0" distT="101600" distB="0" distL="152400" distR="0" simplePos="0" locked="0" layoutInCell="1" allowOverlap="1" relativeHeight="584">
                      <wp:simplePos x="0" y="0"/>
                      <wp:positionH relativeFrom="column">
                        <wp:align>left</wp:align>
                      </wp:positionH>
                      <wp:positionV relativeFrom="line">
                        <wp:align>top</wp:align>
                      </wp:positionV>
                      <wp:extent cx="127000" cy="525780"/>
                      <wp:effectExtent l="0" t="0" r="0" b="0"/>
                      <wp:wrapSquare wrapText="right"/>
                      <wp:docPr id="628" name="Frame321"/>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180" w:before="0" w:after="283"/>
                                    <w:jc w:val="left"/>
                                    <w:rPr/>
                                  </w:pPr>
                                  <w:r>
                                    <w:rPr>
                                      <w:color w:val="83AD4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12pt;mso-wrap-distance-right:0pt;mso-wrap-distance-top:8pt;mso-wrap-distance-bottom:0pt;margin-top:8pt;mso-position-vertical:top;mso-position-vertical-relative:text;margin-left:34pt;mso-position-horizontal:left;mso-position-horizontal-relative:text">
                      <v:textbox>
                        <w:txbxContent>
                          <w:p>
                            <w:pPr>
                              <w:pStyle w:val="TextBody"/>
                              <w:bidi w:val="0"/>
                              <w:spacing w:lineRule="atLeast" w:line="180" w:before="0" w:after="283"/>
                              <w:jc w:val="left"/>
                              <w:rPr/>
                            </w:pPr>
                            <w:r>
                              <w:rPr>
                                <w:color w:val="83AD4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60" w:after="0"/>
              <w:ind w:left="240" w:right="0" w:hanging="0"/>
              <w:jc w:val="left"/>
              <w:rPr>
                <w:spacing w:val="-2"/>
              </w:rPr>
            </w:pPr>
            <w:r>
              <w:rPr>
                <w:spacing w:val="-2"/>
              </w:rPr>
              <w:t xml:space="preserve">Up to 100% of annual incentive may be paid in equity that remains subject to a three-year no-sell restriction </w:t>
            </w:r>
            <w:r>
              <mc:AlternateContent>
                <mc:Choice Requires="wps">
                  <w:drawing>
                    <wp:anchor behindDoc="0" distT="101600" distB="0" distL="0" distR="0" simplePos="0" locked="0" layoutInCell="1" allowOverlap="1" relativeHeight="585">
                      <wp:simplePos x="0" y="0"/>
                      <wp:positionH relativeFrom="column">
                        <wp:align>left</wp:align>
                      </wp:positionH>
                      <wp:positionV relativeFrom="line">
                        <wp:align>top</wp:align>
                      </wp:positionV>
                      <wp:extent cx="152400" cy="525780"/>
                      <wp:effectExtent l="0" t="0" r="0" b="0"/>
                      <wp:wrapSquare wrapText="right"/>
                      <wp:docPr id="629" name="Frame322"/>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20" w:before="0" w:after="283"/>
                                    <w:jc w:val="left"/>
                                    <w:rPr/>
                                  </w:pPr>
                                  <w:r>
                                    <w:rPr>
                                      <w:color w:val="83AD4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83AD4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vMerge w:val="continue"/>
            <w:tcBorders>
              <w:bottom w:val="single" w:sz="8" w:space="0" w:color="83AD40"/>
            </w:tcBorders>
            <w:shd w:fill="E9F9D8" w:val="clear"/>
            <w:vAlign w:val="center"/>
          </w:tcPr>
          <w:p>
            <w:pPr>
              <w:pStyle w:val="Normal"/>
              <w:bidi w:val="0"/>
              <w:jc w:val="left"/>
              <w:rPr/>
            </w:pPr>
            <w:r>
              <w:rPr/>
            </w:r>
          </w:p>
        </w:tc>
        <w:tc>
          <w:tcPr>
            <w:tcW w:w="1523" w:type="dxa"/>
            <w:vMerge w:val="continue"/>
            <w:tcBorders>
              <w:bottom w:val="single" w:sz="8" w:space="0" w:color="83AD40"/>
            </w:tcBorders>
            <w:shd w:fill="E9F9D8" w:val="clear"/>
            <w:vAlign w:val="center"/>
          </w:tcPr>
          <w:p>
            <w:pPr>
              <w:pStyle w:val="Normal"/>
              <w:bidi w:val="0"/>
              <w:jc w:val="left"/>
              <w:rPr/>
            </w:pPr>
            <w:r>
              <w:rPr/>
            </w:r>
          </w:p>
        </w:tc>
        <w:tc>
          <w:tcPr>
            <w:tcW w:w="109" w:type="dxa"/>
            <w:vMerge w:val="continue"/>
            <w:tcBorders>
              <w:bottom w:val="single" w:sz="8" w:space="0" w:color="83AD40"/>
            </w:tcBorders>
            <w:shd w:fill="E9F9D8" w:val="clear"/>
            <w:vAlign w:val="center"/>
          </w:tcPr>
          <w:p>
            <w:pPr>
              <w:pStyle w:val="Normal"/>
              <w:bidi w:val="0"/>
              <w:jc w:val="left"/>
              <w:rPr/>
            </w:pPr>
            <w:r>
              <w:rPr/>
            </w:r>
          </w:p>
        </w:tc>
        <w:tc>
          <w:tcPr>
            <w:tcW w:w="109" w:type="dxa"/>
            <w:vMerge w:val="continue"/>
            <w:tcBorders>
              <w:bottom w:val="single" w:sz="8" w:space="0" w:color="FFFFFF"/>
            </w:tcBorders>
            <w:shd w:fill="FFFFFF" w:val="clear"/>
            <w:vAlign w:val="center"/>
          </w:tcPr>
          <w:p>
            <w:pPr>
              <w:pStyle w:val="Normal"/>
              <w:bidi w:val="0"/>
              <w:jc w:val="left"/>
              <w:rPr/>
            </w:pPr>
            <w:r>
              <w:rPr/>
            </w:r>
          </w:p>
        </w:tc>
        <w:tc>
          <w:tcPr>
            <w:tcW w:w="109" w:type="dxa"/>
            <w:tcBorders>
              <w:bottom w:val="single" w:sz="8" w:space="0" w:color="83AD40"/>
            </w:tcBorders>
            <w:shd w:fill="83AD40" w:val="clear"/>
            <w:vAlign w:val="center"/>
          </w:tcPr>
          <w:p>
            <w:pPr>
              <w:pStyle w:val="TableContents"/>
              <w:bidi w:val="0"/>
              <w:spacing w:before="0" w:after="283"/>
              <w:jc w:val="left"/>
              <w:rPr/>
            </w:pPr>
            <w:r>
              <w:rPr/>
              <w:t>​</w:t>
            </w:r>
          </w:p>
        </w:tc>
        <w:tc>
          <w:tcPr>
            <w:tcW w:w="7176" w:type="dxa"/>
            <w:tcBorders>
              <w:bottom w:val="single" w:sz="8" w:space="0" w:color="83AD40"/>
            </w:tcBorders>
            <w:shd w:fill="83AD40" w:val="clear"/>
            <w:vAlign w:val="center"/>
          </w:tcPr>
          <w:p>
            <w:pPr>
              <w:pStyle w:val="TableContents"/>
              <w:bidi w:val="0"/>
              <w:spacing w:lineRule="atLeast" w:line="180" w:before="0" w:after="0"/>
              <w:jc w:val="left"/>
              <w:rPr/>
            </w:pPr>
            <w:r>
              <w:rPr>
                <w:spacing w:val="-2"/>
              </w:rPr>
              <w:t>In response to stockholder feedback:</w:t>
            </w:r>
            <w:r>
              <w:rPr/>
              <w:t xml:space="preserve"> </w:t>
            </w:r>
          </w:p>
          <w:p>
            <w:pPr>
              <w:pStyle w:val="TableContents"/>
              <w:bidi w:val="0"/>
              <w:spacing w:lineRule="atLeast" w:line="180" w:before="160" w:after="0"/>
              <w:ind w:left="240" w:right="0" w:hanging="0"/>
              <w:jc w:val="left"/>
              <w:rPr>
                <w:b w:val="false"/>
              </w:rPr>
            </w:pPr>
            <w:r>
              <w:rPr>
                <w:b/>
                <w:spacing w:val="-2"/>
              </w:rPr>
              <w:t>The formulaic component has been increased while decreasing discretionary component</w:t>
            </w:r>
            <w:r>
              <w:rPr>
                <w:b w:val="false"/>
              </w:rPr>
              <w:t xml:space="preserve"> </w:t>
            </w:r>
            <w:r>
              <mc:AlternateContent>
                <mc:Choice Requires="wps">
                  <w:drawing>
                    <wp:anchor behindDoc="0" distT="101600" distB="0" distL="0" distR="0" simplePos="0" locked="0" layoutInCell="1" allowOverlap="1" relativeHeight="586">
                      <wp:simplePos x="0" y="0"/>
                      <wp:positionH relativeFrom="column">
                        <wp:align>left</wp:align>
                      </wp:positionH>
                      <wp:positionV relativeFrom="line">
                        <wp:align>top</wp:align>
                      </wp:positionV>
                      <wp:extent cx="152400" cy="525780"/>
                      <wp:effectExtent l="0" t="0" r="0" b="0"/>
                      <wp:wrapSquare wrapText="right"/>
                      <wp:docPr id="630" name="Frame323"/>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 w:val="false"/>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 w:val="false"/>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60" w:after="0"/>
              <w:ind w:left="240" w:right="0" w:hanging="0"/>
              <w:jc w:val="left"/>
              <w:rPr>
                <w:b w:val="false"/>
              </w:rPr>
            </w:pPr>
            <w:r>
              <w:rPr>
                <w:b/>
                <w:spacing w:val="-2"/>
              </w:rPr>
              <w:t>TSR was replaced with operating metrics</w:t>
            </w:r>
            <w:r>
              <w:rPr>
                <w:b w:val="false"/>
              </w:rPr>
              <w:t xml:space="preserve"> </w:t>
            </w:r>
            <w:r>
              <mc:AlternateContent>
                <mc:Choice Requires="wps">
                  <w:drawing>
                    <wp:anchor behindDoc="0" distT="101600" distB="0" distL="0" distR="0" simplePos="0" locked="0" layoutInCell="1" allowOverlap="1" relativeHeight="587">
                      <wp:simplePos x="0" y="0"/>
                      <wp:positionH relativeFrom="column">
                        <wp:align>left</wp:align>
                      </wp:positionH>
                      <wp:positionV relativeFrom="line">
                        <wp:align>top</wp:align>
                      </wp:positionV>
                      <wp:extent cx="152400" cy="525780"/>
                      <wp:effectExtent l="0" t="0" r="0" b="0"/>
                      <wp:wrapSquare wrapText="right"/>
                      <wp:docPr id="631" name="Frame324"/>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 w:val="false"/>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 w:val="false"/>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bottom w:val="single" w:sz="8" w:space="0" w:color="83AD40"/>
            </w:tcBorders>
            <w:shd w:fill="83AD40" w:val="clear"/>
            <w:vAlign w:val="center"/>
          </w:tcPr>
          <w:p>
            <w:pPr>
              <w:pStyle w:val="TableContents"/>
              <w:bidi w:val="0"/>
              <w:spacing w:before="0" w:after="283"/>
              <w:jc w:val="left"/>
              <w:rPr/>
            </w:pPr>
            <w:r>
              <w:rPr/>
              <w:t>​</w:t>
            </w:r>
          </w:p>
        </w:tc>
      </w:tr>
      <w:tr>
        <w:trPr/>
        <w:tc>
          <w:tcPr>
            <w:tcW w:w="124" w:type="dxa"/>
            <w:vMerge w:val="restart"/>
            <w:tcBorders>
              <w:bottom w:val="single" w:sz="8" w:space="0" w:color="83AD40"/>
            </w:tcBorders>
            <w:shd w:fill="E9F9D8" w:val="clear"/>
            <w:vAlign w:val="center"/>
          </w:tcPr>
          <w:p>
            <w:pPr>
              <w:pStyle w:val="TableContents"/>
              <w:bidi w:val="0"/>
              <w:spacing w:before="0" w:after="283"/>
              <w:jc w:val="left"/>
              <w:rPr/>
            </w:pPr>
            <w:r>
              <w:rPr/>
              <w:t>​</w:t>
            </w:r>
          </w:p>
        </w:tc>
        <w:tc>
          <w:tcPr>
            <w:tcW w:w="1523" w:type="dxa"/>
            <w:vMerge w:val="restart"/>
            <w:tcBorders>
              <w:bottom w:val="single" w:sz="8" w:space="0" w:color="83AD40"/>
            </w:tcBorders>
            <w:shd w:fill="E9F9D8" w:val="clear"/>
            <w:vAlign w:val="center"/>
          </w:tcPr>
          <w:p>
            <w:pPr>
              <w:pStyle w:val="TableContents"/>
              <w:bidi w:val="0"/>
              <w:spacing w:lineRule="atLeast" w:line="220" w:before="0" w:after="0"/>
              <w:jc w:val="left"/>
              <w:rPr>
                <w:b/>
              </w:rPr>
            </w:pPr>
            <w:r>
              <w:rPr>
                <w:b/>
                <w:spacing w:val="-2"/>
              </w:rPr>
              <w:t>Long-term Incentives</w:t>
            </w:r>
            <w:r>
              <w:rPr>
                <w:b/>
              </w:rPr>
              <w:t xml:space="preserve"> </w:t>
            </w:r>
          </w:p>
        </w:tc>
        <w:tc>
          <w:tcPr>
            <w:tcW w:w="109" w:type="dxa"/>
            <w:vMerge w:val="restart"/>
            <w:tcBorders>
              <w:bottom w:val="single" w:sz="8" w:space="0" w:color="83AD40"/>
            </w:tcBorders>
            <w:shd w:fill="E9F9D8" w:val="clear"/>
            <w:vAlign w:val="center"/>
          </w:tcPr>
          <w:p>
            <w:pPr>
              <w:pStyle w:val="TableContents"/>
              <w:bidi w:val="0"/>
              <w:spacing w:before="0" w:after="283"/>
              <w:jc w:val="left"/>
              <w:rPr/>
            </w:pPr>
            <w:r>
              <w:rPr/>
              <w:t>​</w:t>
            </w:r>
          </w:p>
        </w:tc>
        <w:tc>
          <w:tcPr>
            <w:tcW w:w="109" w:type="dxa"/>
            <w:vMerge w:val="restart"/>
            <w:tcBorders>
              <w:bottom w:val="single" w:sz="8"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76" w:type="dxa"/>
            <w:tcBorders/>
            <w:tcMar>
              <w:bottom w:w="0" w:type="dxa"/>
            </w:tcMar>
            <w:vAlign w:val="center"/>
          </w:tcPr>
          <w:p>
            <w:pPr>
              <w:pStyle w:val="TableContents"/>
              <w:bidi w:val="0"/>
              <w:spacing w:lineRule="atLeast" w:line="180" w:before="0" w:after="0"/>
              <w:ind w:left="240" w:right="0" w:hanging="0"/>
              <w:jc w:val="left"/>
              <w:rPr/>
            </w:pPr>
            <w:r>
              <w:rPr>
                <w:spacing w:val="-2"/>
              </w:rPr>
              <w:t>Performance-based equity incentives for all NEOs include a 3-year performance period</w:t>
            </w:r>
            <w:r>
              <w:rPr/>
              <w:t xml:space="preserve"> </w:t>
            </w:r>
            <w:r>
              <mc:AlternateContent>
                <mc:Choice Requires="wps">
                  <w:drawing>
                    <wp:anchor behindDoc="0" distT="0" distB="0" distL="0" distR="0" simplePos="0" locked="0" layoutInCell="1" allowOverlap="1" relativeHeight="588">
                      <wp:simplePos x="0" y="0"/>
                      <wp:positionH relativeFrom="column">
                        <wp:align>left</wp:align>
                      </wp:positionH>
                      <wp:positionV relativeFrom="line">
                        <wp:posOffset>635</wp:posOffset>
                      </wp:positionV>
                      <wp:extent cx="152400" cy="525780"/>
                      <wp:effectExtent l="0" t="0" r="0" b="0"/>
                      <wp:wrapSquare wrapText="right"/>
                      <wp:docPr id="632" name="Frame325"/>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180" w:before="0" w:after="283"/>
                                    <w:jc w:val="left"/>
                                    <w:rPr/>
                                  </w:pPr>
                                  <w:r>
                                    <w:rPr>
                                      <w:color w:val="83AD4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83AD4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60" w:after="0"/>
              <w:ind w:left="240" w:right="0" w:hanging="0"/>
              <w:jc w:val="left"/>
              <w:rPr>
                <w:spacing w:val="-2"/>
              </w:rPr>
            </w:pPr>
            <w:r>
              <w:rPr>
                <w:spacing w:val="-2"/>
              </w:rPr>
              <w:t xml:space="preserve">Time-based equity incentives for CEO and President subject to an Outperformance Modifier (as defined herein) based on Company performance against three-year operational and financial goals </w:t>
            </w:r>
            <w:r>
              <mc:AlternateContent>
                <mc:Choice Requires="wps">
                  <w:drawing>
                    <wp:anchor behindDoc="0" distT="101600" distB="0" distL="0" distR="0" simplePos="0" locked="0" layoutInCell="1" allowOverlap="1" relativeHeight="589">
                      <wp:simplePos x="0" y="0"/>
                      <wp:positionH relativeFrom="column">
                        <wp:align>left</wp:align>
                      </wp:positionH>
                      <wp:positionV relativeFrom="line">
                        <wp:align>top</wp:align>
                      </wp:positionV>
                      <wp:extent cx="152400" cy="525780"/>
                      <wp:effectExtent l="0" t="0" r="0" b="0"/>
                      <wp:wrapSquare wrapText="right"/>
                      <wp:docPr id="633" name="Frame326"/>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20" w:before="0" w:after="283"/>
                                    <w:jc w:val="left"/>
                                    <w:rPr/>
                                  </w:pPr>
                                  <w:r>
                                    <w:rPr>
                                      <w:color w:val="83AD4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83AD4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vMerge w:val="continue"/>
            <w:tcBorders>
              <w:bottom w:val="single" w:sz="8" w:space="0" w:color="83AD40"/>
            </w:tcBorders>
            <w:shd w:fill="E9F9D8" w:val="clear"/>
            <w:vAlign w:val="center"/>
          </w:tcPr>
          <w:p>
            <w:pPr>
              <w:pStyle w:val="Normal"/>
              <w:bidi w:val="0"/>
              <w:jc w:val="left"/>
              <w:rPr/>
            </w:pPr>
            <w:r>
              <w:rPr/>
            </w:r>
          </w:p>
        </w:tc>
        <w:tc>
          <w:tcPr>
            <w:tcW w:w="1523" w:type="dxa"/>
            <w:vMerge w:val="continue"/>
            <w:tcBorders>
              <w:bottom w:val="single" w:sz="8" w:space="0" w:color="83AD40"/>
            </w:tcBorders>
            <w:shd w:fill="E9F9D8" w:val="clear"/>
            <w:vAlign w:val="center"/>
          </w:tcPr>
          <w:p>
            <w:pPr>
              <w:pStyle w:val="Normal"/>
              <w:bidi w:val="0"/>
              <w:jc w:val="left"/>
              <w:rPr/>
            </w:pPr>
            <w:r>
              <w:rPr/>
            </w:r>
          </w:p>
        </w:tc>
        <w:tc>
          <w:tcPr>
            <w:tcW w:w="109" w:type="dxa"/>
            <w:vMerge w:val="continue"/>
            <w:tcBorders>
              <w:bottom w:val="single" w:sz="8" w:space="0" w:color="83AD40"/>
            </w:tcBorders>
            <w:shd w:fill="E9F9D8" w:val="clear"/>
            <w:vAlign w:val="center"/>
          </w:tcPr>
          <w:p>
            <w:pPr>
              <w:pStyle w:val="Normal"/>
              <w:bidi w:val="0"/>
              <w:jc w:val="left"/>
              <w:rPr/>
            </w:pPr>
            <w:r>
              <w:rPr/>
            </w:r>
          </w:p>
        </w:tc>
        <w:tc>
          <w:tcPr>
            <w:tcW w:w="109" w:type="dxa"/>
            <w:vMerge w:val="continue"/>
            <w:tcBorders>
              <w:bottom w:val="single" w:sz="8" w:space="0" w:color="FFFFFF"/>
            </w:tcBorders>
            <w:shd w:fill="FFFFFF" w:val="clear"/>
            <w:vAlign w:val="center"/>
          </w:tcPr>
          <w:p>
            <w:pPr>
              <w:pStyle w:val="Normal"/>
              <w:bidi w:val="0"/>
              <w:jc w:val="left"/>
              <w:rPr/>
            </w:pPr>
            <w:r>
              <w:rPr/>
            </w:r>
          </w:p>
        </w:tc>
        <w:tc>
          <w:tcPr>
            <w:tcW w:w="109" w:type="dxa"/>
            <w:tcBorders>
              <w:bottom w:val="single" w:sz="8" w:space="0" w:color="83AD40"/>
            </w:tcBorders>
            <w:shd w:fill="83AD40" w:val="clear"/>
            <w:vAlign w:val="center"/>
          </w:tcPr>
          <w:p>
            <w:pPr>
              <w:pStyle w:val="TableContents"/>
              <w:bidi w:val="0"/>
              <w:spacing w:before="0" w:after="283"/>
              <w:jc w:val="left"/>
              <w:rPr/>
            </w:pPr>
            <w:r>
              <w:rPr/>
              <w:t>​</w:t>
            </w:r>
          </w:p>
        </w:tc>
        <w:tc>
          <w:tcPr>
            <w:tcW w:w="7176" w:type="dxa"/>
            <w:tcBorders>
              <w:bottom w:val="single" w:sz="8" w:space="0" w:color="83AD40"/>
            </w:tcBorders>
            <w:shd w:fill="83AD40" w:val="clear"/>
            <w:vAlign w:val="center"/>
          </w:tcPr>
          <w:p>
            <w:pPr>
              <w:pStyle w:val="TableContents"/>
              <w:bidi w:val="0"/>
              <w:spacing w:lineRule="atLeast" w:line="180" w:before="0" w:after="0"/>
              <w:jc w:val="left"/>
              <w:rPr/>
            </w:pPr>
            <w:r>
              <w:rPr>
                <w:spacing w:val="-2"/>
              </w:rPr>
              <w:t>In response to stockholder feedback:</w:t>
            </w:r>
            <w:r>
              <w:rPr/>
              <w:t xml:space="preserve"> </w:t>
            </w:r>
          </w:p>
          <w:p>
            <w:pPr>
              <w:pStyle w:val="TableContents"/>
              <w:bidi w:val="0"/>
              <w:spacing w:lineRule="atLeast" w:line="180" w:before="160" w:after="0"/>
              <w:ind w:left="240" w:right="0" w:hanging="0"/>
              <w:jc w:val="left"/>
              <w:rPr>
                <w:b w:val="false"/>
              </w:rPr>
            </w:pPr>
            <w:r>
              <w:rPr>
                <w:b/>
                <w:spacing w:val="-2"/>
              </w:rPr>
              <w:t>All short-term performance goals in LTI performance awards have been eliminated</w:t>
            </w:r>
            <w:r>
              <w:rPr>
                <w:b w:val="false"/>
              </w:rPr>
              <w:t xml:space="preserve"> </w:t>
            </w:r>
            <w:r>
              <mc:AlternateContent>
                <mc:Choice Requires="wps">
                  <w:drawing>
                    <wp:anchor behindDoc="0" distT="101600" distB="0" distL="0" distR="0" simplePos="0" locked="0" layoutInCell="1" allowOverlap="1" relativeHeight="590">
                      <wp:simplePos x="0" y="0"/>
                      <wp:positionH relativeFrom="column">
                        <wp:align>left</wp:align>
                      </wp:positionH>
                      <wp:positionV relativeFrom="line">
                        <wp:align>top</wp:align>
                      </wp:positionV>
                      <wp:extent cx="152400" cy="525780"/>
                      <wp:effectExtent l="0" t="0" r="0" b="0"/>
                      <wp:wrapSquare wrapText="right"/>
                      <wp:docPr id="634" name="Frame327"/>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 w:val="false"/>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 w:val="false"/>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60" w:after="0"/>
              <w:ind w:left="240" w:right="0" w:hanging="0"/>
              <w:jc w:val="left"/>
              <w:rPr>
                <w:b w:val="false"/>
              </w:rPr>
            </w:pPr>
            <w:r>
              <w:rPr>
                <w:b/>
                <w:spacing w:val="-2"/>
              </w:rPr>
              <w:t>Retesting and guaranteed equity awards have been eliminated</w:t>
            </w:r>
            <w:r>
              <w:rPr>
                <w:b w:val="false"/>
              </w:rPr>
              <w:t xml:space="preserve"> </w:t>
            </w:r>
            <w:r>
              <mc:AlternateContent>
                <mc:Choice Requires="wps">
                  <w:drawing>
                    <wp:anchor behindDoc="0" distT="101600" distB="0" distL="0" distR="0" simplePos="0" locked="0" layoutInCell="1" allowOverlap="1" relativeHeight="591">
                      <wp:simplePos x="0" y="0"/>
                      <wp:positionH relativeFrom="column">
                        <wp:align>left</wp:align>
                      </wp:positionH>
                      <wp:positionV relativeFrom="line">
                        <wp:align>top</wp:align>
                      </wp:positionV>
                      <wp:extent cx="152400" cy="525780"/>
                      <wp:effectExtent l="0" t="0" r="0" b="0"/>
                      <wp:wrapSquare wrapText="right"/>
                      <wp:docPr id="635" name="Frame328"/>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 w:val="false"/>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 w:val="false"/>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bottom w:val="single" w:sz="8" w:space="0" w:color="83AD40"/>
            </w:tcBorders>
            <w:shd w:fill="83AD40" w:val="clear"/>
            <w:vAlign w:val="center"/>
          </w:tcPr>
          <w:p>
            <w:pPr>
              <w:pStyle w:val="TableContents"/>
              <w:bidi w:val="0"/>
              <w:spacing w:before="0" w:after="283"/>
              <w:jc w:val="left"/>
              <w:rPr/>
            </w:pPr>
            <w:r>
              <w:rPr/>
              <w:t>​</w:t>
            </w:r>
          </w:p>
        </w:tc>
      </w:tr>
      <w:tr>
        <w:trPr/>
        <w:tc>
          <w:tcPr>
            <w:tcW w:w="124" w:type="dxa"/>
            <w:vMerge w:val="restart"/>
            <w:tcBorders>
              <w:bottom w:val="single" w:sz="8" w:space="0" w:color="83AD40"/>
            </w:tcBorders>
            <w:shd w:fill="E9F9D8" w:val="clear"/>
            <w:vAlign w:val="center"/>
          </w:tcPr>
          <w:p>
            <w:pPr>
              <w:pStyle w:val="TableContents"/>
              <w:bidi w:val="0"/>
              <w:spacing w:before="0" w:after="283"/>
              <w:jc w:val="left"/>
              <w:rPr/>
            </w:pPr>
            <w:r>
              <w:rPr/>
              <w:t>​</w:t>
            </w:r>
          </w:p>
        </w:tc>
        <w:tc>
          <w:tcPr>
            <w:tcW w:w="1523" w:type="dxa"/>
            <w:vMerge w:val="restart"/>
            <w:tcBorders>
              <w:bottom w:val="single" w:sz="8" w:space="0" w:color="83AD40"/>
            </w:tcBorders>
            <w:shd w:fill="E9F9D8" w:val="clear"/>
            <w:vAlign w:val="center"/>
          </w:tcPr>
          <w:p>
            <w:pPr>
              <w:pStyle w:val="TableContents"/>
              <w:bidi w:val="0"/>
              <w:spacing w:lineRule="atLeast" w:line="220" w:before="0" w:after="0"/>
              <w:jc w:val="left"/>
              <w:rPr>
                <w:b/>
              </w:rPr>
            </w:pPr>
            <w:r>
              <w:rPr>
                <w:b/>
                <w:spacing w:val="-2"/>
              </w:rPr>
              <w:t>Other</w:t>
            </w:r>
            <w:r>
              <w:rPr>
                <w:b/>
              </w:rPr>
              <w:t xml:space="preserve"> </w:t>
            </w:r>
          </w:p>
        </w:tc>
        <w:tc>
          <w:tcPr>
            <w:tcW w:w="109" w:type="dxa"/>
            <w:vMerge w:val="restart"/>
            <w:tcBorders>
              <w:bottom w:val="single" w:sz="8" w:space="0" w:color="83AD40"/>
            </w:tcBorders>
            <w:shd w:fill="E9F9D8" w:val="clear"/>
            <w:vAlign w:val="center"/>
          </w:tcPr>
          <w:p>
            <w:pPr>
              <w:pStyle w:val="TableContents"/>
              <w:bidi w:val="0"/>
              <w:spacing w:before="0" w:after="283"/>
              <w:jc w:val="left"/>
              <w:rPr/>
            </w:pPr>
            <w:r>
              <w:rPr/>
              <w:t>​</w:t>
            </w:r>
          </w:p>
        </w:tc>
        <w:tc>
          <w:tcPr>
            <w:tcW w:w="109" w:type="dxa"/>
            <w:vMerge w:val="restart"/>
            <w:tcBorders>
              <w:bottom w:val="single" w:sz="8"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76" w:type="dxa"/>
            <w:tcBorders/>
            <w:tcMar>
              <w:top w:w="28" w:type="dxa"/>
              <w:left w:w="28" w:type="dxa"/>
              <w:right w:w="28" w:type="dxa"/>
            </w:tcMar>
            <w:vAlign w:val="center"/>
          </w:tcPr>
          <w:p>
            <w:pPr>
              <w:pStyle w:val="TableContents"/>
              <w:bidi w:val="0"/>
              <w:spacing w:lineRule="atLeast" w:line="180" w:before="0" w:after="0"/>
              <w:ind w:left="240" w:right="0" w:hanging="0"/>
              <w:jc w:val="left"/>
              <w:rPr>
                <w:spacing w:val="-2"/>
              </w:rPr>
            </w:pPr>
            <w:r>
              <w:rPr>
                <w:spacing w:val="-2"/>
              </w:rPr>
              <w:t xml:space="preserve">No excessive benefits for NEOs </w:t>
            </w:r>
            <w:r>
              <mc:AlternateContent>
                <mc:Choice Requires="wps">
                  <w:drawing>
                    <wp:anchor behindDoc="0" distT="0" distB="0" distL="0" distR="0" simplePos="0" locked="0" layoutInCell="1" allowOverlap="1" relativeHeight="592">
                      <wp:simplePos x="0" y="0"/>
                      <wp:positionH relativeFrom="column">
                        <wp:align>left</wp:align>
                      </wp:positionH>
                      <wp:positionV relativeFrom="line">
                        <wp:posOffset>635</wp:posOffset>
                      </wp:positionV>
                      <wp:extent cx="152400" cy="525780"/>
                      <wp:effectExtent l="0" t="0" r="0" b="0"/>
                      <wp:wrapSquare wrapText="right"/>
                      <wp:docPr id="636" name="Frame329"/>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180" w:before="0" w:after="283"/>
                                    <w:jc w:val="left"/>
                                    <w:rPr/>
                                  </w:pPr>
                                  <w:r>
                                    <w:rPr>
                                      <w:color w:val="83AD4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83AD4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vMerge w:val="continue"/>
            <w:tcBorders>
              <w:bottom w:val="single" w:sz="8" w:space="0" w:color="83AD40"/>
            </w:tcBorders>
            <w:shd w:fill="E9F9D8" w:val="clear"/>
            <w:vAlign w:val="center"/>
          </w:tcPr>
          <w:p>
            <w:pPr>
              <w:pStyle w:val="Normal"/>
              <w:bidi w:val="0"/>
              <w:jc w:val="left"/>
              <w:rPr/>
            </w:pPr>
            <w:r>
              <w:rPr/>
            </w:r>
          </w:p>
        </w:tc>
        <w:tc>
          <w:tcPr>
            <w:tcW w:w="1523" w:type="dxa"/>
            <w:vMerge w:val="continue"/>
            <w:tcBorders>
              <w:bottom w:val="single" w:sz="8" w:space="0" w:color="83AD40"/>
            </w:tcBorders>
            <w:shd w:fill="E9F9D8" w:val="clear"/>
            <w:vAlign w:val="center"/>
          </w:tcPr>
          <w:p>
            <w:pPr>
              <w:pStyle w:val="Normal"/>
              <w:bidi w:val="0"/>
              <w:jc w:val="left"/>
              <w:rPr/>
            </w:pPr>
            <w:r>
              <w:rPr/>
            </w:r>
          </w:p>
        </w:tc>
        <w:tc>
          <w:tcPr>
            <w:tcW w:w="109" w:type="dxa"/>
            <w:vMerge w:val="continue"/>
            <w:tcBorders>
              <w:bottom w:val="single" w:sz="8" w:space="0" w:color="83AD40"/>
            </w:tcBorders>
            <w:shd w:fill="E9F9D8" w:val="clear"/>
            <w:vAlign w:val="center"/>
          </w:tcPr>
          <w:p>
            <w:pPr>
              <w:pStyle w:val="Normal"/>
              <w:bidi w:val="0"/>
              <w:jc w:val="left"/>
              <w:rPr/>
            </w:pPr>
            <w:r>
              <w:rPr/>
            </w:r>
          </w:p>
        </w:tc>
        <w:tc>
          <w:tcPr>
            <w:tcW w:w="109" w:type="dxa"/>
            <w:vMerge w:val="continue"/>
            <w:tcBorders>
              <w:bottom w:val="single" w:sz="8" w:space="0" w:color="FFFFFF"/>
            </w:tcBorders>
            <w:shd w:fill="FFFFFF" w:val="clear"/>
            <w:vAlign w:val="center"/>
          </w:tcPr>
          <w:p>
            <w:pPr>
              <w:pStyle w:val="Normal"/>
              <w:bidi w:val="0"/>
              <w:jc w:val="left"/>
              <w:rPr/>
            </w:pPr>
            <w:r>
              <w:rPr/>
            </w:r>
          </w:p>
        </w:tc>
        <w:tc>
          <w:tcPr>
            <w:tcW w:w="109" w:type="dxa"/>
            <w:tcBorders>
              <w:bottom w:val="single" w:sz="8" w:space="0" w:color="83AD40"/>
            </w:tcBorders>
            <w:shd w:fill="83AD40" w:val="clear"/>
            <w:vAlign w:val="center"/>
          </w:tcPr>
          <w:p>
            <w:pPr>
              <w:pStyle w:val="TableContents"/>
              <w:bidi w:val="0"/>
              <w:spacing w:before="0" w:after="283"/>
              <w:jc w:val="left"/>
              <w:rPr/>
            </w:pPr>
            <w:r>
              <w:rPr/>
              <w:t>​</w:t>
            </w:r>
          </w:p>
        </w:tc>
        <w:tc>
          <w:tcPr>
            <w:tcW w:w="7176" w:type="dxa"/>
            <w:tcBorders>
              <w:bottom w:val="single" w:sz="8" w:space="0" w:color="83AD40"/>
            </w:tcBorders>
            <w:shd w:fill="83AD40" w:val="clear"/>
            <w:vAlign w:val="center"/>
          </w:tcPr>
          <w:p>
            <w:pPr>
              <w:pStyle w:val="TableContents"/>
              <w:bidi w:val="0"/>
              <w:spacing w:lineRule="atLeast" w:line="180" w:before="0" w:after="0"/>
              <w:jc w:val="left"/>
              <w:rPr/>
            </w:pPr>
            <w:r>
              <w:rPr>
                <w:spacing w:val="-2"/>
              </w:rPr>
              <w:t>In response to stockholder feedback:</w:t>
            </w:r>
            <w:r>
              <w:rPr/>
              <w:t xml:space="preserve"> </w:t>
            </w:r>
          </w:p>
          <w:p>
            <w:pPr>
              <w:pStyle w:val="TableContents"/>
              <w:bidi w:val="0"/>
              <w:spacing w:lineRule="atLeast" w:line="220" w:before="160" w:after="0"/>
              <w:ind w:left="240" w:right="0" w:hanging="0"/>
              <w:jc w:val="left"/>
              <w:rPr/>
            </w:pPr>
            <w:r>
              <w:rPr>
                <w:spacing w:val="-2"/>
              </w:rPr>
              <w:t>Elimination of provisions that provide for formulaic cash payments following a change in control in lieu of existing base salary, annual bonus and equity award entitlements</w:t>
            </w:r>
            <w:r>
              <w:rPr/>
              <w:t xml:space="preserve"> </w:t>
            </w:r>
            <w:r>
              <mc:AlternateContent>
                <mc:Choice Requires="wps">
                  <w:drawing>
                    <wp:anchor behindDoc="0" distT="101600" distB="0" distL="0" distR="0" simplePos="0" locked="0" layoutInCell="1" allowOverlap="1" relativeHeight="593">
                      <wp:simplePos x="0" y="0"/>
                      <wp:positionH relativeFrom="column">
                        <wp:align>left</wp:align>
                      </wp:positionH>
                      <wp:positionV relativeFrom="line">
                        <wp:align>top</wp:align>
                      </wp:positionV>
                      <wp:extent cx="152400" cy="525780"/>
                      <wp:effectExtent l="0" t="0" r="0" b="0"/>
                      <wp:wrapSquare wrapText="right"/>
                      <wp:docPr id="637" name="Frame330"/>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60" w:after="0"/>
              <w:ind w:left="240" w:right="0" w:hanging="0"/>
              <w:jc w:val="left"/>
              <w:rPr/>
            </w:pPr>
            <w:r>
              <w:rPr>
                <w:spacing w:val="-2"/>
              </w:rPr>
              <w:t>Updated cash severance basis to generally be the average bonus in prior two years (from maximum bonus)</w:t>
            </w:r>
            <w:r>
              <w:rPr/>
              <w:t xml:space="preserve"> </w:t>
            </w:r>
            <w:r>
              <mc:AlternateContent>
                <mc:Choice Requires="wps">
                  <w:drawing>
                    <wp:anchor behindDoc="0" distT="101600" distB="0" distL="0" distR="0" simplePos="0" locked="0" layoutInCell="1" allowOverlap="1" relativeHeight="594">
                      <wp:simplePos x="0" y="0"/>
                      <wp:positionH relativeFrom="column">
                        <wp:align>left</wp:align>
                      </wp:positionH>
                      <wp:positionV relativeFrom="line">
                        <wp:align>top</wp:align>
                      </wp:positionV>
                      <wp:extent cx="152400" cy="525780"/>
                      <wp:effectExtent l="0" t="0" r="0" b="0"/>
                      <wp:wrapSquare wrapText="right"/>
                      <wp:docPr id="638" name="Frame331"/>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bottom w:val="single" w:sz="8" w:space="0" w:color="83AD40"/>
            </w:tcBorders>
            <w:shd w:fill="83AD40" w:val="clear"/>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225" w:type="dxa"/>
        <w:jc w:val="left"/>
        <w:tblInd w:w="900" w:type="dxa"/>
        <w:tblLayout w:type="fixed"/>
        <w:tblCellMar>
          <w:top w:w="0" w:type="dxa"/>
          <w:left w:w="0" w:type="dxa"/>
          <w:bottom w:w="0" w:type="dxa"/>
          <w:right w:w="0" w:type="dxa"/>
        </w:tblCellMar>
      </w:tblPr>
      <w:tblGrid>
        <w:gridCol w:w="124"/>
        <w:gridCol w:w="346"/>
        <w:gridCol w:w="109"/>
        <w:gridCol w:w="109"/>
        <w:gridCol w:w="4383"/>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44</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383" w:type="dxa"/>
            <w:tcBorders/>
            <w:vAlign w:val="center"/>
          </w:tcPr>
          <w:p>
            <w:pPr>
              <w:pStyle w:val="TableContents"/>
              <w:bidi w:val="0"/>
              <w:spacing w:lineRule="atLeast" w:line="200" w:before="0" w:after="0"/>
              <w:jc w:val="left"/>
              <w:rPr/>
            </w:pPr>
            <w:r>
              <w:rPr>
                <w:spacing w:val="-2"/>
              </w:rPr>
              <w:t>    </w:t>
            </w:r>
            <w:r>
              <w:rPr>
                <w:spacing w:val="-2"/>
                <w:sz w:val="16"/>
              </w:rPr>
              <w:t>SL GREEN REALTY CORP. 2026 PROXY STATEMENT</w:t>
            </w:r>
            <w:r>
              <w:rPr>
                <w:sz w:val="16"/>
              </w:rPr>
              <w:t xml:space="preserve"> </w:t>
            </w:r>
          </w:p>
        </w:tc>
        <w:tc>
          <w:tcPr>
            <w:tcW w:w="154" w:type="dxa"/>
            <w:tcBorders/>
            <w:vAlign w:val="center"/>
          </w:tcPr>
          <w:p>
            <w:pPr>
              <w:pStyle w:val="TableContents"/>
              <w:bidi w:val="0"/>
              <w:spacing w:before="0" w:after="283"/>
              <w:jc w:val="left"/>
              <w:rPr/>
            </w:pPr>
            <w:r>
              <w:rPr/>
              <w:t>​</w:t>
            </w:r>
          </w:p>
        </w:tc>
      </w:tr>
    </w:tbl>
    <w:tbl>
      <w:tblPr>
        <w:tblW w:w="9305" w:type="dxa"/>
        <w:jc w:val="left"/>
        <w:tblInd w:w="900" w:type="dxa"/>
        <w:tblLayout w:type="fixed"/>
        <w:tblCellMar>
          <w:top w:w="0" w:type="dxa"/>
          <w:left w:w="0" w:type="dxa"/>
          <w:bottom w:w="0" w:type="dxa"/>
          <w:right w:w="0" w:type="dxa"/>
        </w:tblCellMar>
      </w:tblPr>
      <w:tblGrid>
        <w:gridCol w:w="124"/>
        <w:gridCol w:w="9027"/>
        <w:gridCol w:w="154"/>
      </w:tblGrid>
      <w:tr>
        <w:trPr/>
        <w:tc>
          <w:tcPr>
            <w:tcW w:w="124" w:type="dxa"/>
            <w:tcBorders/>
            <w:shd w:fill="E9F9D8" w:val="clear"/>
            <w:vAlign w:val="center"/>
          </w:tcPr>
          <w:p>
            <w:pPr>
              <w:pStyle w:val="TableContents"/>
              <w:bidi w:val="0"/>
              <w:spacing w:before="0" w:after="283"/>
              <w:jc w:val="left"/>
              <w:rPr/>
            </w:pPr>
            <w:r>
              <w:rPr/>
              <w:t>​</w:t>
            </w:r>
          </w:p>
        </w:tc>
        <w:tc>
          <w:tcPr>
            <w:tcW w:w="9027" w:type="dxa"/>
            <w:tcBorders/>
            <w:shd w:fill="E9F9D8" w:val="clear"/>
            <w:vAlign w:val="center"/>
          </w:tcPr>
          <w:p>
            <w:pPr>
              <w:pStyle w:val="TableContents"/>
              <w:bidi w:val="0"/>
              <w:spacing w:lineRule="atLeast" w:line="200" w:before="0" w:after="0"/>
              <w:jc w:val="left"/>
              <w:rPr/>
            </w:pPr>
            <w:r>
              <w:rPr>
                <w:spacing w:val="-2"/>
              </w:rPr>
              <w:t>Our Pay-for-Performance Approach</w:t>
            </w:r>
            <w:r>
              <w:rPr/>
              <w:t xml:space="preserve"> </w:t>
            </w:r>
          </w:p>
        </w:tc>
        <w:tc>
          <w:tcPr>
            <w:tcW w:w="154" w:type="dxa"/>
            <w:tcBorders/>
            <w:shd w:fill="E9F9D8" w:val="clear"/>
            <w:vAlign w:val="center"/>
          </w:tcPr>
          <w:p>
            <w:pPr>
              <w:pStyle w:val="TableContents"/>
              <w:bidi w:val="0"/>
              <w:spacing w:before="0" w:after="283"/>
              <w:jc w:val="left"/>
              <w:rPr/>
            </w:pPr>
            <w:r>
              <w:rPr/>
              <w:t>​</w:t>
            </w:r>
          </w:p>
        </w:tc>
      </w:tr>
      <w:tr>
        <w:trPr/>
        <w:tc>
          <w:tcPr>
            <w:tcW w:w="124" w:type="dxa"/>
            <w:tcBorders/>
            <w:shd w:fill="E9F9D8" w:val="clear"/>
            <w:vAlign w:val="center"/>
          </w:tcPr>
          <w:p>
            <w:pPr>
              <w:pStyle w:val="TableContents"/>
              <w:bidi w:val="0"/>
              <w:spacing w:before="0" w:after="283"/>
              <w:jc w:val="left"/>
              <w:rPr/>
            </w:pPr>
            <w:r>
              <w:rPr/>
              <w:t>​</w:t>
            </w:r>
          </w:p>
        </w:tc>
        <w:tc>
          <w:tcPr>
            <w:tcW w:w="9027" w:type="dxa"/>
            <w:tcBorders/>
            <w:shd w:fill="E9F9D8" w:val="clear"/>
            <w:vAlign w:val="center"/>
          </w:tcPr>
          <w:p>
            <w:pPr>
              <w:pStyle w:val="TableContents"/>
              <w:bidi w:val="0"/>
              <w:spacing w:lineRule="atLeast" w:line="200" w:before="0" w:after="0"/>
              <w:jc w:val="left"/>
              <w:rPr>
                <w:b/>
              </w:rPr>
            </w:pPr>
            <w:r>
              <w:rPr>
                <w:b w:val="false"/>
                <w:spacing w:val="-2"/>
              </w:rPr>
              <w:t xml:space="preserve">The Company’s long-term success directly results from a </w:t>
            </w:r>
            <w:r>
              <w:rPr>
                <w:b/>
                <w:spacing w:val="-2"/>
              </w:rPr>
              <w:t>compensation philosophy that cultivates the ability to overcome challenging and uncertain business environments by applying creativity and vision, sourcing lucrative opportunities and developing new avenues for growth</w:t>
            </w:r>
            <w:r>
              <w:rPr>
                <w:b w:val="false"/>
                <w:spacing w:val="-2"/>
              </w:rPr>
              <w:t>, such as:</w:t>
            </w:r>
            <w:r>
              <w:rPr>
                <w:b/>
              </w:rPr>
              <w:t xml:space="preserve"> </w:t>
            </w:r>
          </w:p>
          <w:p>
            <w:pPr>
              <w:pStyle w:val="TableContents"/>
              <w:bidi w:val="0"/>
              <w:spacing w:lineRule="atLeast" w:line="200" w:before="80" w:after="0"/>
              <w:ind w:left="180" w:right="0" w:hanging="0"/>
              <w:jc w:val="left"/>
              <w:rPr/>
            </w:pPr>
            <w:r>
              <w:rPr>
                <w:b/>
                <w:spacing w:val="-2"/>
              </w:rPr>
              <w:t>Leasing more than 2.5 million square feet</w:t>
            </w:r>
            <w:r>
              <w:rPr>
                <w:spacing w:val="-2"/>
              </w:rPr>
              <w:t xml:space="preserve"> and achieving </w:t>
            </w:r>
            <w:r>
              <w:rPr>
                <w:b/>
                <w:spacing w:val="-2"/>
              </w:rPr>
              <w:t>93.0% same-store leased occupancy</w:t>
            </w:r>
            <w:r>
              <w:rPr>
                <w:spacing w:val="-2"/>
              </w:rPr>
              <w:t xml:space="preserve"> as of December 31, 2025, which will drive meaningful value creation and cash flow in the coming years</w:t>
            </w:r>
            <w:r>
              <w:rPr/>
              <w:t xml:space="preserve"> </w:t>
            </w:r>
            <w:r>
              <mc:AlternateContent>
                <mc:Choice Requires="wps">
                  <w:drawing>
                    <wp:anchor behindDoc="0" distT="50800" distB="0" distL="0" distR="0" simplePos="0" locked="0" layoutInCell="1" allowOverlap="1" relativeHeight="595">
                      <wp:simplePos x="0" y="0"/>
                      <wp:positionH relativeFrom="column">
                        <wp:align>left</wp:align>
                      </wp:positionH>
                      <wp:positionV relativeFrom="line">
                        <wp:align>top</wp:align>
                      </wp:positionV>
                      <wp:extent cx="114300" cy="350520"/>
                      <wp:effectExtent l="0" t="0" r="0" b="0"/>
                      <wp:wrapSquare wrapText="right"/>
                      <wp:docPr id="639" name="Frame332"/>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80" w:after="0"/>
              <w:ind w:left="180" w:right="0" w:hanging="0"/>
              <w:jc w:val="left"/>
              <w:rPr/>
            </w:pPr>
            <w:r>
              <w:rPr>
                <w:spacing w:val="-2"/>
              </w:rPr>
              <w:t>Creating a differentiated real estate credit platform and raising $</w:t>
            </w:r>
            <w:r>
              <w:rPr>
                <w:b/>
                <w:spacing w:val="-2"/>
              </w:rPr>
              <w:t>1.3 billion</w:t>
            </w:r>
            <w:r>
              <w:rPr>
                <w:spacing w:val="-2"/>
              </w:rPr>
              <w:t xml:space="preserve"> in our Opportunistic Debt Fund, </w:t>
            </w:r>
            <w:r>
              <w:rPr>
                <w:b/>
                <w:spacing w:val="-2"/>
              </w:rPr>
              <w:t>surpassing our fundraising goal</w:t>
            </w:r>
            <w:r>
              <w:rPr/>
              <w:t xml:space="preserve"> </w:t>
            </w:r>
            <w:r>
              <mc:AlternateContent>
                <mc:Choice Requires="wps">
                  <w:drawing>
                    <wp:anchor behindDoc="0" distT="50800" distB="0" distL="0" distR="0" simplePos="0" locked="0" layoutInCell="1" allowOverlap="1" relativeHeight="596">
                      <wp:simplePos x="0" y="0"/>
                      <wp:positionH relativeFrom="column">
                        <wp:align>left</wp:align>
                      </wp:positionH>
                      <wp:positionV relativeFrom="line">
                        <wp:align>top</wp:align>
                      </wp:positionV>
                      <wp:extent cx="114300" cy="350520"/>
                      <wp:effectExtent l="0" t="0" r="0" b="0"/>
                      <wp:wrapSquare wrapText="right"/>
                      <wp:docPr id="640" name="Frame333"/>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80" w:after="0"/>
              <w:ind w:left="180" w:right="0" w:hanging="0"/>
              <w:jc w:val="left"/>
              <w:rPr/>
            </w:pPr>
            <w:r>
              <w:rPr>
                <w:spacing w:val="-2"/>
              </w:rPr>
              <w:t xml:space="preserve">Expanding the Company’s special servicing and asset management platforms to record levels, with </w:t>
            </w:r>
            <w:r>
              <w:rPr>
                <w:b/>
                <w:spacing w:val="-2"/>
              </w:rPr>
              <w:t>total assets under management of $20.9 billion</w:t>
            </w:r>
            <w:r>
              <w:rPr>
                <w:spacing w:val="-2"/>
              </w:rPr>
              <w:t xml:space="preserve"> as of December 31, 2025, in active and designated assignments</w:t>
            </w:r>
            <w:r>
              <w:rPr/>
              <w:t xml:space="preserve"> </w:t>
            </w:r>
            <w:r>
              <mc:AlternateContent>
                <mc:Choice Requires="wps">
                  <w:drawing>
                    <wp:anchor behindDoc="0" distT="50800" distB="0" distL="0" distR="0" simplePos="0" locked="0" layoutInCell="1" allowOverlap="1" relativeHeight="597">
                      <wp:simplePos x="0" y="0"/>
                      <wp:positionH relativeFrom="column">
                        <wp:align>left</wp:align>
                      </wp:positionH>
                      <wp:positionV relativeFrom="line">
                        <wp:align>top</wp:align>
                      </wp:positionV>
                      <wp:extent cx="114300" cy="350520"/>
                      <wp:effectExtent l="0" t="0" r="0" b="0"/>
                      <wp:wrapSquare wrapText="right"/>
                      <wp:docPr id="641" name="Frame334"/>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80" w:after="0"/>
              <w:ind w:left="180" w:right="0" w:hanging="0"/>
              <w:jc w:val="left"/>
              <w:rPr/>
            </w:pPr>
            <w:r>
              <w:rPr>
                <w:spacing w:val="-2"/>
              </w:rPr>
              <w:t xml:space="preserve">Demonstrating strong investment sourcing and market insight by </w:t>
            </w:r>
            <w:r>
              <w:rPr>
                <w:b/>
                <w:spacing w:val="-2"/>
              </w:rPr>
              <w:t>expanding the Company’s presence on Park Avenue and other core Midtown corridors</w:t>
            </w:r>
            <w:r>
              <w:rPr>
                <w:spacing w:val="-2"/>
              </w:rPr>
              <w:t xml:space="preserve"> that best position the portfolio for long-term value creation </w:t>
            </w:r>
            <w:r>
              <mc:AlternateContent>
                <mc:Choice Requires="wps">
                  <w:drawing>
                    <wp:anchor behindDoc="0" distT="50800" distB="0" distL="0" distR="0" simplePos="0" locked="0" layoutInCell="1" allowOverlap="1" relativeHeight="598">
                      <wp:simplePos x="0" y="0"/>
                      <wp:positionH relativeFrom="column">
                        <wp:align>left</wp:align>
                      </wp:positionH>
                      <wp:positionV relativeFrom="line">
                        <wp:align>top</wp:align>
                      </wp:positionV>
                      <wp:extent cx="114300" cy="350520"/>
                      <wp:effectExtent l="0" t="0" r="0" b="0"/>
                      <wp:wrapSquare wrapText="right"/>
                      <wp:docPr id="642" name="Frame335"/>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shd w:fill="E9F9D8" w:val="clear"/>
            <w:vAlign w:val="center"/>
          </w:tcPr>
          <w:p>
            <w:pPr>
              <w:pStyle w:val="TableContents"/>
              <w:bidi w:val="0"/>
              <w:spacing w:before="0" w:after="283"/>
              <w:jc w:val="left"/>
              <w:rPr/>
            </w:pPr>
            <w:r>
              <w:rPr/>
              <w:t>​</w:t>
            </w:r>
          </w:p>
        </w:tc>
      </w:tr>
      <w:tr>
        <w:trPr/>
        <w:tc>
          <w:tcPr>
            <w:tcW w:w="124" w:type="dxa"/>
            <w:tcBorders/>
            <w:shd w:fill="E9F9D8" w:val="clear"/>
            <w:vAlign w:val="center"/>
          </w:tcPr>
          <w:p>
            <w:pPr>
              <w:pStyle w:val="TableContents"/>
              <w:bidi w:val="0"/>
              <w:spacing w:before="0" w:after="283"/>
              <w:jc w:val="left"/>
              <w:rPr/>
            </w:pPr>
            <w:r>
              <w:rPr/>
              <w:t>​</w:t>
            </w:r>
          </w:p>
        </w:tc>
        <w:tc>
          <w:tcPr>
            <w:tcW w:w="9027" w:type="dxa"/>
            <w:tcBorders/>
            <w:shd w:fill="E9F9D8" w:val="clear"/>
            <w:vAlign w:val="center"/>
          </w:tcPr>
          <w:p>
            <w:pPr>
              <w:pStyle w:val="TableContents"/>
              <w:bidi w:val="0"/>
              <w:spacing w:lineRule="atLeast" w:line="200" w:before="0" w:after="0"/>
              <w:jc w:val="left"/>
              <w:rPr/>
            </w:pPr>
            <w:r>
              <w:rPr>
                <w:spacing w:val="-2"/>
              </w:rPr>
              <w:t>The Committee’s pay-for-performance approach recognizes and appropriately incentivizes the execution required to deliver on our visionary strategic plan in one of the most competitive operating environments in the world.</w:t>
            </w:r>
            <w:r>
              <w:rPr/>
              <w:t xml:space="preserve"> </w:t>
            </w:r>
          </w:p>
        </w:tc>
        <w:tc>
          <w:tcPr>
            <w:tcW w:w="154" w:type="dxa"/>
            <w:tcBorders/>
            <w:shd w:fill="E9F9D8" w:val="clear"/>
            <w:vAlign w:val="center"/>
          </w:tcPr>
          <w:p>
            <w:pPr>
              <w:pStyle w:val="TableContents"/>
              <w:bidi w:val="0"/>
              <w:spacing w:before="0" w:after="283"/>
              <w:jc w:val="left"/>
              <w:rPr/>
            </w:pPr>
            <w:r>
              <w:rPr/>
              <w:t>​</w:t>
            </w:r>
          </w:p>
        </w:tc>
      </w:tr>
    </w:tbl>
    <w:p>
      <w:pPr>
        <w:pStyle w:val="TextBody"/>
        <w:bidi w:val="0"/>
        <w:spacing w:lineRule="atLeast" w:line="260" w:before="240" w:after="283"/>
        <w:ind w:left="900" w:right="0" w:hanging="0"/>
        <w:jc w:val="left"/>
        <w:rPr>
          <w:rFonts w:ascii="Arial;Helvetica;sans-serif" w:hAnsi="Arial;Helvetica;sans-serif"/>
          <w:b/>
          <w:i w:val="false"/>
          <w:caps w:val="false"/>
          <w:smallCaps w:val="false"/>
          <w:color w:val="83AD40"/>
          <w:sz w:val="22"/>
        </w:rPr>
      </w:pPr>
      <w:r>
        <w:rPr>
          <w:rFonts w:ascii="Arial;Helvetica;sans-serif" w:hAnsi="Arial;Helvetica;sans-serif"/>
          <w:b/>
          <w:i w:val="false"/>
          <w:caps w:val="false"/>
          <w:smallCaps w:val="false"/>
          <w:color w:val="83AD40"/>
          <w:spacing w:val="-2"/>
          <w:sz w:val="22"/>
        </w:rPr>
        <w:t>2025 Performance Highlights</w:t>
      </w:r>
      <w:r>
        <w:rPr>
          <w:rFonts w:ascii="Arial;Helvetica;sans-serif" w:hAnsi="Arial;Helvetica;sans-serif"/>
          <w:b/>
          <w:i w:val="false"/>
          <w:caps w:val="false"/>
          <w:smallCaps w:val="false"/>
          <w:color w:val="000000"/>
          <w:spacing w:val="4"/>
          <w:sz w:val="22"/>
        </w:rPr>
        <w:t xml:space="preserve"> </w:t>
      </w:r>
    </w:p>
    <w:tbl>
      <w:tblPr>
        <w:tblW w:w="7548" w:type="dxa"/>
        <w:jc w:val="left"/>
        <w:tblInd w:w="900" w:type="dxa"/>
        <w:tblLayout w:type="fixed"/>
        <w:tblCellMar>
          <w:top w:w="0" w:type="dxa"/>
          <w:left w:w="0" w:type="dxa"/>
          <w:bottom w:w="28" w:type="dxa"/>
          <w:right w:w="0" w:type="dxa"/>
        </w:tblCellMar>
      </w:tblPr>
      <w:tblGrid>
        <w:gridCol w:w="124"/>
        <w:gridCol w:w="3418"/>
        <w:gridCol w:w="109"/>
        <w:gridCol w:w="109"/>
        <w:gridCol w:w="109"/>
        <w:gridCol w:w="3525"/>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3418" w:type="dxa"/>
            <w:tcBorders>
              <w:bottom w:val="single" w:sz="2" w:space="0" w:color="83AD40"/>
            </w:tcBorders>
            <w:tcMar>
              <w:bottom w:w="68" w:type="dxa"/>
            </w:tcMar>
            <w:vAlign w:val="center"/>
          </w:tcPr>
          <w:p>
            <w:pPr>
              <w:pStyle w:val="TableContents"/>
              <w:bidi w:val="0"/>
              <w:spacing w:before="0" w:after="0"/>
              <w:jc w:val="left"/>
              <w:rPr>
                <w:b w:val="false"/>
                <w:sz w:val="36"/>
              </w:rPr>
            </w:pPr>
            <w:r>
              <w:rPr>
                <w:b w:val="false"/>
                <w:sz w:val="36"/>
              </w:rPr>
              <w:t>$0.9B</w:t>
            </w:r>
          </w:p>
          <w:p>
            <w:pPr>
              <w:pStyle w:val="TableContents"/>
              <w:bidi w:val="0"/>
              <w:spacing w:lineRule="atLeast" w:line="200" w:before="20" w:after="283"/>
              <w:jc w:val="left"/>
              <w:rPr/>
            </w:pPr>
            <w:r>
              <w:rPr>
                <w:spacing w:val="-2"/>
              </w:rPr>
              <w:t>Strategic Acquisitions</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83AD40"/>
            </w:tcBorders>
            <w:shd w:fill="83AD40"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525" w:type="dxa"/>
            <w:tcBorders>
              <w:bottom w:val="single" w:sz="2" w:space="0" w:color="83AD40"/>
            </w:tcBorders>
            <w:tcMar>
              <w:bottom w:w="68" w:type="dxa"/>
            </w:tcMar>
            <w:vAlign w:val="center"/>
          </w:tcPr>
          <w:p>
            <w:pPr>
              <w:pStyle w:val="TableContents"/>
              <w:bidi w:val="0"/>
              <w:spacing w:before="0" w:after="0"/>
              <w:jc w:val="left"/>
              <w:rPr>
                <w:b w:val="false"/>
                <w:sz w:val="36"/>
              </w:rPr>
            </w:pPr>
            <w:r>
              <w:rPr>
                <w:b w:val="false"/>
                <w:sz w:val="36"/>
              </w:rPr>
              <w:t>93.0%</w:t>
            </w:r>
          </w:p>
          <w:p>
            <w:pPr>
              <w:pStyle w:val="TableContents"/>
              <w:bidi w:val="0"/>
              <w:spacing w:lineRule="atLeast" w:line="200" w:before="20" w:after="283"/>
              <w:jc w:val="left"/>
              <w:rPr/>
            </w:pPr>
            <w:r>
              <w:rPr>
                <w:spacing w:val="-2"/>
              </w:rPr>
              <w:t>Manhattan Same Store Occupancy</w:t>
            </w:r>
            <w:r>
              <w:rPr>
                <w:spacing w:val="-1"/>
                <w:sz w:val="11"/>
              </w:rPr>
              <w:t>(2)</w:t>
            </w:r>
            <w:r>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3418" w:type="dxa"/>
            <w:tcBorders>
              <w:bottom w:val="single" w:sz="2" w:space="0" w:color="83AD40"/>
            </w:tcBorders>
            <w:tcMar>
              <w:bottom w:w="68" w:type="dxa"/>
            </w:tcMar>
            <w:vAlign w:val="center"/>
          </w:tcPr>
          <w:p>
            <w:pPr>
              <w:pStyle w:val="TableContents"/>
              <w:bidi w:val="0"/>
              <w:spacing w:before="0" w:after="0"/>
              <w:jc w:val="left"/>
              <w:rPr>
                <w:b w:val="false"/>
                <w:sz w:val="36"/>
              </w:rPr>
            </w:pPr>
            <w:r>
              <w:rPr>
                <w:b w:val="false"/>
                <w:sz w:val="36"/>
              </w:rPr>
              <w:t>$5.72</w:t>
            </w:r>
          </w:p>
          <w:p>
            <w:pPr>
              <w:pStyle w:val="TableContents"/>
              <w:bidi w:val="0"/>
              <w:spacing w:lineRule="atLeast" w:line="200" w:before="20" w:after="283"/>
              <w:jc w:val="left"/>
              <w:rPr/>
            </w:pPr>
            <w:r>
              <w:rPr>
                <w:spacing w:val="-2"/>
              </w:rPr>
              <w:t>FFO Per Share</w:t>
            </w:r>
            <w:r>
              <w:rPr>
                <w:spacing w:val="-2"/>
              </w:rPr>
              <w:t>﻿</w:t>
            </w:r>
            <w:r>
              <w:rPr>
                <w:spacing w:val="-1"/>
                <w:szCs w:val="11"/>
              </w:rPr>
              <w:t>﻿</w:t>
            </w:r>
            <w:r>
              <w:rPr>
                <w:spacing w:val="-1"/>
                <w:sz w:val="11"/>
              </w:rPr>
              <w:t>(1)</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83AD40"/>
            </w:tcBorders>
            <w:shd w:fill="83AD40"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525" w:type="dxa"/>
            <w:tcBorders>
              <w:bottom w:val="single" w:sz="2" w:space="0" w:color="83AD40"/>
            </w:tcBorders>
            <w:tcMar>
              <w:bottom w:w="68" w:type="dxa"/>
            </w:tcMar>
            <w:vAlign w:val="center"/>
          </w:tcPr>
          <w:p>
            <w:pPr>
              <w:pStyle w:val="TableContents"/>
              <w:bidi w:val="0"/>
              <w:spacing w:before="0" w:after="0"/>
              <w:jc w:val="left"/>
              <w:rPr>
                <w:b w:val="false"/>
                <w:sz w:val="36"/>
              </w:rPr>
            </w:pPr>
            <w:r>
              <w:rPr>
                <w:b w:val="false"/>
                <w:sz w:val="36"/>
              </w:rPr>
              <w:t>&gt;$57M</w:t>
            </w:r>
          </w:p>
          <w:p>
            <w:pPr>
              <w:pStyle w:val="TableContents"/>
              <w:bidi w:val="0"/>
              <w:spacing w:lineRule="atLeast" w:line="200" w:before="20" w:after="283"/>
              <w:jc w:val="left"/>
              <w:rPr/>
            </w:pPr>
            <w:r>
              <w:rPr>
                <w:spacing w:val="-2"/>
              </w:rPr>
              <w:t>Discounted Debt Gains</w:t>
            </w:r>
            <w:r>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bottom w:val="single" w:sz="6" w:space="0" w:color="83AD40"/>
            </w:tcBorders>
            <w:vAlign w:val="center"/>
          </w:tcPr>
          <w:p>
            <w:pPr>
              <w:pStyle w:val="TableContents"/>
              <w:bidi w:val="0"/>
              <w:spacing w:before="0" w:after="283"/>
              <w:jc w:val="left"/>
              <w:rPr/>
            </w:pPr>
            <w:r>
              <w:rPr/>
              <w:t>​</w:t>
            </w:r>
          </w:p>
        </w:tc>
        <w:tc>
          <w:tcPr>
            <w:tcW w:w="3418" w:type="dxa"/>
            <w:tcBorders>
              <w:bottom w:val="single" w:sz="6" w:space="0" w:color="83AD40"/>
            </w:tcBorders>
            <w:tcMar>
              <w:bottom w:w="80" w:type="dxa"/>
            </w:tcMar>
            <w:vAlign w:val="center"/>
          </w:tcPr>
          <w:p>
            <w:pPr>
              <w:pStyle w:val="TableContents"/>
              <w:bidi w:val="0"/>
              <w:spacing w:before="0" w:after="0"/>
              <w:jc w:val="left"/>
              <w:rPr>
                <w:b w:val="false"/>
                <w:sz w:val="36"/>
              </w:rPr>
            </w:pPr>
            <w:r>
              <w:rPr>
                <w:b w:val="false"/>
                <w:sz w:val="36"/>
              </w:rPr>
              <w:t>&gt;2.5M square feet</w:t>
            </w:r>
          </w:p>
          <w:p>
            <w:pPr>
              <w:pStyle w:val="TableContents"/>
              <w:bidi w:val="0"/>
              <w:spacing w:lineRule="atLeast" w:line="200" w:before="20" w:after="283"/>
              <w:jc w:val="left"/>
              <w:rPr/>
            </w:pPr>
            <w:r>
              <w:rPr>
                <w:spacing w:val="-2"/>
              </w:rPr>
              <w:t>Manhattan Office Leasing Volume</w:t>
            </w:r>
            <w:r>
              <w:rPr/>
              <w:t xml:space="preserve"> </w:t>
            </w:r>
          </w:p>
        </w:tc>
        <w:tc>
          <w:tcPr>
            <w:tcW w:w="109" w:type="dxa"/>
            <w:tcBorders>
              <w:bottom w:val="single" w:sz="6" w:space="0" w:color="83AD40"/>
            </w:tcBorders>
            <w:vAlign w:val="center"/>
          </w:tcPr>
          <w:p>
            <w:pPr>
              <w:pStyle w:val="TableContents"/>
              <w:bidi w:val="0"/>
              <w:spacing w:before="0" w:after="283"/>
              <w:jc w:val="left"/>
              <w:rPr/>
            </w:pPr>
            <w:r>
              <w:rPr/>
              <w:t>​</w:t>
            </w:r>
          </w:p>
        </w:tc>
        <w:tc>
          <w:tcPr>
            <w:tcW w:w="109" w:type="dxa"/>
            <w:tcBorders>
              <w:bottom w:val="single" w:sz="2" w:space="0" w:color="83AD40"/>
            </w:tcBorders>
            <w:shd w:fill="83AD40" w:val="clear"/>
            <w:vAlign w:val="center"/>
          </w:tcPr>
          <w:p>
            <w:pPr>
              <w:pStyle w:val="TableContents"/>
              <w:bidi w:val="0"/>
              <w:spacing w:before="0" w:after="283"/>
              <w:jc w:val="left"/>
              <w:rPr/>
            </w:pPr>
            <w:r>
              <w:rPr/>
              <w:t>​</w:t>
            </w:r>
          </w:p>
        </w:tc>
        <w:tc>
          <w:tcPr>
            <w:tcW w:w="109" w:type="dxa"/>
            <w:tcBorders>
              <w:bottom w:val="single" w:sz="6" w:space="0" w:color="83AD40"/>
            </w:tcBorders>
            <w:vAlign w:val="center"/>
          </w:tcPr>
          <w:p>
            <w:pPr>
              <w:pStyle w:val="TableContents"/>
              <w:bidi w:val="0"/>
              <w:spacing w:before="0" w:after="283"/>
              <w:jc w:val="left"/>
              <w:rPr/>
            </w:pPr>
            <w:r>
              <w:rPr/>
              <w:t>​</w:t>
            </w:r>
          </w:p>
        </w:tc>
        <w:tc>
          <w:tcPr>
            <w:tcW w:w="3525" w:type="dxa"/>
            <w:tcBorders>
              <w:bottom w:val="single" w:sz="6" w:space="0" w:color="83AD40"/>
            </w:tcBorders>
            <w:tcMar>
              <w:bottom w:w="80" w:type="dxa"/>
            </w:tcMar>
            <w:vAlign w:val="center"/>
          </w:tcPr>
          <w:p>
            <w:pPr>
              <w:pStyle w:val="TableContents"/>
              <w:bidi w:val="0"/>
              <w:spacing w:before="0" w:after="0"/>
              <w:jc w:val="left"/>
              <w:rPr>
                <w:b w:val="false"/>
                <w:sz w:val="36"/>
              </w:rPr>
            </w:pPr>
            <w:r>
              <w:rPr>
                <w:b w:val="false"/>
                <w:sz w:val="36"/>
              </w:rPr>
              <w:t>&gt;$237M</w:t>
            </w:r>
          </w:p>
          <w:p>
            <w:pPr>
              <w:pStyle w:val="TableContents"/>
              <w:bidi w:val="0"/>
              <w:spacing w:lineRule="atLeast" w:line="200" w:before="0" w:after="0"/>
              <w:jc w:val="left"/>
              <w:rPr/>
            </w:pPr>
            <w:r>
              <w:rPr>
                <w:spacing w:val="-2"/>
              </w:rPr>
              <w:t>Funds Available for Distribution</w:t>
            </w:r>
            <w:r>
              <w:rPr>
                <w:spacing w:val="-1"/>
                <w:sz w:val="11"/>
              </w:rPr>
              <w:t>(1)</w:t>
            </w:r>
            <w:r>
              <w:rPr/>
              <w:t xml:space="preserve"> </w:t>
            </w:r>
          </w:p>
        </w:tc>
        <w:tc>
          <w:tcPr>
            <w:tcW w:w="154" w:type="dxa"/>
            <w:tcBorders>
              <w:bottom w:val="single" w:sz="6" w:space="0" w:color="83AD40"/>
            </w:tcBorders>
            <w:vAlign w:val="center"/>
          </w:tcPr>
          <w:p>
            <w:pPr>
              <w:pStyle w:val="TableContents"/>
              <w:bidi w:val="0"/>
              <w:spacing w:before="0" w:after="283"/>
              <w:jc w:val="left"/>
              <w:rPr/>
            </w:pPr>
            <w:r>
              <w:rPr/>
              <w:t>​</w:t>
            </w:r>
          </w:p>
        </w:tc>
      </w:tr>
    </w:tbl>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190"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Refer to Appendix A to this proxy statement for reconciliations of FFO Per Share and Funds Available for Distribution.</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20650" distB="0" distL="0" distR="0" simplePos="0" locked="0" layoutInCell="1" allowOverlap="1" relativeHeight="599">
                <wp:simplePos x="0" y="0"/>
                <wp:positionH relativeFrom="column">
                  <wp:align>left</wp:align>
                </wp:positionH>
                <wp:positionV relativeFrom="line">
                  <wp:align>top</wp:align>
                </wp:positionV>
                <wp:extent cx="254000" cy="254000"/>
                <wp:effectExtent l="0" t="0" r="0" b="0"/>
                <wp:wrapSquare wrapText="right"/>
                <wp:docPr id="643" name="Frame336"/>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2"/>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9.5pt;mso-wrap-distance-bottom:0pt;margin-top:9.5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2"/>
                          <w:sz w:val="16"/>
                        </w:rPr>
                        <w:t>(1)</w:t>
                      </w:r>
                      <w:r>
                        <w:rPr>
                          <w:sz w:val="16"/>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300" w:right="0" w:hanging="0"/>
        <w:jc w:val="left"/>
        <w:rPr>
          <w:rFonts w:ascii="Arial;Helvetica;sans-serif" w:hAnsi="Arial;Helvetica;sans-serif"/>
          <w:b w:val="false"/>
          <w:i w:val="false"/>
          <w:caps w:val="false"/>
          <w:smallCaps w:val="false"/>
          <w:color w:val="000000"/>
          <w:spacing w:val="-2"/>
          <w:sz w:val="16"/>
        </w:rPr>
      </w:pPr>
      <w:r>
        <w:rPr>
          <w:rFonts w:ascii="Arial;Helvetica;sans-serif" w:hAnsi="Arial;Helvetica;sans-serif"/>
          <w:b w:val="false"/>
          <w:i w:val="false"/>
          <w:caps w:val="false"/>
          <w:smallCaps w:val="false"/>
          <w:color w:val="000000"/>
          <w:spacing w:val="-2"/>
          <w:sz w:val="16"/>
        </w:rPr>
        <w:t xml:space="preserve">Inclusive of leases signed but not yet commenced. </w:t>
      </w:r>
      <w:r>
        <mc:AlternateContent>
          <mc:Choice Requires="wps">
            <w:drawing>
              <wp:anchor behindDoc="0" distT="50800" distB="0" distL="0" distR="0" simplePos="0" locked="0" layoutInCell="1" allowOverlap="1" relativeHeight="600">
                <wp:simplePos x="0" y="0"/>
                <wp:positionH relativeFrom="column">
                  <wp:align>left</wp:align>
                </wp:positionH>
                <wp:positionV relativeFrom="line">
                  <wp:align>top</wp:align>
                </wp:positionV>
                <wp:extent cx="254000" cy="254000"/>
                <wp:effectExtent l="0" t="0" r="0" b="0"/>
                <wp:wrapSquare wrapText="right"/>
                <wp:docPr id="644" name="Frame337"/>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2"/>
                                <w:sz w:val="16"/>
                              </w:rPr>
                              <w:t>(2)</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2"/>
                          <w:sz w:val="16"/>
                        </w:rPr>
                        <w:t>(2)</w:t>
                      </w:r>
                      <w:r>
                        <w:rPr>
                          <w:sz w:val="16"/>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4330" w:type="dxa"/>
        <w:jc w:val="left"/>
        <w:tblInd w:w="900" w:type="dxa"/>
        <w:tblLayout w:type="fixed"/>
        <w:tblCellMar>
          <w:top w:w="0" w:type="dxa"/>
          <w:left w:w="0" w:type="dxa"/>
          <w:bottom w:w="0" w:type="dxa"/>
          <w:right w:w="0" w:type="dxa"/>
        </w:tblCellMar>
      </w:tblPr>
      <w:tblGrid>
        <w:gridCol w:w="124"/>
        <w:gridCol w:w="3488"/>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3488" w:type="dxa"/>
            <w:tcBorders/>
            <w:vAlign w:val="center"/>
          </w:tcPr>
          <w:p>
            <w:pPr>
              <w:pStyle w:val="TableContents"/>
              <w:bidi w:val="0"/>
              <w:spacing w:lineRule="atLeast" w:line="200" w:before="0" w:after="0"/>
              <w:jc w:val="left"/>
              <w:rPr/>
            </w:pPr>
            <w:r>
              <w:rPr>
                <w:spacing w:val="-2"/>
              </w:rPr>
              <w:t>EXECUTIVE COMPENSATION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color w:val="1F2668"/>
                <w:sz w:val="24"/>
              </w:rPr>
            </w:pPr>
            <w:r>
              <w:rPr>
                <w:color w:val="1F2668"/>
                <w:sz w:val="24"/>
              </w:rPr>
              <w:t>45</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20" w:before="560" w:after="154"/>
        <w:ind w:left="900" w:right="0" w:hanging="0"/>
        <w:jc w:val="left"/>
        <w:rPr>
          <w:rFonts w:ascii="Arial;Helvetica;sans-serif" w:hAnsi="Arial;Helvetica;sans-serif"/>
          <w:b/>
          <w:i w:val="false"/>
          <w:caps w:val="false"/>
          <w:smallCaps w:val="false"/>
          <w:color w:val="1F2668"/>
          <w:sz w:val="18"/>
        </w:rPr>
      </w:pPr>
      <w:r>
        <w:rPr>
          <w:rFonts w:ascii="Arial;Helvetica;sans-serif" w:hAnsi="Arial;Helvetica;sans-serif"/>
          <w:b/>
          <w:i w:val="false"/>
          <w:caps w:val="false"/>
          <w:smallCaps w:val="false"/>
          <w:color w:val="1F2668"/>
          <w:spacing w:val="-2"/>
          <w:sz w:val="18"/>
        </w:rPr>
        <w:t>2025 GOALS AND ACHIEVEMENTS</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The 2025 Goals were presented at our Institutional Investor Conference on December 9, 2024.</w:t>
      </w:r>
      <w:r>
        <w:rPr>
          <w:rFonts w:ascii="Arial;Helvetica;sans-serif" w:hAnsi="Arial;Helvetica;sans-serif"/>
          <w:b w:val="false"/>
          <w:i w:val="false"/>
          <w:caps w:val="false"/>
          <w:smallCaps w:val="false"/>
          <w:color w:val="000000"/>
          <w:spacing w:val="4"/>
          <w:sz w:val="18"/>
        </w:rPr>
        <w:t xml:space="preserve"> </w:t>
      </w:r>
    </w:p>
    <w:tbl>
      <w:tblPr>
        <w:tblW w:w="9305" w:type="dxa"/>
        <w:jc w:val="left"/>
        <w:tblInd w:w="900" w:type="dxa"/>
        <w:tblLayout w:type="fixed"/>
        <w:tblCellMar>
          <w:top w:w="0" w:type="dxa"/>
          <w:left w:w="0" w:type="dxa"/>
          <w:bottom w:w="28" w:type="dxa"/>
          <w:right w:w="0" w:type="dxa"/>
        </w:tblCellMar>
      </w:tblPr>
      <w:tblGrid>
        <w:gridCol w:w="3994"/>
        <w:gridCol w:w="109"/>
        <w:gridCol w:w="109"/>
        <w:gridCol w:w="377"/>
        <w:gridCol w:w="109"/>
        <w:gridCol w:w="109"/>
        <w:gridCol w:w="109"/>
        <w:gridCol w:w="4125"/>
        <w:gridCol w:w="109"/>
        <w:gridCol w:w="155"/>
      </w:tblGrid>
      <w:tr>
        <w:trPr/>
        <w:tc>
          <w:tcPr>
            <w:tcW w:w="3994" w:type="dxa"/>
            <w:tcBorders>
              <w:bottom w:val="single" w:sz="8" w:space="0" w:color="1F2668"/>
            </w:tcBorders>
            <w:vAlign w:val="center"/>
          </w:tcPr>
          <w:p>
            <w:pPr>
              <w:pStyle w:val="TableContents"/>
              <w:bidi w:val="0"/>
              <w:spacing w:before="0" w:after="0"/>
              <w:ind w:left="80" w:right="0" w:hanging="0"/>
              <w:jc w:val="left"/>
              <w:rPr/>
            </w:pPr>
            <w:r>
              <w:rPr>
                <w:spacing w:val="-2"/>
              </w:rPr>
              <w:t>Goals for 2025</w:t>
            </w:r>
            <w:r>
              <w:rPr/>
              <w:t xml:space="preserve"> </w:t>
            </w:r>
          </w:p>
        </w:tc>
        <w:tc>
          <w:tcPr>
            <w:tcW w:w="109" w:type="dxa"/>
            <w:tcBorders>
              <w:bottom w:val="single" w:sz="8" w:space="0" w:color="1F2668"/>
            </w:tcBorders>
            <w:vAlign w:val="center"/>
          </w:tcPr>
          <w:p>
            <w:pPr>
              <w:pStyle w:val="TableContents"/>
              <w:bidi w:val="0"/>
              <w:spacing w:before="0" w:after="283"/>
              <w:jc w:val="left"/>
              <w:rPr/>
            </w:pPr>
            <w:r>
              <w:rPr/>
              <w:t>​</w:t>
            </w:r>
          </w:p>
        </w:tc>
        <w:tc>
          <w:tcPr>
            <w:tcW w:w="109" w:type="dxa"/>
            <w:tcBorders>
              <w:bottom w:val="single" w:sz="8" w:space="0" w:color="1F2668"/>
            </w:tcBorders>
            <w:vAlign w:val="center"/>
          </w:tcPr>
          <w:p>
            <w:pPr>
              <w:pStyle w:val="TableContents"/>
              <w:bidi w:val="0"/>
              <w:spacing w:before="0" w:after="283"/>
              <w:jc w:val="left"/>
              <w:rPr/>
            </w:pPr>
            <w:r>
              <w:rPr/>
              <w:t>​</w:t>
            </w:r>
          </w:p>
        </w:tc>
        <w:tc>
          <w:tcPr>
            <w:tcW w:w="377" w:type="dxa"/>
            <w:tcBorders>
              <w:bottom w:val="single" w:sz="8" w:space="0" w:color="1F2668"/>
            </w:tcBorders>
            <w:vAlign w:val="center"/>
          </w:tcPr>
          <w:p>
            <w:pPr>
              <w:pStyle w:val="TableContents"/>
              <w:bidi w:val="0"/>
              <w:spacing w:before="0" w:after="283"/>
              <w:jc w:val="left"/>
              <w:rPr/>
            </w:pPr>
            <w:r>
              <w:rPr/>
              <w:t>​</w:t>
            </w:r>
          </w:p>
        </w:tc>
        <w:tc>
          <w:tcPr>
            <w:tcW w:w="109" w:type="dxa"/>
            <w:tcBorders>
              <w:bottom w:val="single" w:sz="8" w:space="0" w:color="1F2668"/>
            </w:tcBorders>
            <w:vAlign w:val="center"/>
          </w:tcPr>
          <w:p>
            <w:pPr>
              <w:pStyle w:val="TableContents"/>
              <w:bidi w:val="0"/>
              <w:spacing w:before="0" w:after="283"/>
              <w:jc w:val="left"/>
              <w:rPr/>
            </w:pPr>
            <w:r>
              <w:rPr/>
              <w:t>​</w:t>
            </w:r>
          </w:p>
        </w:tc>
        <w:tc>
          <w:tcPr>
            <w:tcW w:w="109" w:type="dxa"/>
            <w:tcBorders>
              <w:top w:val="single" w:sz="18" w:space="0" w:color="83AD40"/>
              <w:bottom w:val="single" w:sz="2" w:space="0" w:color="83AD40"/>
            </w:tcBorders>
            <w:shd w:fill="83AD40" w:val="clear"/>
            <w:tcMar>
              <w:top w:w="28" w:type="dxa"/>
            </w:tcMar>
            <w:vAlign w:val="center"/>
          </w:tcPr>
          <w:p>
            <w:pPr>
              <w:pStyle w:val="TableContents"/>
              <w:bidi w:val="0"/>
              <w:spacing w:before="0" w:after="283"/>
              <w:jc w:val="left"/>
              <w:rPr/>
            </w:pPr>
            <w:r>
              <w:rPr/>
              <w:t>​</w:t>
            </w:r>
          </w:p>
        </w:tc>
        <w:tc>
          <w:tcPr>
            <w:tcW w:w="109" w:type="dxa"/>
            <w:tcBorders>
              <w:top w:val="single" w:sz="18" w:space="0" w:color="83AD40"/>
              <w:bottom w:val="single" w:sz="8" w:space="0" w:color="1F2668"/>
            </w:tcBorders>
            <w:tcMar>
              <w:top w:w="28" w:type="dxa"/>
            </w:tcMar>
            <w:vAlign w:val="center"/>
          </w:tcPr>
          <w:p>
            <w:pPr>
              <w:pStyle w:val="TableContents"/>
              <w:bidi w:val="0"/>
              <w:spacing w:before="0" w:after="283"/>
              <w:jc w:val="left"/>
              <w:rPr/>
            </w:pPr>
            <w:r>
              <w:rPr/>
              <w:t>​</w:t>
            </w:r>
          </w:p>
        </w:tc>
        <w:tc>
          <w:tcPr>
            <w:tcW w:w="4125" w:type="dxa"/>
            <w:tcBorders>
              <w:top w:val="single" w:sz="18" w:space="0" w:color="83AD40"/>
              <w:bottom w:val="single" w:sz="8" w:space="0" w:color="1F2668"/>
            </w:tcBorders>
            <w:tcMar>
              <w:top w:w="150" w:type="dxa"/>
            </w:tcMar>
            <w:vAlign w:val="center"/>
          </w:tcPr>
          <w:p>
            <w:pPr>
              <w:pStyle w:val="TableContents"/>
              <w:bidi w:val="0"/>
              <w:spacing w:before="0" w:after="0"/>
              <w:jc w:val="left"/>
              <w:rPr>
                <w:color w:val="83AD40"/>
              </w:rPr>
            </w:pPr>
            <w:r>
              <w:rPr>
                <w:color w:val="83AD40"/>
                <w:spacing w:val="-2"/>
              </w:rPr>
              <w:t>How We Did</w:t>
            </w:r>
            <w:r>
              <w:rPr>
                <w:color w:val="83AD40"/>
              </w:rPr>
              <w:t xml:space="preserve"> </w:t>
            </w:r>
          </w:p>
        </w:tc>
        <w:tc>
          <w:tcPr>
            <w:tcW w:w="109" w:type="dxa"/>
            <w:tcBorders>
              <w:top w:val="single" w:sz="18" w:space="0" w:color="83AD40"/>
              <w:bottom w:val="single" w:sz="8" w:space="0" w:color="1F2668"/>
            </w:tcBorders>
            <w:tcMar>
              <w:top w:w="28" w:type="dxa"/>
            </w:tcMar>
            <w:vAlign w:val="center"/>
          </w:tcPr>
          <w:p>
            <w:pPr>
              <w:pStyle w:val="TableContents"/>
              <w:bidi w:val="0"/>
              <w:spacing w:before="0" w:after="283"/>
              <w:jc w:val="left"/>
              <w:rPr/>
            </w:pPr>
            <w:r>
              <w:rPr/>
              <w:t>​</w:t>
            </w:r>
          </w:p>
        </w:tc>
        <w:tc>
          <w:tcPr>
            <w:tcW w:w="155" w:type="dxa"/>
            <w:tcBorders>
              <w:top w:val="single" w:sz="18" w:space="0" w:color="83AD40"/>
              <w:bottom w:val="single" w:sz="2" w:space="0" w:color="83AD40"/>
            </w:tcBorders>
            <w:shd w:fill="83AD40" w:val="clear"/>
            <w:tcMar>
              <w:top w:w="28" w:type="dxa"/>
            </w:tcMar>
            <w:vAlign w:val="center"/>
          </w:tcPr>
          <w:p>
            <w:pPr>
              <w:pStyle w:val="TableContents"/>
              <w:bidi w:val="0"/>
              <w:spacing w:before="0" w:after="283"/>
              <w:jc w:val="left"/>
              <w:rPr/>
            </w:pPr>
            <w:r>
              <w:rPr/>
              <w:t>​</w:t>
            </w:r>
          </w:p>
        </w:tc>
      </w:tr>
      <w:tr>
        <w:trPr/>
        <w:tc>
          <w:tcPr>
            <w:tcW w:w="3994" w:type="dxa"/>
            <w:tcBorders>
              <w:bottom w:val="single" w:sz="6" w:space="0" w:color="4B5088"/>
            </w:tcBorders>
            <w:vAlign w:val="center"/>
          </w:tcPr>
          <w:p>
            <w:pPr>
              <w:pStyle w:val="TableContents"/>
              <w:bidi w:val="0"/>
              <w:spacing w:lineRule="atLeast" w:line="196" w:before="0" w:after="0"/>
              <w:ind w:left="80" w:right="0" w:hanging="0"/>
              <w:jc w:val="left"/>
              <w:rPr>
                <w:spacing w:val="-2"/>
              </w:rPr>
            </w:pPr>
            <w:r>
              <w:rPr>
                <w:spacing w:val="-2"/>
              </w:rPr>
              <w:t xml:space="preserve">Sign 2.0M Square Feet of Manhattan Office Leases </w:t>
            </w:r>
          </w:p>
        </w:tc>
        <w:tc>
          <w:tcPr>
            <w:tcW w:w="109" w:type="dxa"/>
            <w:tcBorders>
              <w:bottom w:val="single" w:sz="6" w:space="0" w:color="4B5088"/>
            </w:tcBorders>
            <w:vAlign w:val="center"/>
          </w:tcPr>
          <w:p>
            <w:pPr>
              <w:pStyle w:val="TableContents"/>
              <w:bidi w:val="0"/>
              <w:spacing w:before="0" w:after="283"/>
              <w:jc w:val="left"/>
              <w:rPr/>
            </w:pPr>
            <w:r>
              <w:rPr/>
              <w:t>​</w:t>
            </w:r>
          </w:p>
        </w:tc>
        <w:tc>
          <w:tcPr>
            <w:tcW w:w="109" w:type="dxa"/>
            <w:tcBorders>
              <w:bottom w:val="single" w:sz="6" w:space="0" w:color="4B5088"/>
            </w:tcBorders>
            <w:vAlign w:val="center"/>
          </w:tcPr>
          <w:p>
            <w:pPr>
              <w:pStyle w:val="TableContents"/>
              <w:bidi w:val="0"/>
              <w:spacing w:before="0" w:after="283"/>
              <w:jc w:val="left"/>
              <w:rPr/>
            </w:pPr>
            <w:r>
              <w:rPr/>
              <w:t>​</w:t>
            </w:r>
          </w:p>
        </w:tc>
        <w:tc>
          <w:tcPr>
            <w:tcW w:w="377" w:type="dxa"/>
            <w:tcBorders>
              <w:bottom w:val="single" w:sz="6" w:space="0" w:color="4B5088"/>
            </w:tcBorders>
            <w:vAlign w:val="center"/>
          </w:tcPr>
          <w:p>
            <w:pPr>
              <w:pStyle w:val="TableContents"/>
              <w:bidi w:val="0"/>
              <w:spacing w:before="0" w:after="0"/>
              <w:jc w:val="center"/>
              <w:rPr/>
            </w:pPr>
            <w:r>
              <w:rPr/>
              <w:drawing>
                <wp:inline distT="0" distB="0" distL="0" distR="0">
                  <wp:extent cx="133350" cy="133350"/>
                  <wp:effectExtent l="0" t="0" r="0" b="0"/>
                  <wp:docPr id="645" name="Image2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5" name="Image224" descr=""/>
                          <pic:cNvPicPr>
                            <a:picLocks noChangeAspect="1" noChangeArrowheads="1"/>
                          </pic:cNvPicPr>
                        </pic:nvPicPr>
                        <pic:blipFill>
                          <a:blip r:embed="rId315"/>
                          <a:stretch>
                            <a:fillRect/>
                          </a:stretch>
                        </pic:blipFill>
                        <pic:spPr bwMode="auto">
                          <a:xfrm>
                            <a:off x="0" y="0"/>
                            <a:ext cx="133350" cy="133350"/>
                          </a:xfrm>
                          <a:prstGeom prst="rect">
                            <a:avLst/>
                          </a:prstGeom>
                        </pic:spPr>
                      </pic:pic>
                    </a:graphicData>
                  </a:graphic>
                </wp:inline>
              </w:drawing>
            </w:r>
            <w:r>
              <w:rPr/>
              <w:t xml:space="preserve"> </w:t>
            </w:r>
          </w:p>
        </w:tc>
        <w:tc>
          <w:tcPr>
            <w:tcW w:w="109" w:type="dxa"/>
            <w:tcBorders>
              <w:bottom w:val="single" w:sz="6" w:space="0" w:color="4B5088"/>
            </w:tcBorders>
            <w:vAlign w:val="center"/>
          </w:tcPr>
          <w:p>
            <w:pPr>
              <w:pStyle w:val="TableContents"/>
              <w:bidi w:val="0"/>
              <w:spacing w:before="0" w:after="283"/>
              <w:jc w:val="left"/>
              <w:rPr/>
            </w:pPr>
            <w:r>
              <w:rPr/>
              <w:t>​</w:t>
            </w:r>
          </w:p>
        </w:tc>
        <w:tc>
          <w:tcPr>
            <w:tcW w:w="109" w:type="dxa"/>
            <w:tcBorders>
              <w:bottom w:val="single" w:sz="2" w:space="0" w:color="83AD40"/>
            </w:tcBorders>
            <w:shd w:fill="83AD40" w:val="clear"/>
            <w:vAlign w:val="center"/>
          </w:tcPr>
          <w:p>
            <w:pPr>
              <w:pStyle w:val="TableContents"/>
              <w:bidi w:val="0"/>
              <w:spacing w:before="0" w:after="283"/>
              <w:jc w:val="left"/>
              <w:rPr/>
            </w:pPr>
            <w:r>
              <w:rPr/>
              <w:t>​</w:t>
            </w:r>
          </w:p>
        </w:tc>
        <w:tc>
          <w:tcPr>
            <w:tcW w:w="109" w:type="dxa"/>
            <w:tcBorders>
              <w:bottom w:val="single" w:sz="6" w:space="0" w:color="4B5088"/>
            </w:tcBorders>
            <w:vAlign w:val="center"/>
          </w:tcPr>
          <w:p>
            <w:pPr>
              <w:pStyle w:val="TableContents"/>
              <w:bidi w:val="0"/>
              <w:spacing w:before="0" w:after="283"/>
              <w:jc w:val="left"/>
              <w:rPr/>
            </w:pPr>
            <w:r>
              <w:rPr/>
              <w:t>​</w:t>
            </w:r>
          </w:p>
        </w:tc>
        <w:tc>
          <w:tcPr>
            <w:tcW w:w="4125" w:type="dxa"/>
            <w:tcBorders>
              <w:bottom w:val="single" w:sz="6" w:space="0" w:color="4B5088"/>
            </w:tcBorders>
            <w:vAlign w:val="center"/>
          </w:tcPr>
          <w:p>
            <w:pPr>
              <w:pStyle w:val="TableContents"/>
              <w:bidi w:val="0"/>
              <w:spacing w:lineRule="atLeast" w:line="195" w:before="0" w:after="0"/>
              <w:jc w:val="left"/>
              <w:rPr>
                <w:spacing w:val="-2"/>
              </w:rPr>
            </w:pPr>
            <w:r>
              <w:rPr>
                <w:spacing w:val="-2"/>
              </w:rPr>
              <w:t xml:space="preserve">Signed greater than 2.5M Square Feet of Manhattan Office Leases </w:t>
            </w:r>
          </w:p>
        </w:tc>
        <w:tc>
          <w:tcPr>
            <w:tcW w:w="109" w:type="dxa"/>
            <w:tcBorders>
              <w:bottom w:val="single" w:sz="6" w:space="0" w:color="4B5088"/>
            </w:tcBorders>
            <w:vAlign w:val="center"/>
          </w:tcPr>
          <w:p>
            <w:pPr>
              <w:pStyle w:val="TableContents"/>
              <w:bidi w:val="0"/>
              <w:spacing w:before="0" w:after="283"/>
              <w:jc w:val="left"/>
              <w:rPr/>
            </w:pPr>
            <w:r>
              <w:rPr/>
              <w:t>​</w:t>
            </w:r>
          </w:p>
        </w:tc>
        <w:tc>
          <w:tcPr>
            <w:tcW w:w="155" w:type="dxa"/>
            <w:tcBorders>
              <w:bottom w:val="single" w:sz="2" w:space="0" w:color="83AD40"/>
            </w:tcBorders>
            <w:shd w:fill="83AD40" w:val="clear"/>
            <w:vAlign w:val="center"/>
          </w:tcPr>
          <w:p>
            <w:pPr>
              <w:pStyle w:val="TableContents"/>
              <w:bidi w:val="0"/>
              <w:spacing w:before="0" w:after="283"/>
              <w:jc w:val="left"/>
              <w:rPr/>
            </w:pPr>
            <w:r>
              <w:rPr/>
              <w:t>​</w:t>
            </w:r>
          </w:p>
        </w:tc>
      </w:tr>
      <w:tr>
        <w:trPr/>
        <w:tc>
          <w:tcPr>
            <w:tcW w:w="3994" w:type="dxa"/>
            <w:tcBorders>
              <w:bottom w:val="single" w:sz="6" w:space="0" w:color="4B5088"/>
            </w:tcBorders>
            <w:tcMar>
              <w:bottom w:w="60" w:type="dxa"/>
            </w:tcMar>
            <w:vAlign w:val="center"/>
          </w:tcPr>
          <w:p>
            <w:pPr>
              <w:pStyle w:val="TableContents"/>
              <w:bidi w:val="0"/>
              <w:spacing w:lineRule="atLeast" w:line="196" w:before="0" w:after="0"/>
              <w:ind w:left="80" w:right="0" w:hanging="0"/>
              <w:jc w:val="left"/>
              <w:rPr>
                <w:spacing w:val="-2"/>
              </w:rPr>
            </w:pPr>
            <w:r>
              <w:rPr>
                <w:spacing w:val="-2"/>
              </w:rPr>
              <w:t xml:space="preserve">Manhattan Same Store Occupancy 93.2% </w:t>
            </w:r>
          </w:p>
        </w:tc>
        <w:tc>
          <w:tcPr>
            <w:tcW w:w="109" w:type="dxa"/>
            <w:tcBorders>
              <w:bottom w:val="single" w:sz="6" w:space="0" w:color="4B5088"/>
            </w:tcBorders>
            <w:vAlign w:val="center"/>
          </w:tcPr>
          <w:p>
            <w:pPr>
              <w:pStyle w:val="TableContents"/>
              <w:bidi w:val="0"/>
              <w:spacing w:before="0" w:after="283"/>
              <w:jc w:val="left"/>
              <w:rPr/>
            </w:pPr>
            <w:r>
              <w:rPr/>
              <w:t>​</w:t>
            </w:r>
          </w:p>
        </w:tc>
        <w:tc>
          <w:tcPr>
            <w:tcW w:w="109" w:type="dxa"/>
            <w:tcBorders>
              <w:bottom w:val="single" w:sz="6" w:space="0" w:color="4B5088"/>
            </w:tcBorders>
            <w:vAlign w:val="center"/>
          </w:tcPr>
          <w:p>
            <w:pPr>
              <w:pStyle w:val="TableContents"/>
              <w:bidi w:val="0"/>
              <w:spacing w:before="0" w:after="283"/>
              <w:jc w:val="left"/>
              <w:rPr/>
            </w:pPr>
            <w:r>
              <w:rPr/>
              <w:t>​</w:t>
            </w:r>
          </w:p>
        </w:tc>
        <w:tc>
          <w:tcPr>
            <w:tcW w:w="377" w:type="dxa"/>
            <w:tcBorders>
              <w:bottom w:val="single" w:sz="6" w:space="0" w:color="4B5088"/>
            </w:tcBorders>
            <w:vAlign w:val="center"/>
          </w:tcPr>
          <w:p>
            <w:pPr>
              <w:pStyle w:val="TableContents"/>
              <w:bidi w:val="0"/>
              <w:spacing w:before="0" w:after="0"/>
              <w:jc w:val="center"/>
              <w:rPr/>
            </w:pPr>
            <w:r>
              <w:rPr/>
              <w:drawing>
                <wp:inline distT="0" distB="0" distL="0" distR="0">
                  <wp:extent cx="133350" cy="133350"/>
                  <wp:effectExtent l="0" t="0" r="0" b="0"/>
                  <wp:docPr id="646" name="Image2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6" name="Image225" descr=""/>
                          <pic:cNvPicPr>
                            <a:picLocks noChangeAspect="1" noChangeArrowheads="1"/>
                          </pic:cNvPicPr>
                        </pic:nvPicPr>
                        <pic:blipFill>
                          <a:blip r:embed="rId316"/>
                          <a:stretch>
                            <a:fillRect/>
                          </a:stretch>
                        </pic:blipFill>
                        <pic:spPr bwMode="auto">
                          <a:xfrm>
                            <a:off x="0" y="0"/>
                            <a:ext cx="133350" cy="133350"/>
                          </a:xfrm>
                          <a:prstGeom prst="rect">
                            <a:avLst/>
                          </a:prstGeom>
                        </pic:spPr>
                      </pic:pic>
                    </a:graphicData>
                  </a:graphic>
                </wp:inline>
              </w:drawing>
            </w:r>
            <w:r>
              <w:rPr/>
              <w:t xml:space="preserve"> </w:t>
            </w:r>
          </w:p>
        </w:tc>
        <w:tc>
          <w:tcPr>
            <w:tcW w:w="109" w:type="dxa"/>
            <w:tcBorders>
              <w:bottom w:val="single" w:sz="6" w:space="0" w:color="4B5088"/>
            </w:tcBorders>
            <w:vAlign w:val="center"/>
          </w:tcPr>
          <w:p>
            <w:pPr>
              <w:pStyle w:val="TableContents"/>
              <w:bidi w:val="0"/>
              <w:spacing w:before="0" w:after="283"/>
              <w:jc w:val="left"/>
              <w:rPr/>
            </w:pPr>
            <w:r>
              <w:rPr/>
              <w:t>​</w:t>
            </w:r>
          </w:p>
        </w:tc>
        <w:tc>
          <w:tcPr>
            <w:tcW w:w="109" w:type="dxa"/>
            <w:tcBorders>
              <w:bottom w:val="single" w:sz="2" w:space="0" w:color="83AD40"/>
            </w:tcBorders>
            <w:shd w:fill="83AD40" w:val="clear"/>
            <w:vAlign w:val="center"/>
          </w:tcPr>
          <w:p>
            <w:pPr>
              <w:pStyle w:val="TableContents"/>
              <w:bidi w:val="0"/>
              <w:spacing w:before="0" w:after="283"/>
              <w:jc w:val="left"/>
              <w:rPr/>
            </w:pPr>
            <w:r>
              <w:rPr/>
              <w:t>​</w:t>
            </w:r>
          </w:p>
        </w:tc>
        <w:tc>
          <w:tcPr>
            <w:tcW w:w="109" w:type="dxa"/>
            <w:tcBorders>
              <w:bottom w:val="single" w:sz="6" w:space="0" w:color="4B5088"/>
            </w:tcBorders>
            <w:vAlign w:val="center"/>
          </w:tcPr>
          <w:p>
            <w:pPr>
              <w:pStyle w:val="TableContents"/>
              <w:bidi w:val="0"/>
              <w:spacing w:before="0" w:after="283"/>
              <w:jc w:val="left"/>
              <w:rPr/>
            </w:pPr>
            <w:r>
              <w:rPr/>
              <w:t>​</w:t>
            </w:r>
          </w:p>
        </w:tc>
        <w:tc>
          <w:tcPr>
            <w:tcW w:w="4125" w:type="dxa"/>
            <w:tcBorders>
              <w:bottom w:val="single" w:sz="6" w:space="0" w:color="4B5088"/>
            </w:tcBorders>
            <w:tcMar>
              <w:bottom w:w="60" w:type="dxa"/>
            </w:tcMar>
            <w:vAlign w:val="center"/>
          </w:tcPr>
          <w:p>
            <w:pPr>
              <w:pStyle w:val="TableContents"/>
              <w:bidi w:val="0"/>
              <w:spacing w:lineRule="atLeast" w:line="196" w:before="0" w:after="0"/>
              <w:jc w:val="left"/>
              <w:rPr>
                <w:spacing w:val="-2"/>
              </w:rPr>
            </w:pPr>
            <w:r>
              <w:rPr>
                <w:spacing w:val="-2"/>
              </w:rPr>
              <w:t xml:space="preserve">Achieved 93.0% Same Store Occupancy at Year End </w:t>
            </w:r>
          </w:p>
        </w:tc>
        <w:tc>
          <w:tcPr>
            <w:tcW w:w="109" w:type="dxa"/>
            <w:tcBorders>
              <w:bottom w:val="single" w:sz="6" w:space="0" w:color="4B5088"/>
            </w:tcBorders>
            <w:vAlign w:val="center"/>
          </w:tcPr>
          <w:p>
            <w:pPr>
              <w:pStyle w:val="TableContents"/>
              <w:bidi w:val="0"/>
              <w:spacing w:before="0" w:after="283"/>
              <w:jc w:val="left"/>
              <w:rPr/>
            </w:pPr>
            <w:r>
              <w:rPr/>
              <w:t>​</w:t>
            </w:r>
          </w:p>
        </w:tc>
        <w:tc>
          <w:tcPr>
            <w:tcW w:w="155" w:type="dxa"/>
            <w:tcBorders>
              <w:bottom w:val="single" w:sz="2" w:space="0" w:color="83AD40"/>
            </w:tcBorders>
            <w:shd w:fill="83AD40" w:val="clear"/>
            <w:vAlign w:val="center"/>
          </w:tcPr>
          <w:p>
            <w:pPr>
              <w:pStyle w:val="TableContents"/>
              <w:bidi w:val="0"/>
              <w:spacing w:before="0" w:after="283"/>
              <w:jc w:val="left"/>
              <w:rPr/>
            </w:pPr>
            <w:r>
              <w:rPr/>
              <w:t>​</w:t>
            </w:r>
          </w:p>
        </w:tc>
      </w:tr>
      <w:tr>
        <w:trPr/>
        <w:tc>
          <w:tcPr>
            <w:tcW w:w="3994" w:type="dxa"/>
            <w:tcBorders>
              <w:bottom w:val="single" w:sz="6" w:space="0" w:color="4B5088"/>
            </w:tcBorders>
            <w:tcMar>
              <w:bottom w:w="60" w:type="dxa"/>
            </w:tcMar>
            <w:vAlign w:val="center"/>
          </w:tcPr>
          <w:p>
            <w:pPr>
              <w:pStyle w:val="TableContents"/>
              <w:bidi w:val="0"/>
              <w:spacing w:lineRule="atLeast" w:line="196" w:before="0" w:after="0"/>
              <w:ind w:left="80" w:right="0" w:hanging="0"/>
              <w:jc w:val="left"/>
              <w:rPr>
                <w:spacing w:val="-2"/>
              </w:rPr>
            </w:pPr>
            <w:r>
              <w:rPr>
                <w:spacing w:val="-2"/>
              </w:rPr>
              <w:t xml:space="preserve">Manhattan Office Mark-To-Market 0.0%-5.0% </w:t>
            </w:r>
          </w:p>
        </w:tc>
        <w:tc>
          <w:tcPr>
            <w:tcW w:w="109" w:type="dxa"/>
            <w:tcBorders>
              <w:bottom w:val="single" w:sz="6" w:space="0" w:color="4B5088"/>
            </w:tcBorders>
            <w:vAlign w:val="center"/>
          </w:tcPr>
          <w:p>
            <w:pPr>
              <w:pStyle w:val="TableContents"/>
              <w:bidi w:val="0"/>
              <w:spacing w:before="0" w:after="283"/>
              <w:jc w:val="left"/>
              <w:rPr/>
            </w:pPr>
            <w:r>
              <w:rPr/>
              <w:t>​</w:t>
            </w:r>
          </w:p>
        </w:tc>
        <w:tc>
          <w:tcPr>
            <w:tcW w:w="109" w:type="dxa"/>
            <w:tcBorders>
              <w:bottom w:val="single" w:sz="6" w:space="0" w:color="4B5088"/>
            </w:tcBorders>
            <w:vAlign w:val="center"/>
          </w:tcPr>
          <w:p>
            <w:pPr>
              <w:pStyle w:val="TableContents"/>
              <w:bidi w:val="0"/>
              <w:spacing w:before="0" w:after="283"/>
              <w:jc w:val="left"/>
              <w:rPr/>
            </w:pPr>
            <w:r>
              <w:rPr/>
              <w:t>​</w:t>
            </w:r>
          </w:p>
        </w:tc>
        <w:tc>
          <w:tcPr>
            <w:tcW w:w="377" w:type="dxa"/>
            <w:tcBorders>
              <w:bottom w:val="single" w:sz="6" w:space="0" w:color="4B5088"/>
            </w:tcBorders>
            <w:vAlign w:val="center"/>
          </w:tcPr>
          <w:p>
            <w:pPr>
              <w:pStyle w:val="TableContents"/>
              <w:bidi w:val="0"/>
              <w:spacing w:before="0" w:after="0"/>
              <w:jc w:val="center"/>
              <w:rPr/>
            </w:pPr>
            <w:r>
              <w:rPr/>
              <w:drawing>
                <wp:inline distT="0" distB="0" distL="0" distR="0">
                  <wp:extent cx="133350" cy="133350"/>
                  <wp:effectExtent l="0" t="0" r="0" b="0"/>
                  <wp:docPr id="647" name="Image2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 name="Image226" descr=""/>
                          <pic:cNvPicPr>
                            <a:picLocks noChangeAspect="1" noChangeArrowheads="1"/>
                          </pic:cNvPicPr>
                        </pic:nvPicPr>
                        <pic:blipFill>
                          <a:blip r:embed="rId317"/>
                          <a:stretch>
                            <a:fillRect/>
                          </a:stretch>
                        </pic:blipFill>
                        <pic:spPr bwMode="auto">
                          <a:xfrm>
                            <a:off x="0" y="0"/>
                            <a:ext cx="133350" cy="133350"/>
                          </a:xfrm>
                          <a:prstGeom prst="rect">
                            <a:avLst/>
                          </a:prstGeom>
                        </pic:spPr>
                      </pic:pic>
                    </a:graphicData>
                  </a:graphic>
                </wp:inline>
              </w:drawing>
            </w:r>
            <w:r>
              <w:rPr/>
              <w:t xml:space="preserve"> </w:t>
            </w:r>
          </w:p>
        </w:tc>
        <w:tc>
          <w:tcPr>
            <w:tcW w:w="109" w:type="dxa"/>
            <w:tcBorders>
              <w:bottom w:val="single" w:sz="6" w:space="0" w:color="4B5088"/>
            </w:tcBorders>
            <w:vAlign w:val="center"/>
          </w:tcPr>
          <w:p>
            <w:pPr>
              <w:pStyle w:val="TableContents"/>
              <w:bidi w:val="0"/>
              <w:spacing w:before="0" w:after="283"/>
              <w:jc w:val="left"/>
              <w:rPr/>
            </w:pPr>
            <w:r>
              <w:rPr/>
              <w:t>​</w:t>
            </w:r>
          </w:p>
        </w:tc>
        <w:tc>
          <w:tcPr>
            <w:tcW w:w="109" w:type="dxa"/>
            <w:tcBorders>
              <w:bottom w:val="single" w:sz="2" w:space="0" w:color="83AD40"/>
            </w:tcBorders>
            <w:shd w:fill="83AD40" w:val="clear"/>
            <w:vAlign w:val="center"/>
          </w:tcPr>
          <w:p>
            <w:pPr>
              <w:pStyle w:val="TableContents"/>
              <w:bidi w:val="0"/>
              <w:spacing w:before="0" w:after="283"/>
              <w:jc w:val="left"/>
              <w:rPr/>
            </w:pPr>
            <w:r>
              <w:rPr/>
              <w:t>​</w:t>
            </w:r>
          </w:p>
        </w:tc>
        <w:tc>
          <w:tcPr>
            <w:tcW w:w="109" w:type="dxa"/>
            <w:tcBorders>
              <w:bottom w:val="single" w:sz="6" w:space="0" w:color="4B5088"/>
            </w:tcBorders>
            <w:vAlign w:val="center"/>
          </w:tcPr>
          <w:p>
            <w:pPr>
              <w:pStyle w:val="TableContents"/>
              <w:bidi w:val="0"/>
              <w:spacing w:before="0" w:after="283"/>
              <w:jc w:val="left"/>
              <w:rPr/>
            </w:pPr>
            <w:r>
              <w:rPr/>
              <w:t>​</w:t>
            </w:r>
          </w:p>
        </w:tc>
        <w:tc>
          <w:tcPr>
            <w:tcW w:w="4125" w:type="dxa"/>
            <w:tcBorders>
              <w:bottom w:val="single" w:sz="6" w:space="0" w:color="4B5088"/>
            </w:tcBorders>
            <w:tcMar>
              <w:bottom w:w="60" w:type="dxa"/>
            </w:tcMar>
            <w:vAlign w:val="center"/>
          </w:tcPr>
          <w:p>
            <w:pPr>
              <w:pStyle w:val="TableContents"/>
              <w:bidi w:val="0"/>
              <w:spacing w:lineRule="atLeast" w:line="196" w:before="0" w:after="0"/>
              <w:jc w:val="left"/>
              <w:rPr>
                <w:spacing w:val="-2"/>
              </w:rPr>
            </w:pPr>
            <w:r>
              <w:rPr>
                <w:spacing w:val="-2"/>
              </w:rPr>
              <w:t xml:space="preserve">1.2% Mark-to-Market on Signed Leases </w:t>
            </w:r>
          </w:p>
        </w:tc>
        <w:tc>
          <w:tcPr>
            <w:tcW w:w="109" w:type="dxa"/>
            <w:tcBorders>
              <w:bottom w:val="single" w:sz="6" w:space="0" w:color="4B5088"/>
            </w:tcBorders>
            <w:vAlign w:val="center"/>
          </w:tcPr>
          <w:p>
            <w:pPr>
              <w:pStyle w:val="TableContents"/>
              <w:bidi w:val="0"/>
              <w:spacing w:before="0" w:after="283"/>
              <w:jc w:val="left"/>
              <w:rPr/>
            </w:pPr>
            <w:r>
              <w:rPr/>
              <w:t>​</w:t>
            </w:r>
          </w:p>
        </w:tc>
        <w:tc>
          <w:tcPr>
            <w:tcW w:w="155" w:type="dxa"/>
            <w:tcBorders>
              <w:bottom w:val="single" w:sz="2" w:space="0" w:color="83AD40"/>
            </w:tcBorders>
            <w:shd w:fill="83AD40" w:val="clear"/>
            <w:vAlign w:val="center"/>
          </w:tcPr>
          <w:p>
            <w:pPr>
              <w:pStyle w:val="TableContents"/>
              <w:bidi w:val="0"/>
              <w:spacing w:before="0" w:after="283"/>
              <w:jc w:val="left"/>
              <w:rPr/>
            </w:pPr>
            <w:r>
              <w:rPr/>
              <w:t>​</w:t>
            </w:r>
          </w:p>
        </w:tc>
      </w:tr>
      <w:tr>
        <w:trPr/>
        <w:tc>
          <w:tcPr>
            <w:tcW w:w="3994" w:type="dxa"/>
            <w:tcBorders>
              <w:bottom w:val="single" w:sz="6" w:space="0" w:color="4B5088"/>
            </w:tcBorders>
            <w:tcMar>
              <w:bottom w:w="60" w:type="dxa"/>
            </w:tcMar>
            <w:vAlign w:val="center"/>
          </w:tcPr>
          <w:p>
            <w:pPr>
              <w:pStyle w:val="TableContents"/>
              <w:bidi w:val="0"/>
              <w:spacing w:before="0" w:after="0"/>
              <w:ind w:left="80" w:right="0" w:hanging="0"/>
              <w:jc w:val="left"/>
              <w:rPr>
                <w:spacing w:val="-2"/>
              </w:rPr>
            </w:pPr>
            <w:r>
              <w:rPr>
                <w:spacing w:val="-2"/>
              </w:rPr>
              <w:t xml:space="preserve">Dispositions of $1.0B </w:t>
            </w:r>
          </w:p>
        </w:tc>
        <w:tc>
          <w:tcPr>
            <w:tcW w:w="109" w:type="dxa"/>
            <w:tcBorders>
              <w:bottom w:val="single" w:sz="6" w:space="0" w:color="4B5088"/>
            </w:tcBorders>
            <w:vAlign w:val="center"/>
          </w:tcPr>
          <w:p>
            <w:pPr>
              <w:pStyle w:val="TableContents"/>
              <w:bidi w:val="0"/>
              <w:spacing w:before="0" w:after="283"/>
              <w:jc w:val="left"/>
              <w:rPr/>
            </w:pPr>
            <w:r>
              <w:rPr/>
              <w:t>​</w:t>
            </w:r>
          </w:p>
        </w:tc>
        <w:tc>
          <w:tcPr>
            <w:tcW w:w="109" w:type="dxa"/>
            <w:tcBorders>
              <w:bottom w:val="single" w:sz="6" w:space="0" w:color="4B5088"/>
            </w:tcBorders>
            <w:vAlign w:val="center"/>
          </w:tcPr>
          <w:p>
            <w:pPr>
              <w:pStyle w:val="TableContents"/>
              <w:bidi w:val="0"/>
              <w:spacing w:before="0" w:after="283"/>
              <w:jc w:val="left"/>
              <w:rPr/>
            </w:pPr>
            <w:r>
              <w:rPr/>
              <w:t>​</w:t>
            </w:r>
          </w:p>
        </w:tc>
        <w:tc>
          <w:tcPr>
            <w:tcW w:w="377" w:type="dxa"/>
            <w:tcBorders>
              <w:bottom w:val="single" w:sz="6" w:space="0" w:color="4B5088"/>
            </w:tcBorders>
            <w:tcMar>
              <w:bottom w:w="60" w:type="dxa"/>
            </w:tcMar>
            <w:vAlign w:val="center"/>
          </w:tcPr>
          <w:p>
            <w:pPr>
              <w:pStyle w:val="TableContents"/>
              <w:bidi w:val="0"/>
              <w:spacing w:before="0" w:after="0"/>
              <w:jc w:val="center"/>
              <w:rPr>
                <w:b/>
              </w:rPr>
            </w:pPr>
            <w:r>
              <w:rPr>
                <w:b/>
                <w:spacing w:val="-2"/>
              </w:rPr>
              <w:t>X</w:t>
            </w:r>
            <w:r>
              <w:rPr>
                <w:b/>
              </w:rPr>
              <w:t xml:space="preserve"> </w:t>
            </w:r>
          </w:p>
        </w:tc>
        <w:tc>
          <w:tcPr>
            <w:tcW w:w="109" w:type="dxa"/>
            <w:tcBorders>
              <w:bottom w:val="single" w:sz="6" w:space="0" w:color="4B5088"/>
            </w:tcBorders>
            <w:vAlign w:val="center"/>
          </w:tcPr>
          <w:p>
            <w:pPr>
              <w:pStyle w:val="TableContents"/>
              <w:bidi w:val="0"/>
              <w:spacing w:before="0" w:after="283"/>
              <w:jc w:val="left"/>
              <w:rPr/>
            </w:pPr>
            <w:r>
              <w:rPr/>
              <w:t>​</w:t>
            </w:r>
          </w:p>
        </w:tc>
        <w:tc>
          <w:tcPr>
            <w:tcW w:w="109" w:type="dxa"/>
            <w:tcBorders>
              <w:bottom w:val="single" w:sz="2" w:space="0" w:color="83AD40"/>
            </w:tcBorders>
            <w:shd w:fill="83AD40" w:val="clear"/>
            <w:vAlign w:val="center"/>
          </w:tcPr>
          <w:p>
            <w:pPr>
              <w:pStyle w:val="TableContents"/>
              <w:bidi w:val="0"/>
              <w:spacing w:before="0" w:after="283"/>
              <w:jc w:val="left"/>
              <w:rPr/>
            </w:pPr>
            <w:r>
              <w:rPr/>
              <w:t>​</w:t>
            </w:r>
          </w:p>
        </w:tc>
        <w:tc>
          <w:tcPr>
            <w:tcW w:w="109" w:type="dxa"/>
            <w:tcBorders>
              <w:bottom w:val="single" w:sz="6" w:space="0" w:color="4B5088"/>
            </w:tcBorders>
            <w:vAlign w:val="center"/>
          </w:tcPr>
          <w:p>
            <w:pPr>
              <w:pStyle w:val="TableContents"/>
              <w:bidi w:val="0"/>
              <w:spacing w:before="0" w:after="283"/>
              <w:jc w:val="left"/>
              <w:rPr/>
            </w:pPr>
            <w:r>
              <w:rPr/>
              <w:t>​</w:t>
            </w:r>
          </w:p>
        </w:tc>
        <w:tc>
          <w:tcPr>
            <w:tcW w:w="4125" w:type="dxa"/>
            <w:tcBorders>
              <w:bottom w:val="single" w:sz="6" w:space="0" w:color="4B5088"/>
            </w:tcBorders>
            <w:tcMar>
              <w:bottom w:w="60" w:type="dxa"/>
            </w:tcMar>
            <w:vAlign w:val="center"/>
          </w:tcPr>
          <w:p>
            <w:pPr>
              <w:pStyle w:val="TableContents"/>
              <w:bidi w:val="0"/>
              <w:spacing w:before="0" w:after="283"/>
              <w:jc w:val="left"/>
              <w:rPr>
                <w:spacing w:val="-2"/>
              </w:rPr>
            </w:pPr>
            <w:r>
              <w:rPr>
                <w:spacing w:val="-2"/>
              </w:rPr>
              <w:t xml:space="preserve">$715M of Strategic Dispositions </w:t>
            </w:r>
          </w:p>
        </w:tc>
        <w:tc>
          <w:tcPr>
            <w:tcW w:w="109" w:type="dxa"/>
            <w:tcBorders>
              <w:bottom w:val="single" w:sz="6" w:space="0" w:color="4B5088"/>
            </w:tcBorders>
            <w:vAlign w:val="center"/>
          </w:tcPr>
          <w:p>
            <w:pPr>
              <w:pStyle w:val="TableContents"/>
              <w:bidi w:val="0"/>
              <w:spacing w:before="0" w:after="283"/>
              <w:jc w:val="left"/>
              <w:rPr/>
            </w:pPr>
            <w:r>
              <w:rPr/>
              <w:t>​</w:t>
            </w:r>
          </w:p>
        </w:tc>
        <w:tc>
          <w:tcPr>
            <w:tcW w:w="155" w:type="dxa"/>
            <w:tcBorders>
              <w:bottom w:val="single" w:sz="2" w:space="0" w:color="83AD40"/>
            </w:tcBorders>
            <w:shd w:fill="83AD40" w:val="clear"/>
            <w:vAlign w:val="center"/>
          </w:tcPr>
          <w:p>
            <w:pPr>
              <w:pStyle w:val="TableContents"/>
              <w:bidi w:val="0"/>
              <w:spacing w:before="0" w:after="283"/>
              <w:jc w:val="left"/>
              <w:rPr/>
            </w:pPr>
            <w:r>
              <w:rPr/>
              <w:t>​</w:t>
            </w:r>
          </w:p>
        </w:tc>
      </w:tr>
      <w:tr>
        <w:trPr/>
        <w:tc>
          <w:tcPr>
            <w:tcW w:w="3994" w:type="dxa"/>
            <w:tcBorders>
              <w:bottom w:val="single" w:sz="6" w:space="0" w:color="4B5088"/>
            </w:tcBorders>
            <w:tcMar>
              <w:bottom w:w="60" w:type="dxa"/>
            </w:tcMar>
            <w:vAlign w:val="center"/>
          </w:tcPr>
          <w:p>
            <w:pPr>
              <w:pStyle w:val="TableContents"/>
              <w:bidi w:val="0"/>
              <w:spacing w:lineRule="atLeast" w:line="196" w:before="0" w:after="0"/>
              <w:ind w:left="80" w:right="0" w:hanging="0"/>
              <w:jc w:val="left"/>
              <w:rPr>
                <w:spacing w:val="-2"/>
              </w:rPr>
            </w:pPr>
            <w:r>
              <w:rPr>
                <w:spacing w:val="-2"/>
              </w:rPr>
              <w:t xml:space="preserve">Acquisitions of $250M </w:t>
            </w:r>
          </w:p>
        </w:tc>
        <w:tc>
          <w:tcPr>
            <w:tcW w:w="109" w:type="dxa"/>
            <w:tcBorders>
              <w:bottom w:val="single" w:sz="6" w:space="0" w:color="4B5088"/>
            </w:tcBorders>
            <w:vAlign w:val="center"/>
          </w:tcPr>
          <w:p>
            <w:pPr>
              <w:pStyle w:val="TableContents"/>
              <w:bidi w:val="0"/>
              <w:spacing w:before="0" w:after="283"/>
              <w:jc w:val="left"/>
              <w:rPr/>
            </w:pPr>
            <w:r>
              <w:rPr/>
              <w:t>​</w:t>
            </w:r>
          </w:p>
        </w:tc>
        <w:tc>
          <w:tcPr>
            <w:tcW w:w="109" w:type="dxa"/>
            <w:tcBorders>
              <w:bottom w:val="single" w:sz="6" w:space="0" w:color="4B5088"/>
            </w:tcBorders>
            <w:vAlign w:val="center"/>
          </w:tcPr>
          <w:p>
            <w:pPr>
              <w:pStyle w:val="TableContents"/>
              <w:bidi w:val="0"/>
              <w:spacing w:before="0" w:after="283"/>
              <w:jc w:val="left"/>
              <w:rPr/>
            </w:pPr>
            <w:r>
              <w:rPr/>
              <w:t>​</w:t>
            </w:r>
          </w:p>
        </w:tc>
        <w:tc>
          <w:tcPr>
            <w:tcW w:w="377" w:type="dxa"/>
            <w:tcBorders>
              <w:bottom w:val="single" w:sz="6" w:space="0" w:color="4B5088"/>
            </w:tcBorders>
            <w:vAlign w:val="center"/>
          </w:tcPr>
          <w:p>
            <w:pPr>
              <w:pStyle w:val="TableContents"/>
              <w:bidi w:val="0"/>
              <w:spacing w:before="0" w:after="0"/>
              <w:jc w:val="center"/>
              <w:rPr/>
            </w:pPr>
            <w:r>
              <w:rPr/>
              <w:drawing>
                <wp:inline distT="0" distB="0" distL="0" distR="0">
                  <wp:extent cx="133350" cy="133350"/>
                  <wp:effectExtent l="0" t="0" r="0" b="0"/>
                  <wp:docPr id="648" name="Image2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8" name="Image227" descr=""/>
                          <pic:cNvPicPr>
                            <a:picLocks noChangeAspect="1" noChangeArrowheads="1"/>
                          </pic:cNvPicPr>
                        </pic:nvPicPr>
                        <pic:blipFill>
                          <a:blip r:embed="rId318"/>
                          <a:stretch>
                            <a:fillRect/>
                          </a:stretch>
                        </pic:blipFill>
                        <pic:spPr bwMode="auto">
                          <a:xfrm>
                            <a:off x="0" y="0"/>
                            <a:ext cx="133350" cy="133350"/>
                          </a:xfrm>
                          <a:prstGeom prst="rect">
                            <a:avLst/>
                          </a:prstGeom>
                        </pic:spPr>
                      </pic:pic>
                    </a:graphicData>
                  </a:graphic>
                </wp:inline>
              </w:drawing>
            </w:r>
            <w:r>
              <w:rPr/>
              <w:t xml:space="preserve"> </w:t>
            </w:r>
          </w:p>
        </w:tc>
        <w:tc>
          <w:tcPr>
            <w:tcW w:w="109" w:type="dxa"/>
            <w:tcBorders>
              <w:bottom w:val="single" w:sz="6" w:space="0" w:color="4B5088"/>
            </w:tcBorders>
            <w:vAlign w:val="center"/>
          </w:tcPr>
          <w:p>
            <w:pPr>
              <w:pStyle w:val="TableContents"/>
              <w:bidi w:val="0"/>
              <w:spacing w:before="0" w:after="283"/>
              <w:jc w:val="left"/>
              <w:rPr/>
            </w:pPr>
            <w:r>
              <w:rPr/>
              <w:t>​</w:t>
            </w:r>
          </w:p>
        </w:tc>
        <w:tc>
          <w:tcPr>
            <w:tcW w:w="109" w:type="dxa"/>
            <w:tcBorders>
              <w:bottom w:val="single" w:sz="2" w:space="0" w:color="83AD40"/>
            </w:tcBorders>
            <w:shd w:fill="83AD40" w:val="clear"/>
            <w:vAlign w:val="center"/>
          </w:tcPr>
          <w:p>
            <w:pPr>
              <w:pStyle w:val="TableContents"/>
              <w:bidi w:val="0"/>
              <w:spacing w:before="0" w:after="283"/>
              <w:jc w:val="left"/>
              <w:rPr/>
            </w:pPr>
            <w:r>
              <w:rPr/>
              <w:t>​</w:t>
            </w:r>
          </w:p>
        </w:tc>
        <w:tc>
          <w:tcPr>
            <w:tcW w:w="109" w:type="dxa"/>
            <w:tcBorders>
              <w:bottom w:val="single" w:sz="6" w:space="0" w:color="4B5088"/>
            </w:tcBorders>
            <w:vAlign w:val="center"/>
          </w:tcPr>
          <w:p>
            <w:pPr>
              <w:pStyle w:val="TableContents"/>
              <w:bidi w:val="0"/>
              <w:spacing w:before="0" w:after="283"/>
              <w:jc w:val="left"/>
              <w:rPr/>
            </w:pPr>
            <w:r>
              <w:rPr/>
              <w:t>​</w:t>
            </w:r>
          </w:p>
        </w:tc>
        <w:tc>
          <w:tcPr>
            <w:tcW w:w="4125" w:type="dxa"/>
            <w:tcBorders>
              <w:bottom w:val="single" w:sz="6" w:space="0" w:color="4B5088"/>
            </w:tcBorders>
            <w:tcMar>
              <w:bottom w:w="60" w:type="dxa"/>
            </w:tcMar>
            <w:vAlign w:val="center"/>
          </w:tcPr>
          <w:p>
            <w:pPr>
              <w:pStyle w:val="TableContents"/>
              <w:bidi w:val="0"/>
              <w:spacing w:lineRule="atLeast" w:line="196" w:before="0" w:after="0"/>
              <w:jc w:val="left"/>
              <w:rPr>
                <w:spacing w:val="-2"/>
              </w:rPr>
            </w:pPr>
            <w:r>
              <w:rPr>
                <w:spacing w:val="-2"/>
              </w:rPr>
              <w:t xml:space="preserve">$0.9B of Acquisitions </w:t>
            </w:r>
          </w:p>
        </w:tc>
        <w:tc>
          <w:tcPr>
            <w:tcW w:w="109" w:type="dxa"/>
            <w:tcBorders>
              <w:bottom w:val="single" w:sz="6" w:space="0" w:color="4B5088"/>
            </w:tcBorders>
            <w:vAlign w:val="center"/>
          </w:tcPr>
          <w:p>
            <w:pPr>
              <w:pStyle w:val="TableContents"/>
              <w:bidi w:val="0"/>
              <w:spacing w:before="0" w:after="283"/>
              <w:jc w:val="left"/>
              <w:rPr/>
            </w:pPr>
            <w:r>
              <w:rPr/>
              <w:t>​</w:t>
            </w:r>
          </w:p>
        </w:tc>
        <w:tc>
          <w:tcPr>
            <w:tcW w:w="155" w:type="dxa"/>
            <w:tcBorders>
              <w:bottom w:val="single" w:sz="2" w:space="0" w:color="83AD40"/>
            </w:tcBorders>
            <w:shd w:fill="83AD40" w:val="clear"/>
            <w:vAlign w:val="center"/>
          </w:tcPr>
          <w:p>
            <w:pPr>
              <w:pStyle w:val="TableContents"/>
              <w:bidi w:val="0"/>
              <w:spacing w:before="0" w:after="283"/>
              <w:jc w:val="left"/>
              <w:rPr/>
            </w:pPr>
            <w:r>
              <w:rPr/>
              <w:t>​</w:t>
            </w:r>
          </w:p>
        </w:tc>
      </w:tr>
      <w:tr>
        <w:trPr/>
        <w:tc>
          <w:tcPr>
            <w:tcW w:w="3994" w:type="dxa"/>
            <w:tcBorders>
              <w:bottom w:val="single" w:sz="6" w:space="0" w:color="4B5088"/>
            </w:tcBorders>
            <w:tcMar>
              <w:bottom w:w="60" w:type="dxa"/>
            </w:tcMar>
            <w:vAlign w:val="center"/>
          </w:tcPr>
          <w:p>
            <w:pPr>
              <w:pStyle w:val="TableContents"/>
              <w:bidi w:val="0"/>
              <w:spacing w:lineRule="atLeast" w:line="196" w:before="0" w:after="0"/>
              <w:ind w:left="80" w:right="0" w:hanging="0"/>
              <w:jc w:val="left"/>
              <w:rPr>
                <w:spacing w:val="-2"/>
              </w:rPr>
            </w:pPr>
            <w:r>
              <w:rPr>
                <w:spacing w:val="-2"/>
              </w:rPr>
              <w:t xml:space="preserve">Acquisition of Large Scale Development Site </w:t>
            </w:r>
          </w:p>
        </w:tc>
        <w:tc>
          <w:tcPr>
            <w:tcW w:w="109" w:type="dxa"/>
            <w:tcBorders>
              <w:bottom w:val="single" w:sz="6" w:space="0" w:color="4B5088"/>
            </w:tcBorders>
            <w:vAlign w:val="center"/>
          </w:tcPr>
          <w:p>
            <w:pPr>
              <w:pStyle w:val="TableContents"/>
              <w:bidi w:val="0"/>
              <w:spacing w:before="0" w:after="283"/>
              <w:jc w:val="left"/>
              <w:rPr/>
            </w:pPr>
            <w:r>
              <w:rPr/>
              <w:t>​</w:t>
            </w:r>
          </w:p>
        </w:tc>
        <w:tc>
          <w:tcPr>
            <w:tcW w:w="109" w:type="dxa"/>
            <w:tcBorders>
              <w:bottom w:val="single" w:sz="6" w:space="0" w:color="4B5088"/>
            </w:tcBorders>
            <w:vAlign w:val="center"/>
          </w:tcPr>
          <w:p>
            <w:pPr>
              <w:pStyle w:val="TableContents"/>
              <w:bidi w:val="0"/>
              <w:spacing w:before="0" w:after="283"/>
              <w:jc w:val="left"/>
              <w:rPr/>
            </w:pPr>
            <w:r>
              <w:rPr/>
              <w:t>​</w:t>
            </w:r>
          </w:p>
        </w:tc>
        <w:tc>
          <w:tcPr>
            <w:tcW w:w="377" w:type="dxa"/>
            <w:tcBorders>
              <w:bottom w:val="single" w:sz="6" w:space="0" w:color="4B5088"/>
            </w:tcBorders>
            <w:vAlign w:val="center"/>
          </w:tcPr>
          <w:p>
            <w:pPr>
              <w:pStyle w:val="TableContents"/>
              <w:bidi w:val="0"/>
              <w:spacing w:before="0" w:after="0"/>
              <w:jc w:val="center"/>
              <w:rPr/>
            </w:pPr>
            <w:r>
              <w:rPr/>
              <w:drawing>
                <wp:inline distT="0" distB="0" distL="0" distR="0">
                  <wp:extent cx="133350" cy="133350"/>
                  <wp:effectExtent l="0" t="0" r="0" b="0"/>
                  <wp:docPr id="649" name="Image2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9" name="Image228" descr=""/>
                          <pic:cNvPicPr>
                            <a:picLocks noChangeAspect="1" noChangeArrowheads="1"/>
                          </pic:cNvPicPr>
                        </pic:nvPicPr>
                        <pic:blipFill>
                          <a:blip r:embed="rId319"/>
                          <a:stretch>
                            <a:fillRect/>
                          </a:stretch>
                        </pic:blipFill>
                        <pic:spPr bwMode="auto">
                          <a:xfrm>
                            <a:off x="0" y="0"/>
                            <a:ext cx="133350" cy="133350"/>
                          </a:xfrm>
                          <a:prstGeom prst="rect">
                            <a:avLst/>
                          </a:prstGeom>
                        </pic:spPr>
                      </pic:pic>
                    </a:graphicData>
                  </a:graphic>
                </wp:inline>
              </w:drawing>
            </w:r>
            <w:r>
              <w:rPr/>
              <w:t xml:space="preserve"> </w:t>
            </w:r>
          </w:p>
        </w:tc>
        <w:tc>
          <w:tcPr>
            <w:tcW w:w="109" w:type="dxa"/>
            <w:tcBorders>
              <w:bottom w:val="single" w:sz="6" w:space="0" w:color="4B5088"/>
            </w:tcBorders>
            <w:vAlign w:val="center"/>
          </w:tcPr>
          <w:p>
            <w:pPr>
              <w:pStyle w:val="TableContents"/>
              <w:bidi w:val="0"/>
              <w:spacing w:before="0" w:after="283"/>
              <w:jc w:val="left"/>
              <w:rPr/>
            </w:pPr>
            <w:r>
              <w:rPr/>
              <w:t>​</w:t>
            </w:r>
          </w:p>
        </w:tc>
        <w:tc>
          <w:tcPr>
            <w:tcW w:w="109" w:type="dxa"/>
            <w:tcBorders>
              <w:bottom w:val="single" w:sz="2" w:space="0" w:color="83AD40"/>
            </w:tcBorders>
            <w:shd w:fill="83AD40" w:val="clear"/>
            <w:vAlign w:val="center"/>
          </w:tcPr>
          <w:p>
            <w:pPr>
              <w:pStyle w:val="TableContents"/>
              <w:bidi w:val="0"/>
              <w:spacing w:before="0" w:after="283"/>
              <w:jc w:val="left"/>
              <w:rPr/>
            </w:pPr>
            <w:r>
              <w:rPr/>
              <w:t>​</w:t>
            </w:r>
          </w:p>
        </w:tc>
        <w:tc>
          <w:tcPr>
            <w:tcW w:w="109" w:type="dxa"/>
            <w:tcBorders>
              <w:bottom w:val="single" w:sz="6" w:space="0" w:color="4B5088"/>
            </w:tcBorders>
            <w:vAlign w:val="center"/>
          </w:tcPr>
          <w:p>
            <w:pPr>
              <w:pStyle w:val="TableContents"/>
              <w:bidi w:val="0"/>
              <w:spacing w:before="0" w:after="283"/>
              <w:jc w:val="left"/>
              <w:rPr/>
            </w:pPr>
            <w:r>
              <w:rPr/>
              <w:t>​</w:t>
            </w:r>
          </w:p>
        </w:tc>
        <w:tc>
          <w:tcPr>
            <w:tcW w:w="4125" w:type="dxa"/>
            <w:tcBorders>
              <w:bottom w:val="single" w:sz="6" w:space="0" w:color="4B5088"/>
            </w:tcBorders>
            <w:tcMar>
              <w:bottom w:w="60" w:type="dxa"/>
            </w:tcMar>
            <w:vAlign w:val="center"/>
          </w:tcPr>
          <w:p>
            <w:pPr>
              <w:pStyle w:val="TableContents"/>
              <w:bidi w:val="0"/>
              <w:spacing w:lineRule="atLeast" w:line="196" w:before="0" w:after="0"/>
              <w:jc w:val="left"/>
              <w:rPr>
                <w:spacing w:val="-2"/>
              </w:rPr>
            </w:pPr>
            <w:r>
              <w:rPr>
                <w:spacing w:val="-2"/>
              </w:rPr>
              <w:t xml:space="preserve">Acquired 346 Madison Avenue </w:t>
            </w:r>
          </w:p>
        </w:tc>
        <w:tc>
          <w:tcPr>
            <w:tcW w:w="109" w:type="dxa"/>
            <w:tcBorders>
              <w:bottom w:val="single" w:sz="6" w:space="0" w:color="4B5088"/>
            </w:tcBorders>
            <w:vAlign w:val="center"/>
          </w:tcPr>
          <w:p>
            <w:pPr>
              <w:pStyle w:val="TableContents"/>
              <w:bidi w:val="0"/>
              <w:spacing w:before="0" w:after="283"/>
              <w:jc w:val="left"/>
              <w:rPr/>
            </w:pPr>
            <w:r>
              <w:rPr/>
              <w:t>​</w:t>
            </w:r>
          </w:p>
        </w:tc>
        <w:tc>
          <w:tcPr>
            <w:tcW w:w="155" w:type="dxa"/>
            <w:tcBorders>
              <w:bottom w:val="single" w:sz="2" w:space="0" w:color="83AD40"/>
            </w:tcBorders>
            <w:shd w:fill="83AD40" w:val="clear"/>
            <w:vAlign w:val="center"/>
          </w:tcPr>
          <w:p>
            <w:pPr>
              <w:pStyle w:val="TableContents"/>
              <w:bidi w:val="0"/>
              <w:spacing w:before="0" w:after="283"/>
              <w:jc w:val="left"/>
              <w:rPr/>
            </w:pPr>
            <w:r>
              <w:rPr/>
              <w:t>​</w:t>
            </w:r>
          </w:p>
        </w:tc>
      </w:tr>
      <w:tr>
        <w:trPr/>
        <w:tc>
          <w:tcPr>
            <w:tcW w:w="3994" w:type="dxa"/>
            <w:tcBorders>
              <w:bottom w:val="single" w:sz="6" w:space="0" w:color="4B5088"/>
            </w:tcBorders>
            <w:tcMar>
              <w:bottom w:w="60" w:type="dxa"/>
            </w:tcMar>
            <w:vAlign w:val="center"/>
          </w:tcPr>
          <w:p>
            <w:pPr>
              <w:pStyle w:val="TableContents"/>
              <w:bidi w:val="0"/>
              <w:spacing w:before="0" w:after="0"/>
              <w:ind w:left="80" w:right="0" w:hanging="0"/>
              <w:jc w:val="left"/>
              <w:rPr>
                <w:spacing w:val="-2"/>
              </w:rPr>
            </w:pPr>
            <w:r>
              <w:rPr>
                <w:spacing w:val="-2"/>
              </w:rPr>
              <w:t xml:space="preserve">750 Third Avenue: Complete Project Capitalization </w:t>
            </w:r>
          </w:p>
        </w:tc>
        <w:tc>
          <w:tcPr>
            <w:tcW w:w="109" w:type="dxa"/>
            <w:tcBorders>
              <w:bottom w:val="single" w:sz="6" w:space="0" w:color="4B5088"/>
            </w:tcBorders>
            <w:vAlign w:val="center"/>
          </w:tcPr>
          <w:p>
            <w:pPr>
              <w:pStyle w:val="TableContents"/>
              <w:bidi w:val="0"/>
              <w:spacing w:before="0" w:after="283"/>
              <w:jc w:val="left"/>
              <w:rPr/>
            </w:pPr>
            <w:r>
              <w:rPr/>
              <w:t>​</w:t>
            </w:r>
          </w:p>
        </w:tc>
        <w:tc>
          <w:tcPr>
            <w:tcW w:w="109" w:type="dxa"/>
            <w:tcBorders>
              <w:bottom w:val="single" w:sz="6" w:space="0" w:color="4B5088"/>
            </w:tcBorders>
            <w:vAlign w:val="center"/>
          </w:tcPr>
          <w:p>
            <w:pPr>
              <w:pStyle w:val="TableContents"/>
              <w:bidi w:val="0"/>
              <w:spacing w:before="0" w:after="283"/>
              <w:jc w:val="left"/>
              <w:rPr/>
            </w:pPr>
            <w:r>
              <w:rPr/>
              <w:t>​</w:t>
            </w:r>
          </w:p>
        </w:tc>
        <w:tc>
          <w:tcPr>
            <w:tcW w:w="377" w:type="dxa"/>
            <w:tcBorders>
              <w:bottom w:val="single" w:sz="6" w:space="0" w:color="4B5088"/>
            </w:tcBorders>
            <w:tcMar>
              <w:bottom w:w="60" w:type="dxa"/>
            </w:tcMar>
            <w:vAlign w:val="center"/>
          </w:tcPr>
          <w:p>
            <w:pPr>
              <w:pStyle w:val="TableContents"/>
              <w:bidi w:val="0"/>
              <w:spacing w:before="0" w:after="0"/>
              <w:jc w:val="center"/>
              <w:rPr/>
            </w:pPr>
            <w:r>
              <w:rPr>
                <w:spacing w:val="-2"/>
              </w:rPr>
              <w:t>—</w:t>
            </w:r>
            <w:r>
              <w:rPr/>
              <w:t xml:space="preserve"> </w:t>
            </w:r>
          </w:p>
        </w:tc>
        <w:tc>
          <w:tcPr>
            <w:tcW w:w="109" w:type="dxa"/>
            <w:tcBorders>
              <w:bottom w:val="single" w:sz="6" w:space="0" w:color="4B5088"/>
            </w:tcBorders>
            <w:vAlign w:val="center"/>
          </w:tcPr>
          <w:p>
            <w:pPr>
              <w:pStyle w:val="TableContents"/>
              <w:bidi w:val="0"/>
              <w:spacing w:before="0" w:after="283"/>
              <w:jc w:val="left"/>
              <w:rPr/>
            </w:pPr>
            <w:r>
              <w:rPr/>
              <w:t>​</w:t>
            </w:r>
          </w:p>
        </w:tc>
        <w:tc>
          <w:tcPr>
            <w:tcW w:w="109" w:type="dxa"/>
            <w:tcBorders>
              <w:bottom w:val="single" w:sz="2" w:space="0" w:color="83AD40"/>
            </w:tcBorders>
            <w:shd w:fill="83AD40" w:val="clear"/>
            <w:vAlign w:val="center"/>
          </w:tcPr>
          <w:p>
            <w:pPr>
              <w:pStyle w:val="TableContents"/>
              <w:bidi w:val="0"/>
              <w:spacing w:before="0" w:after="283"/>
              <w:jc w:val="left"/>
              <w:rPr/>
            </w:pPr>
            <w:r>
              <w:rPr/>
              <w:t>​</w:t>
            </w:r>
          </w:p>
        </w:tc>
        <w:tc>
          <w:tcPr>
            <w:tcW w:w="109" w:type="dxa"/>
            <w:tcBorders>
              <w:bottom w:val="single" w:sz="6" w:space="0" w:color="4B5088"/>
            </w:tcBorders>
            <w:vAlign w:val="center"/>
          </w:tcPr>
          <w:p>
            <w:pPr>
              <w:pStyle w:val="TableContents"/>
              <w:bidi w:val="0"/>
              <w:spacing w:before="0" w:after="283"/>
              <w:jc w:val="left"/>
              <w:rPr/>
            </w:pPr>
            <w:r>
              <w:rPr/>
              <w:t>​</w:t>
            </w:r>
          </w:p>
        </w:tc>
        <w:tc>
          <w:tcPr>
            <w:tcW w:w="4125" w:type="dxa"/>
            <w:tcBorders>
              <w:bottom w:val="single" w:sz="6" w:space="0" w:color="4B5088"/>
            </w:tcBorders>
            <w:tcMar>
              <w:bottom w:w="60" w:type="dxa"/>
            </w:tcMar>
            <w:vAlign w:val="center"/>
          </w:tcPr>
          <w:p>
            <w:pPr>
              <w:pStyle w:val="TableContents"/>
              <w:bidi w:val="0"/>
              <w:spacing w:before="0" w:after="283"/>
              <w:jc w:val="left"/>
              <w:rPr>
                <w:spacing w:val="-2"/>
              </w:rPr>
            </w:pPr>
            <w:r>
              <w:rPr>
                <w:spacing w:val="-2"/>
              </w:rPr>
              <w:t xml:space="preserve">In the process of being finalized </w:t>
            </w:r>
          </w:p>
        </w:tc>
        <w:tc>
          <w:tcPr>
            <w:tcW w:w="109" w:type="dxa"/>
            <w:tcBorders>
              <w:bottom w:val="single" w:sz="6" w:space="0" w:color="4B5088"/>
            </w:tcBorders>
            <w:vAlign w:val="center"/>
          </w:tcPr>
          <w:p>
            <w:pPr>
              <w:pStyle w:val="TableContents"/>
              <w:bidi w:val="0"/>
              <w:spacing w:before="0" w:after="283"/>
              <w:jc w:val="left"/>
              <w:rPr/>
            </w:pPr>
            <w:r>
              <w:rPr/>
              <w:t>​</w:t>
            </w:r>
          </w:p>
        </w:tc>
        <w:tc>
          <w:tcPr>
            <w:tcW w:w="155" w:type="dxa"/>
            <w:tcBorders>
              <w:bottom w:val="single" w:sz="2" w:space="0" w:color="83AD40"/>
            </w:tcBorders>
            <w:shd w:fill="83AD40" w:val="clear"/>
            <w:vAlign w:val="center"/>
          </w:tcPr>
          <w:p>
            <w:pPr>
              <w:pStyle w:val="TableContents"/>
              <w:bidi w:val="0"/>
              <w:spacing w:before="0" w:after="283"/>
              <w:jc w:val="left"/>
              <w:rPr/>
            </w:pPr>
            <w:r>
              <w:rPr/>
              <w:t>​</w:t>
            </w:r>
          </w:p>
        </w:tc>
      </w:tr>
      <w:tr>
        <w:trPr/>
        <w:tc>
          <w:tcPr>
            <w:tcW w:w="3994" w:type="dxa"/>
            <w:tcBorders>
              <w:bottom w:val="single" w:sz="6" w:space="0" w:color="4B5088"/>
            </w:tcBorders>
            <w:tcMar>
              <w:bottom w:w="60" w:type="dxa"/>
            </w:tcMar>
            <w:vAlign w:val="center"/>
          </w:tcPr>
          <w:p>
            <w:pPr>
              <w:pStyle w:val="TableContents"/>
              <w:bidi w:val="0"/>
              <w:spacing w:lineRule="atLeast" w:line="196" w:before="0" w:after="0"/>
              <w:ind w:left="80" w:right="0" w:hanging="0"/>
              <w:jc w:val="left"/>
              <w:rPr>
                <w:spacing w:val="-2"/>
              </w:rPr>
            </w:pPr>
            <w:r>
              <w:rPr>
                <w:spacing w:val="-2"/>
              </w:rPr>
              <w:t xml:space="preserve">One Madison: &gt;90% Leased </w:t>
            </w:r>
          </w:p>
        </w:tc>
        <w:tc>
          <w:tcPr>
            <w:tcW w:w="109" w:type="dxa"/>
            <w:tcBorders>
              <w:bottom w:val="single" w:sz="6" w:space="0" w:color="4B5088"/>
            </w:tcBorders>
            <w:vAlign w:val="center"/>
          </w:tcPr>
          <w:p>
            <w:pPr>
              <w:pStyle w:val="TableContents"/>
              <w:bidi w:val="0"/>
              <w:spacing w:before="0" w:after="283"/>
              <w:jc w:val="left"/>
              <w:rPr/>
            </w:pPr>
            <w:r>
              <w:rPr/>
              <w:t>​</w:t>
            </w:r>
          </w:p>
        </w:tc>
        <w:tc>
          <w:tcPr>
            <w:tcW w:w="109" w:type="dxa"/>
            <w:tcBorders>
              <w:bottom w:val="single" w:sz="6" w:space="0" w:color="4B5088"/>
            </w:tcBorders>
            <w:vAlign w:val="center"/>
          </w:tcPr>
          <w:p>
            <w:pPr>
              <w:pStyle w:val="TableContents"/>
              <w:bidi w:val="0"/>
              <w:spacing w:before="0" w:after="283"/>
              <w:jc w:val="left"/>
              <w:rPr/>
            </w:pPr>
            <w:r>
              <w:rPr/>
              <w:t>​</w:t>
            </w:r>
          </w:p>
        </w:tc>
        <w:tc>
          <w:tcPr>
            <w:tcW w:w="377" w:type="dxa"/>
            <w:tcBorders>
              <w:bottom w:val="single" w:sz="6" w:space="0" w:color="4B5088"/>
            </w:tcBorders>
            <w:vAlign w:val="center"/>
          </w:tcPr>
          <w:p>
            <w:pPr>
              <w:pStyle w:val="TableContents"/>
              <w:bidi w:val="0"/>
              <w:spacing w:before="0" w:after="0"/>
              <w:jc w:val="center"/>
              <w:rPr/>
            </w:pPr>
            <w:r>
              <w:rPr/>
              <w:drawing>
                <wp:inline distT="0" distB="0" distL="0" distR="0">
                  <wp:extent cx="133350" cy="133350"/>
                  <wp:effectExtent l="0" t="0" r="0" b="0"/>
                  <wp:docPr id="650" name="Image2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0" name="Image229" descr=""/>
                          <pic:cNvPicPr>
                            <a:picLocks noChangeAspect="1" noChangeArrowheads="1"/>
                          </pic:cNvPicPr>
                        </pic:nvPicPr>
                        <pic:blipFill>
                          <a:blip r:embed="rId320"/>
                          <a:stretch>
                            <a:fillRect/>
                          </a:stretch>
                        </pic:blipFill>
                        <pic:spPr bwMode="auto">
                          <a:xfrm>
                            <a:off x="0" y="0"/>
                            <a:ext cx="133350" cy="133350"/>
                          </a:xfrm>
                          <a:prstGeom prst="rect">
                            <a:avLst/>
                          </a:prstGeom>
                        </pic:spPr>
                      </pic:pic>
                    </a:graphicData>
                  </a:graphic>
                </wp:inline>
              </w:drawing>
            </w:r>
            <w:r>
              <w:rPr/>
              <w:t xml:space="preserve"> </w:t>
            </w:r>
          </w:p>
        </w:tc>
        <w:tc>
          <w:tcPr>
            <w:tcW w:w="109" w:type="dxa"/>
            <w:tcBorders>
              <w:bottom w:val="single" w:sz="6" w:space="0" w:color="4B5088"/>
            </w:tcBorders>
            <w:vAlign w:val="center"/>
          </w:tcPr>
          <w:p>
            <w:pPr>
              <w:pStyle w:val="TableContents"/>
              <w:bidi w:val="0"/>
              <w:spacing w:before="0" w:after="283"/>
              <w:jc w:val="left"/>
              <w:rPr/>
            </w:pPr>
            <w:r>
              <w:rPr/>
              <w:t>​</w:t>
            </w:r>
          </w:p>
        </w:tc>
        <w:tc>
          <w:tcPr>
            <w:tcW w:w="109" w:type="dxa"/>
            <w:tcBorders>
              <w:bottom w:val="single" w:sz="2" w:space="0" w:color="83AD40"/>
            </w:tcBorders>
            <w:shd w:fill="83AD40" w:val="clear"/>
            <w:vAlign w:val="center"/>
          </w:tcPr>
          <w:p>
            <w:pPr>
              <w:pStyle w:val="TableContents"/>
              <w:bidi w:val="0"/>
              <w:spacing w:before="0" w:after="283"/>
              <w:jc w:val="left"/>
              <w:rPr/>
            </w:pPr>
            <w:r>
              <w:rPr/>
              <w:t>​</w:t>
            </w:r>
          </w:p>
        </w:tc>
        <w:tc>
          <w:tcPr>
            <w:tcW w:w="109" w:type="dxa"/>
            <w:tcBorders>
              <w:bottom w:val="single" w:sz="6" w:space="0" w:color="4B5088"/>
            </w:tcBorders>
            <w:vAlign w:val="center"/>
          </w:tcPr>
          <w:p>
            <w:pPr>
              <w:pStyle w:val="TableContents"/>
              <w:bidi w:val="0"/>
              <w:spacing w:before="0" w:after="283"/>
              <w:jc w:val="left"/>
              <w:rPr/>
            </w:pPr>
            <w:r>
              <w:rPr/>
              <w:t>​</w:t>
            </w:r>
          </w:p>
        </w:tc>
        <w:tc>
          <w:tcPr>
            <w:tcW w:w="4125" w:type="dxa"/>
            <w:tcBorders>
              <w:bottom w:val="single" w:sz="6" w:space="0" w:color="4B5088"/>
            </w:tcBorders>
            <w:tcMar>
              <w:bottom w:w="60" w:type="dxa"/>
            </w:tcMar>
            <w:vAlign w:val="center"/>
          </w:tcPr>
          <w:p>
            <w:pPr>
              <w:pStyle w:val="TableContents"/>
              <w:bidi w:val="0"/>
              <w:spacing w:lineRule="atLeast" w:line="196" w:before="0" w:after="0"/>
              <w:jc w:val="left"/>
              <w:rPr>
                <w:spacing w:val="-2"/>
              </w:rPr>
            </w:pPr>
            <w:r>
              <w:rPr>
                <w:spacing w:val="-2"/>
              </w:rPr>
              <w:t xml:space="preserve">93.3% Leased </w:t>
            </w:r>
          </w:p>
        </w:tc>
        <w:tc>
          <w:tcPr>
            <w:tcW w:w="109" w:type="dxa"/>
            <w:tcBorders>
              <w:bottom w:val="single" w:sz="6" w:space="0" w:color="4B5088"/>
            </w:tcBorders>
            <w:vAlign w:val="center"/>
          </w:tcPr>
          <w:p>
            <w:pPr>
              <w:pStyle w:val="TableContents"/>
              <w:bidi w:val="0"/>
              <w:spacing w:before="0" w:after="283"/>
              <w:jc w:val="left"/>
              <w:rPr/>
            </w:pPr>
            <w:r>
              <w:rPr/>
              <w:t>​</w:t>
            </w:r>
          </w:p>
        </w:tc>
        <w:tc>
          <w:tcPr>
            <w:tcW w:w="155" w:type="dxa"/>
            <w:tcBorders>
              <w:bottom w:val="single" w:sz="2" w:space="0" w:color="83AD40"/>
            </w:tcBorders>
            <w:shd w:fill="83AD40" w:val="clear"/>
            <w:vAlign w:val="center"/>
          </w:tcPr>
          <w:p>
            <w:pPr>
              <w:pStyle w:val="TableContents"/>
              <w:bidi w:val="0"/>
              <w:spacing w:before="0" w:after="283"/>
              <w:jc w:val="left"/>
              <w:rPr/>
            </w:pPr>
            <w:r>
              <w:rPr/>
              <w:t>​</w:t>
            </w:r>
          </w:p>
        </w:tc>
      </w:tr>
      <w:tr>
        <w:trPr/>
        <w:tc>
          <w:tcPr>
            <w:tcW w:w="3994" w:type="dxa"/>
            <w:tcBorders>
              <w:bottom w:val="single" w:sz="6" w:space="0" w:color="4B5088"/>
            </w:tcBorders>
            <w:tcMar>
              <w:bottom w:w="60" w:type="dxa"/>
            </w:tcMar>
            <w:vAlign w:val="center"/>
          </w:tcPr>
          <w:p>
            <w:pPr>
              <w:pStyle w:val="TableContents"/>
              <w:bidi w:val="0"/>
              <w:spacing w:before="0" w:after="0"/>
              <w:ind w:left="80" w:right="0" w:hanging="0"/>
              <w:jc w:val="left"/>
              <w:rPr>
                <w:spacing w:val="-2"/>
              </w:rPr>
            </w:pPr>
            <w:r>
              <w:rPr>
                <w:spacing w:val="-2"/>
              </w:rPr>
              <w:t xml:space="preserve">Obtain Downstate Casino License </w:t>
            </w:r>
          </w:p>
        </w:tc>
        <w:tc>
          <w:tcPr>
            <w:tcW w:w="109" w:type="dxa"/>
            <w:tcBorders>
              <w:bottom w:val="single" w:sz="6" w:space="0" w:color="4B5088"/>
            </w:tcBorders>
            <w:vAlign w:val="center"/>
          </w:tcPr>
          <w:p>
            <w:pPr>
              <w:pStyle w:val="TableContents"/>
              <w:bidi w:val="0"/>
              <w:spacing w:before="0" w:after="283"/>
              <w:jc w:val="left"/>
              <w:rPr/>
            </w:pPr>
            <w:r>
              <w:rPr/>
              <w:t>​</w:t>
            </w:r>
          </w:p>
        </w:tc>
        <w:tc>
          <w:tcPr>
            <w:tcW w:w="109" w:type="dxa"/>
            <w:tcBorders>
              <w:bottom w:val="single" w:sz="6" w:space="0" w:color="4B5088"/>
            </w:tcBorders>
            <w:vAlign w:val="center"/>
          </w:tcPr>
          <w:p>
            <w:pPr>
              <w:pStyle w:val="TableContents"/>
              <w:bidi w:val="0"/>
              <w:spacing w:before="0" w:after="283"/>
              <w:jc w:val="left"/>
              <w:rPr/>
            </w:pPr>
            <w:r>
              <w:rPr/>
              <w:t>​</w:t>
            </w:r>
          </w:p>
        </w:tc>
        <w:tc>
          <w:tcPr>
            <w:tcW w:w="377" w:type="dxa"/>
            <w:tcBorders>
              <w:bottom w:val="single" w:sz="6" w:space="0" w:color="4B5088"/>
            </w:tcBorders>
            <w:tcMar>
              <w:bottom w:w="60" w:type="dxa"/>
            </w:tcMar>
            <w:vAlign w:val="center"/>
          </w:tcPr>
          <w:p>
            <w:pPr>
              <w:pStyle w:val="TableContents"/>
              <w:bidi w:val="0"/>
              <w:spacing w:before="0" w:after="0"/>
              <w:jc w:val="center"/>
              <w:rPr>
                <w:b/>
              </w:rPr>
            </w:pPr>
            <w:r>
              <w:rPr>
                <w:b/>
                <w:spacing w:val="-2"/>
              </w:rPr>
              <w:t>X</w:t>
            </w:r>
            <w:r>
              <w:rPr>
                <w:b/>
              </w:rPr>
              <w:t xml:space="preserve"> </w:t>
            </w:r>
          </w:p>
        </w:tc>
        <w:tc>
          <w:tcPr>
            <w:tcW w:w="109" w:type="dxa"/>
            <w:tcBorders>
              <w:bottom w:val="single" w:sz="6" w:space="0" w:color="4B5088"/>
            </w:tcBorders>
            <w:vAlign w:val="center"/>
          </w:tcPr>
          <w:p>
            <w:pPr>
              <w:pStyle w:val="TableContents"/>
              <w:bidi w:val="0"/>
              <w:spacing w:before="0" w:after="283"/>
              <w:jc w:val="left"/>
              <w:rPr/>
            </w:pPr>
            <w:r>
              <w:rPr/>
              <w:t>​</w:t>
            </w:r>
          </w:p>
        </w:tc>
        <w:tc>
          <w:tcPr>
            <w:tcW w:w="109" w:type="dxa"/>
            <w:tcBorders>
              <w:bottom w:val="single" w:sz="2" w:space="0" w:color="83AD40"/>
            </w:tcBorders>
            <w:shd w:fill="83AD40" w:val="clear"/>
            <w:vAlign w:val="center"/>
          </w:tcPr>
          <w:p>
            <w:pPr>
              <w:pStyle w:val="TableContents"/>
              <w:bidi w:val="0"/>
              <w:spacing w:before="0" w:after="283"/>
              <w:jc w:val="left"/>
              <w:rPr/>
            </w:pPr>
            <w:r>
              <w:rPr/>
              <w:t>​</w:t>
            </w:r>
          </w:p>
        </w:tc>
        <w:tc>
          <w:tcPr>
            <w:tcW w:w="109" w:type="dxa"/>
            <w:tcBorders>
              <w:bottom w:val="single" w:sz="6" w:space="0" w:color="4B5088"/>
            </w:tcBorders>
            <w:vAlign w:val="center"/>
          </w:tcPr>
          <w:p>
            <w:pPr>
              <w:pStyle w:val="TableContents"/>
              <w:bidi w:val="0"/>
              <w:spacing w:before="0" w:after="283"/>
              <w:jc w:val="left"/>
              <w:rPr/>
            </w:pPr>
            <w:r>
              <w:rPr/>
              <w:t>​</w:t>
            </w:r>
          </w:p>
        </w:tc>
        <w:tc>
          <w:tcPr>
            <w:tcW w:w="4125" w:type="dxa"/>
            <w:tcBorders>
              <w:bottom w:val="single" w:sz="6" w:space="0" w:color="4B5088"/>
            </w:tcBorders>
            <w:tcMar>
              <w:bottom w:w="60" w:type="dxa"/>
            </w:tcMar>
            <w:vAlign w:val="center"/>
          </w:tcPr>
          <w:p>
            <w:pPr>
              <w:pStyle w:val="TableContents"/>
              <w:bidi w:val="0"/>
              <w:spacing w:before="0" w:after="283"/>
              <w:jc w:val="left"/>
              <w:rPr>
                <w:spacing w:val="-2"/>
              </w:rPr>
            </w:pPr>
            <w:r>
              <w:rPr>
                <w:spacing w:val="-2"/>
              </w:rPr>
              <w:t xml:space="preserve">Casino license was not granted </w:t>
            </w:r>
          </w:p>
        </w:tc>
        <w:tc>
          <w:tcPr>
            <w:tcW w:w="109" w:type="dxa"/>
            <w:tcBorders>
              <w:bottom w:val="single" w:sz="6" w:space="0" w:color="4B5088"/>
            </w:tcBorders>
            <w:vAlign w:val="center"/>
          </w:tcPr>
          <w:p>
            <w:pPr>
              <w:pStyle w:val="TableContents"/>
              <w:bidi w:val="0"/>
              <w:spacing w:before="0" w:after="283"/>
              <w:jc w:val="left"/>
              <w:rPr/>
            </w:pPr>
            <w:r>
              <w:rPr/>
              <w:t>​</w:t>
            </w:r>
          </w:p>
        </w:tc>
        <w:tc>
          <w:tcPr>
            <w:tcW w:w="155" w:type="dxa"/>
            <w:tcBorders>
              <w:bottom w:val="single" w:sz="2" w:space="0" w:color="83AD40"/>
            </w:tcBorders>
            <w:shd w:fill="83AD40" w:val="clear"/>
            <w:vAlign w:val="center"/>
          </w:tcPr>
          <w:p>
            <w:pPr>
              <w:pStyle w:val="TableContents"/>
              <w:bidi w:val="0"/>
              <w:spacing w:before="0" w:after="283"/>
              <w:jc w:val="left"/>
              <w:rPr/>
            </w:pPr>
            <w:r>
              <w:rPr/>
              <w:t>​</w:t>
            </w:r>
          </w:p>
        </w:tc>
      </w:tr>
      <w:tr>
        <w:trPr/>
        <w:tc>
          <w:tcPr>
            <w:tcW w:w="3994" w:type="dxa"/>
            <w:tcBorders>
              <w:bottom w:val="single" w:sz="6" w:space="0" w:color="4B5088"/>
            </w:tcBorders>
            <w:tcMar>
              <w:bottom w:w="60" w:type="dxa"/>
            </w:tcMar>
            <w:vAlign w:val="center"/>
          </w:tcPr>
          <w:p>
            <w:pPr>
              <w:pStyle w:val="TableContents"/>
              <w:bidi w:val="0"/>
              <w:spacing w:before="0" w:after="0"/>
              <w:ind w:left="80" w:right="0" w:hanging="0"/>
              <w:jc w:val="left"/>
              <w:rPr>
                <w:spacing w:val="-2"/>
              </w:rPr>
            </w:pPr>
            <w:r>
              <w:rPr>
                <w:spacing w:val="-2"/>
              </w:rPr>
              <w:t xml:space="preserve">Announce Additional SUMMIT Locations </w:t>
            </w:r>
          </w:p>
        </w:tc>
        <w:tc>
          <w:tcPr>
            <w:tcW w:w="109" w:type="dxa"/>
            <w:tcBorders>
              <w:bottom w:val="single" w:sz="6" w:space="0" w:color="4B5088"/>
            </w:tcBorders>
            <w:vAlign w:val="center"/>
          </w:tcPr>
          <w:p>
            <w:pPr>
              <w:pStyle w:val="TableContents"/>
              <w:bidi w:val="0"/>
              <w:spacing w:before="0" w:after="283"/>
              <w:jc w:val="left"/>
              <w:rPr/>
            </w:pPr>
            <w:r>
              <w:rPr/>
              <w:t>​</w:t>
            </w:r>
          </w:p>
        </w:tc>
        <w:tc>
          <w:tcPr>
            <w:tcW w:w="109" w:type="dxa"/>
            <w:tcBorders>
              <w:bottom w:val="single" w:sz="6" w:space="0" w:color="4B5088"/>
            </w:tcBorders>
            <w:vAlign w:val="center"/>
          </w:tcPr>
          <w:p>
            <w:pPr>
              <w:pStyle w:val="TableContents"/>
              <w:bidi w:val="0"/>
              <w:spacing w:before="0" w:after="283"/>
              <w:jc w:val="left"/>
              <w:rPr/>
            </w:pPr>
            <w:r>
              <w:rPr/>
              <w:t>​</w:t>
            </w:r>
          </w:p>
        </w:tc>
        <w:tc>
          <w:tcPr>
            <w:tcW w:w="377" w:type="dxa"/>
            <w:tcBorders>
              <w:bottom w:val="single" w:sz="6" w:space="0" w:color="4B5088"/>
            </w:tcBorders>
            <w:tcMar>
              <w:bottom w:w="60" w:type="dxa"/>
            </w:tcMar>
            <w:vAlign w:val="center"/>
          </w:tcPr>
          <w:p>
            <w:pPr>
              <w:pStyle w:val="TableContents"/>
              <w:bidi w:val="0"/>
              <w:spacing w:before="0" w:after="0"/>
              <w:jc w:val="center"/>
              <w:rPr/>
            </w:pPr>
            <w:r>
              <w:rPr>
                <w:spacing w:val="-2"/>
              </w:rPr>
              <w:t>—</w:t>
            </w:r>
            <w:r>
              <w:rPr/>
              <w:t xml:space="preserve"> </w:t>
            </w:r>
          </w:p>
        </w:tc>
        <w:tc>
          <w:tcPr>
            <w:tcW w:w="109" w:type="dxa"/>
            <w:tcBorders>
              <w:bottom w:val="single" w:sz="6" w:space="0" w:color="4B5088"/>
            </w:tcBorders>
            <w:vAlign w:val="center"/>
          </w:tcPr>
          <w:p>
            <w:pPr>
              <w:pStyle w:val="TableContents"/>
              <w:bidi w:val="0"/>
              <w:spacing w:before="0" w:after="283"/>
              <w:jc w:val="left"/>
              <w:rPr/>
            </w:pPr>
            <w:r>
              <w:rPr/>
              <w:t>​</w:t>
            </w:r>
          </w:p>
        </w:tc>
        <w:tc>
          <w:tcPr>
            <w:tcW w:w="109" w:type="dxa"/>
            <w:tcBorders>
              <w:bottom w:val="single" w:sz="2" w:space="0" w:color="83AD40"/>
            </w:tcBorders>
            <w:shd w:fill="83AD40" w:val="clear"/>
            <w:vAlign w:val="center"/>
          </w:tcPr>
          <w:p>
            <w:pPr>
              <w:pStyle w:val="TableContents"/>
              <w:bidi w:val="0"/>
              <w:spacing w:before="0" w:after="283"/>
              <w:jc w:val="left"/>
              <w:rPr/>
            </w:pPr>
            <w:r>
              <w:rPr/>
              <w:t>​</w:t>
            </w:r>
          </w:p>
        </w:tc>
        <w:tc>
          <w:tcPr>
            <w:tcW w:w="109" w:type="dxa"/>
            <w:tcBorders>
              <w:bottom w:val="single" w:sz="6" w:space="0" w:color="4B5088"/>
            </w:tcBorders>
            <w:vAlign w:val="center"/>
          </w:tcPr>
          <w:p>
            <w:pPr>
              <w:pStyle w:val="TableContents"/>
              <w:bidi w:val="0"/>
              <w:spacing w:before="0" w:after="283"/>
              <w:jc w:val="left"/>
              <w:rPr/>
            </w:pPr>
            <w:r>
              <w:rPr/>
              <w:t>​</w:t>
            </w:r>
          </w:p>
        </w:tc>
        <w:tc>
          <w:tcPr>
            <w:tcW w:w="4125" w:type="dxa"/>
            <w:tcBorders>
              <w:bottom w:val="single" w:sz="6" w:space="0" w:color="4B5088"/>
            </w:tcBorders>
            <w:tcMar>
              <w:bottom w:w="60" w:type="dxa"/>
            </w:tcMar>
            <w:vAlign w:val="center"/>
          </w:tcPr>
          <w:p>
            <w:pPr>
              <w:pStyle w:val="TableContents"/>
              <w:bidi w:val="0"/>
              <w:spacing w:before="0" w:after="283"/>
              <w:jc w:val="left"/>
              <w:rPr>
                <w:spacing w:val="-2"/>
              </w:rPr>
            </w:pPr>
            <w:r>
              <w:rPr>
                <w:spacing w:val="-2"/>
              </w:rPr>
              <w:t xml:space="preserve">Second International Location Delayed </w:t>
            </w:r>
          </w:p>
        </w:tc>
        <w:tc>
          <w:tcPr>
            <w:tcW w:w="109" w:type="dxa"/>
            <w:tcBorders>
              <w:bottom w:val="single" w:sz="6" w:space="0" w:color="4B5088"/>
            </w:tcBorders>
            <w:vAlign w:val="center"/>
          </w:tcPr>
          <w:p>
            <w:pPr>
              <w:pStyle w:val="TableContents"/>
              <w:bidi w:val="0"/>
              <w:spacing w:before="0" w:after="283"/>
              <w:jc w:val="left"/>
              <w:rPr/>
            </w:pPr>
            <w:r>
              <w:rPr/>
              <w:t>​</w:t>
            </w:r>
          </w:p>
        </w:tc>
        <w:tc>
          <w:tcPr>
            <w:tcW w:w="155" w:type="dxa"/>
            <w:tcBorders>
              <w:bottom w:val="single" w:sz="2" w:space="0" w:color="83AD40"/>
            </w:tcBorders>
            <w:shd w:fill="83AD40" w:val="clear"/>
            <w:vAlign w:val="center"/>
          </w:tcPr>
          <w:p>
            <w:pPr>
              <w:pStyle w:val="TableContents"/>
              <w:bidi w:val="0"/>
              <w:spacing w:before="0" w:after="283"/>
              <w:jc w:val="left"/>
              <w:rPr/>
            </w:pPr>
            <w:r>
              <w:rPr/>
              <w:t>​</w:t>
            </w:r>
          </w:p>
        </w:tc>
      </w:tr>
      <w:tr>
        <w:trPr/>
        <w:tc>
          <w:tcPr>
            <w:tcW w:w="3994" w:type="dxa"/>
            <w:tcBorders>
              <w:bottom w:val="single" w:sz="6" w:space="0" w:color="4B5088"/>
            </w:tcBorders>
            <w:tcMar>
              <w:bottom w:w="60" w:type="dxa"/>
            </w:tcMar>
            <w:vAlign w:val="center"/>
          </w:tcPr>
          <w:p>
            <w:pPr>
              <w:pStyle w:val="TableContents"/>
              <w:bidi w:val="0"/>
              <w:spacing w:before="0" w:after="0"/>
              <w:ind w:left="80" w:right="0" w:hanging="0"/>
              <w:jc w:val="left"/>
              <w:rPr/>
            </w:pPr>
            <w:r>
              <w:rPr>
                <w:spacing w:val="-2"/>
              </w:rPr>
              <w:t>Same Store Cash NOI</w:t>
            </w:r>
            <w:r>
              <w:rPr>
                <w:spacing w:val="-1"/>
                <w:sz w:val="10"/>
              </w:rPr>
              <w:t>(1)</w:t>
            </w:r>
            <w:r>
              <w:rPr>
                <w:spacing w:val="-2"/>
              </w:rPr>
              <w:t xml:space="preserve"> Growth 1.0-2.0% </w:t>
            </w:r>
          </w:p>
        </w:tc>
        <w:tc>
          <w:tcPr>
            <w:tcW w:w="109" w:type="dxa"/>
            <w:tcBorders>
              <w:bottom w:val="single" w:sz="6" w:space="0" w:color="4B5088"/>
            </w:tcBorders>
            <w:vAlign w:val="center"/>
          </w:tcPr>
          <w:p>
            <w:pPr>
              <w:pStyle w:val="TableContents"/>
              <w:bidi w:val="0"/>
              <w:spacing w:before="0" w:after="283"/>
              <w:jc w:val="left"/>
              <w:rPr/>
            </w:pPr>
            <w:r>
              <w:rPr/>
              <w:t>​</w:t>
            </w:r>
          </w:p>
        </w:tc>
        <w:tc>
          <w:tcPr>
            <w:tcW w:w="109" w:type="dxa"/>
            <w:tcBorders>
              <w:bottom w:val="single" w:sz="6" w:space="0" w:color="4B5088"/>
            </w:tcBorders>
            <w:vAlign w:val="center"/>
          </w:tcPr>
          <w:p>
            <w:pPr>
              <w:pStyle w:val="TableContents"/>
              <w:bidi w:val="0"/>
              <w:spacing w:before="0" w:after="283"/>
              <w:jc w:val="left"/>
              <w:rPr/>
            </w:pPr>
            <w:r>
              <w:rPr/>
              <w:t>​</w:t>
            </w:r>
          </w:p>
        </w:tc>
        <w:tc>
          <w:tcPr>
            <w:tcW w:w="377" w:type="dxa"/>
            <w:tcBorders>
              <w:bottom w:val="single" w:sz="6" w:space="0" w:color="4B5088"/>
            </w:tcBorders>
            <w:tcMar>
              <w:bottom w:w="60" w:type="dxa"/>
            </w:tcMar>
            <w:vAlign w:val="center"/>
          </w:tcPr>
          <w:p>
            <w:pPr>
              <w:pStyle w:val="TableContents"/>
              <w:bidi w:val="0"/>
              <w:spacing w:before="0" w:after="0"/>
              <w:jc w:val="center"/>
              <w:rPr>
                <w:b/>
              </w:rPr>
            </w:pPr>
            <w:r>
              <w:rPr>
                <w:b/>
                <w:spacing w:val="-2"/>
              </w:rPr>
              <w:t>X</w:t>
            </w:r>
            <w:r>
              <w:rPr>
                <w:b/>
              </w:rPr>
              <w:t xml:space="preserve"> </w:t>
            </w:r>
          </w:p>
        </w:tc>
        <w:tc>
          <w:tcPr>
            <w:tcW w:w="109" w:type="dxa"/>
            <w:tcBorders>
              <w:bottom w:val="single" w:sz="6" w:space="0" w:color="4B5088"/>
            </w:tcBorders>
            <w:vAlign w:val="center"/>
          </w:tcPr>
          <w:p>
            <w:pPr>
              <w:pStyle w:val="TableContents"/>
              <w:bidi w:val="0"/>
              <w:spacing w:before="0" w:after="283"/>
              <w:jc w:val="left"/>
              <w:rPr/>
            </w:pPr>
            <w:r>
              <w:rPr/>
              <w:t>​</w:t>
            </w:r>
          </w:p>
        </w:tc>
        <w:tc>
          <w:tcPr>
            <w:tcW w:w="109" w:type="dxa"/>
            <w:tcBorders>
              <w:bottom w:val="single" w:sz="2" w:space="0" w:color="83AD40"/>
            </w:tcBorders>
            <w:shd w:fill="83AD40" w:val="clear"/>
            <w:vAlign w:val="center"/>
          </w:tcPr>
          <w:p>
            <w:pPr>
              <w:pStyle w:val="TableContents"/>
              <w:bidi w:val="0"/>
              <w:spacing w:before="0" w:after="283"/>
              <w:jc w:val="left"/>
              <w:rPr/>
            </w:pPr>
            <w:r>
              <w:rPr/>
              <w:t>​</w:t>
            </w:r>
          </w:p>
        </w:tc>
        <w:tc>
          <w:tcPr>
            <w:tcW w:w="109" w:type="dxa"/>
            <w:tcBorders>
              <w:bottom w:val="single" w:sz="6" w:space="0" w:color="4B5088"/>
            </w:tcBorders>
            <w:vAlign w:val="center"/>
          </w:tcPr>
          <w:p>
            <w:pPr>
              <w:pStyle w:val="TableContents"/>
              <w:bidi w:val="0"/>
              <w:spacing w:before="0" w:after="283"/>
              <w:jc w:val="left"/>
              <w:rPr/>
            </w:pPr>
            <w:r>
              <w:rPr/>
              <w:t>​</w:t>
            </w:r>
          </w:p>
        </w:tc>
        <w:tc>
          <w:tcPr>
            <w:tcW w:w="4125" w:type="dxa"/>
            <w:tcBorders>
              <w:bottom w:val="single" w:sz="6" w:space="0" w:color="4B5088"/>
            </w:tcBorders>
            <w:tcMar>
              <w:bottom w:w="60" w:type="dxa"/>
            </w:tcMar>
            <w:vAlign w:val="center"/>
          </w:tcPr>
          <w:p>
            <w:pPr>
              <w:pStyle w:val="TableContents"/>
              <w:bidi w:val="0"/>
              <w:spacing w:before="0" w:after="283"/>
              <w:jc w:val="left"/>
              <w:rPr/>
            </w:pPr>
            <w:r>
              <w:rPr>
                <w:spacing w:val="-2"/>
              </w:rPr>
              <w:t>Same Store Cash NOI of (2.0)%</w:t>
            </w:r>
            <w:r>
              <w:rPr>
                <w:spacing w:val="-1"/>
                <w:sz w:val="10"/>
              </w:rPr>
              <w:t>(1)</w:t>
            </w:r>
            <w:r>
              <w:rPr/>
              <w:t xml:space="preserve"> </w:t>
            </w:r>
          </w:p>
        </w:tc>
        <w:tc>
          <w:tcPr>
            <w:tcW w:w="109" w:type="dxa"/>
            <w:tcBorders>
              <w:bottom w:val="single" w:sz="6" w:space="0" w:color="4B5088"/>
            </w:tcBorders>
            <w:vAlign w:val="center"/>
          </w:tcPr>
          <w:p>
            <w:pPr>
              <w:pStyle w:val="TableContents"/>
              <w:bidi w:val="0"/>
              <w:spacing w:before="0" w:after="283"/>
              <w:jc w:val="left"/>
              <w:rPr/>
            </w:pPr>
            <w:r>
              <w:rPr/>
              <w:t>​</w:t>
            </w:r>
          </w:p>
        </w:tc>
        <w:tc>
          <w:tcPr>
            <w:tcW w:w="155" w:type="dxa"/>
            <w:tcBorders>
              <w:bottom w:val="single" w:sz="2" w:space="0" w:color="83AD40"/>
            </w:tcBorders>
            <w:shd w:fill="83AD40" w:val="clear"/>
            <w:vAlign w:val="center"/>
          </w:tcPr>
          <w:p>
            <w:pPr>
              <w:pStyle w:val="TableContents"/>
              <w:bidi w:val="0"/>
              <w:spacing w:before="0" w:after="283"/>
              <w:jc w:val="left"/>
              <w:rPr/>
            </w:pPr>
            <w:r>
              <w:rPr/>
              <w:t>​</w:t>
            </w:r>
          </w:p>
        </w:tc>
      </w:tr>
      <w:tr>
        <w:trPr/>
        <w:tc>
          <w:tcPr>
            <w:tcW w:w="3994" w:type="dxa"/>
            <w:tcBorders>
              <w:bottom w:val="single" w:sz="6" w:space="0" w:color="4B5088"/>
            </w:tcBorders>
            <w:tcMar>
              <w:bottom w:w="60" w:type="dxa"/>
            </w:tcMar>
            <w:vAlign w:val="center"/>
          </w:tcPr>
          <w:p>
            <w:pPr>
              <w:pStyle w:val="TableContents"/>
              <w:bidi w:val="0"/>
              <w:spacing w:lineRule="atLeast" w:line="196" w:before="0" w:after="0"/>
              <w:ind w:left="80" w:right="0" w:hanging="0"/>
              <w:jc w:val="left"/>
              <w:rPr>
                <w:spacing w:val="-2"/>
              </w:rPr>
            </w:pPr>
            <w:r>
              <w:rPr>
                <w:spacing w:val="-2"/>
              </w:rPr>
              <w:t xml:space="preserve">Discounted Debt Gains of $50M </w:t>
            </w:r>
          </w:p>
        </w:tc>
        <w:tc>
          <w:tcPr>
            <w:tcW w:w="109" w:type="dxa"/>
            <w:tcBorders>
              <w:bottom w:val="single" w:sz="6" w:space="0" w:color="4B5088"/>
            </w:tcBorders>
            <w:vAlign w:val="center"/>
          </w:tcPr>
          <w:p>
            <w:pPr>
              <w:pStyle w:val="TableContents"/>
              <w:bidi w:val="0"/>
              <w:spacing w:before="0" w:after="283"/>
              <w:jc w:val="left"/>
              <w:rPr/>
            </w:pPr>
            <w:r>
              <w:rPr/>
              <w:t>​</w:t>
            </w:r>
          </w:p>
        </w:tc>
        <w:tc>
          <w:tcPr>
            <w:tcW w:w="109" w:type="dxa"/>
            <w:tcBorders>
              <w:bottom w:val="single" w:sz="6" w:space="0" w:color="4B5088"/>
            </w:tcBorders>
            <w:vAlign w:val="center"/>
          </w:tcPr>
          <w:p>
            <w:pPr>
              <w:pStyle w:val="TableContents"/>
              <w:bidi w:val="0"/>
              <w:spacing w:before="0" w:after="283"/>
              <w:jc w:val="left"/>
              <w:rPr/>
            </w:pPr>
            <w:r>
              <w:rPr/>
              <w:t>​</w:t>
            </w:r>
          </w:p>
        </w:tc>
        <w:tc>
          <w:tcPr>
            <w:tcW w:w="377" w:type="dxa"/>
            <w:tcBorders>
              <w:bottom w:val="single" w:sz="6" w:space="0" w:color="4B5088"/>
            </w:tcBorders>
            <w:vAlign w:val="center"/>
          </w:tcPr>
          <w:p>
            <w:pPr>
              <w:pStyle w:val="TableContents"/>
              <w:bidi w:val="0"/>
              <w:spacing w:before="0" w:after="0"/>
              <w:jc w:val="center"/>
              <w:rPr/>
            </w:pPr>
            <w:r>
              <w:rPr/>
              <w:drawing>
                <wp:inline distT="0" distB="0" distL="0" distR="0">
                  <wp:extent cx="133350" cy="133350"/>
                  <wp:effectExtent l="0" t="0" r="0" b="0"/>
                  <wp:docPr id="651" name="Image2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1" name="Image230" descr=""/>
                          <pic:cNvPicPr>
                            <a:picLocks noChangeAspect="1" noChangeArrowheads="1"/>
                          </pic:cNvPicPr>
                        </pic:nvPicPr>
                        <pic:blipFill>
                          <a:blip r:embed="rId321"/>
                          <a:stretch>
                            <a:fillRect/>
                          </a:stretch>
                        </pic:blipFill>
                        <pic:spPr bwMode="auto">
                          <a:xfrm>
                            <a:off x="0" y="0"/>
                            <a:ext cx="133350" cy="133350"/>
                          </a:xfrm>
                          <a:prstGeom prst="rect">
                            <a:avLst/>
                          </a:prstGeom>
                        </pic:spPr>
                      </pic:pic>
                    </a:graphicData>
                  </a:graphic>
                </wp:inline>
              </w:drawing>
            </w:r>
            <w:r>
              <w:rPr/>
              <w:t xml:space="preserve"> </w:t>
            </w:r>
          </w:p>
        </w:tc>
        <w:tc>
          <w:tcPr>
            <w:tcW w:w="109" w:type="dxa"/>
            <w:tcBorders>
              <w:bottom w:val="single" w:sz="6" w:space="0" w:color="4B5088"/>
            </w:tcBorders>
            <w:vAlign w:val="center"/>
          </w:tcPr>
          <w:p>
            <w:pPr>
              <w:pStyle w:val="TableContents"/>
              <w:bidi w:val="0"/>
              <w:spacing w:before="0" w:after="283"/>
              <w:jc w:val="left"/>
              <w:rPr/>
            </w:pPr>
            <w:r>
              <w:rPr/>
              <w:t>​</w:t>
            </w:r>
          </w:p>
        </w:tc>
        <w:tc>
          <w:tcPr>
            <w:tcW w:w="109" w:type="dxa"/>
            <w:tcBorders>
              <w:bottom w:val="single" w:sz="2" w:space="0" w:color="83AD40"/>
            </w:tcBorders>
            <w:shd w:fill="83AD40" w:val="clear"/>
            <w:vAlign w:val="center"/>
          </w:tcPr>
          <w:p>
            <w:pPr>
              <w:pStyle w:val="TableContents"/>
              <w:bidi w:val="0"/>
              <w:spacing w:before="0" w:after="283"/>
              <w:jc w:val="left"/>
              <w:rPr/>
            </w:pPr>
            <w:r>
              <w:rPr/>
              <w:t>​</w:t>
            </w:r>
          </w:p>
        </w:tc>
        <w:tc>
          <w:tcPr>
            <w:tcW w:w="109" w:type="dxa"/>
            <w:tcBorders>
              <w:bottom w:val="single" w:sz="6" w:space="0" w:color="4B5088"/>
            </w:tcBorders>
            <w:vAlign w:val="center"/>
          </w:tcPr>
          <w:p>
            <w:pPr>
              <w:pStyle w:val="TableContents"/>
              <w:bidi w:val="0"/>
              <w:spacing w:before="0" w:after="283"/>
              <w:jc w:val="left"/>
              <w:rPr/>
            </w:pPr>
            <w:r>
              <w:rPr/>
              <w:t>​</w:t>
            </w:r>
          </w:p>
        </w:tc>
        <w:tc>
          <w:tcPr>
            <w:tcW w:w="4125" w:type="dxa"/>
            <w:tcBorders>
              <w:bottom w:val="single" w:sz="6" w:space="0" w:color="4B5088"/>
            </w:tcBorders>
            <w:tcMar>
              <w:bottom w:w="60" w:type="dxa"/>
            </w:tcMar>
            <w:vAlign w:val="center"/>
          </w:tcPr>
          <w:p>
            <w:pPr>
              <w:pStyle w:val="TableContents"/>
              <w:bidi w:val="0"/>
              <w:spacing w:lineRule="atLeast" w:line="196" w:before="0" w:after="0"/>
              <w:jc w:val="left"/>
              <w:rPr>
                <w:spacing w:val="-2"/>
              </w:rPr>
            </w:pPr>
            <w:r>
              <w:rPr>
                <w:spacing w:val="-2"/>
              </w:rPr>
              <w:t xml:space="preserve">Achieved $57.2M of Discounted Debt Gains </w:t>
            </w:r>
          </w:p>
        </w:tc>
        <w:tc>
          <w:tcPr>
            <w:tcW w:w="109" w:type="dxa"/>
            <w:tcBorders>
              <w:bottom w:val="single" w:sz="6" w:space="0" w:color="4B5088"/>
            </w:tcBorders>
            <w:vAlign w:val="center"/>
          </w:tcPr>
          <w:p>
            <w:pPr>
              <w:pStyle w:val="TableContents"/>
              <w:bidi w:val="0"/>
              <w:spacing w:before="0" w:after="283"/>
              <w:jc w:val="left"/>
              <w:rPr/>
            </w:pPr>
            <w:r>
              <w:rPr/>
              <w:t>​</w:t>
            </w:r>
          </w:p>
        </w:tc>
        <w:tc>
          <w:tcPr>
            <w:tcW w:w="155" w:type="dxa"/>
            <w:tcBorders>
              <w:bottom w:val="single" w:sz="2" w:space="0" w:color="83AD40"/>
            </w:tcBorders>
            <w:shd w:fill="83AD40" w:val="clear"/>
            <w:vAlign w:val="center"/>
          </w:tcPr>
          <w:p>
            <w:pPr>
              <w:pStyle w:val="TableContents"/>
              <w:bidi w:val="0"/>
              <w:spacing w:before="0" w:after="283"/>
              <w:jc w:val="left"/>
              <w:rPr/>
            </w:pPr>
            <w:r>
              <w:rPr/>
              <w:t>​</w:t>
            </w:r>
          </w:p>
        </w:tc>
      </w:tr>
      <w:tr>
        <w:trPr/>
        <w:tc>
          <w:tcPr>
            <w:tcW w:w="3994" w:type="dxa"/>
            <w:tcBorders>
              <w:bottom w:val="single" w:sz="6" w:space="0" w:color="4B5088"/>
            </w:tcBorders>
            <w:tcMar>
              <w:bottom w:w="60" w:type="dxa"/>
            </w:tcMar>
            <w:vAlign w:val="center"/>
          </w:tcPr>
          <w:p>
            <w:pPr>
              <w:pStyle w:val="TableContents"/>
              <w:bidi w:val="0"/>
              <w:spacing w:lineRule="atLeast" w:line="196" w:before="0" w:after="0"/>
              <w:ind w:left="80" w:right="0" w:hanging="0"/>
              <w:jc w:val="left"/>
              <w:rPr>
                <w:spacing w:val="-2"/>
              </w:rPr>
            </w:pPr>
            <w:r>
              <w:rPr>
                <w:spacing w:val="-2"/>
              </w:rPr>
              <w:t xml:space="preserve">Special Servicing: $17.5B AUM </w:t>
            </w:r>
          </w:p>
        </w:tc>
        <w:tc>
          <w:tcPr>
            <w:tcW w:w="109" w:type="dxa"/>
            <w:tcBorders>
              <w:bottom w:val="single" w:sz="6" w:space="0" w:color="4B5088"/>
            </w:tcBorders>
            <w:vAlign w:val="center"/>
          </w:tcPr>
          <w:p>
            <w:pPr>
              <w:pStyle w:val="TableContents"/>
              <w:bidi w:val="0"/>
              <w:spacing w:before="0" w:after="283"/>
              <w:jc w:val="left"/>
              <w:rPr/>
            </w:pPr>
            <w:r>
              <w:rPr/>
              <w:t>​</w:t>
            </w:r>
          </w:p>
        </w:tc>
        <w:tc>
          <w:tcPr>
            <w:tcW w:w="109" w:type="dxa"/>
            <w:tcBorders>
              <w:bottom w:val="single" w:sz="6" w:space="0" w:color="4B5088"/>
            </w:tcBorders>
            <w:vAlign w:val="center"/>
          </w:tcPr>
          <w:p>
            <w:pPr>
              <w:pStyle w:val="TableContents"/>
              <w:bidi w:val="0"/>
              <w:spacing w:before="0" w:after="283"/>
              <w:jc w:val="left"/>
              <w:rPr/>
            </w:pPr>
            <w:r>
              <w:rPr/>
              <w:t>​</w:t>
            </w:r>
          </w:p>
        </w:tc>
        <w:tc>
          <w:tcPr>
            <w:tcW w:w="377" w:type="dxa"/>
            <w:tcBorders>
              <w:bottom w:val="single" w:sz="6" w:space="0" w:color="4B5088"/>
            </w:tcBorders>
            <w:vAlign w:val="center"/>
          </w:tcPr>
          <w:p>
            <w:pPr>
              <w:pStyle w:val="TableContents"/>
              <w:bidi w:val="0"/>
              <w:spacing w:before="0" w:after="0"/>
              <w:jc w:val="center"/>
              <w:rPr/>
            </w:pPr>
            <w:r>
              <w:rPr/>
              <w:drawing>
                <wp:inline distT="0" distB="0" distL="0" distR="0">
                  <wp:extent cx="133350" cy="133350"/>
                  <wp:effectExtent l="0" t="0" r="0" b="0"/>
                  <wp:docPr id="652" name="Image2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 name="Image231" descr=""/>
                          <pic:cNvPicPr>
                            <a:picLocks noChangeAspect="1" noChangeArrowheads="1"/>
                          </pic:cNvPicPr>
                        </pic:nvPicPr>
                        <pic:blipFill>
                          <a:blip r:embed="rId322"/>
                          <a:stretch>
                            <a:fillRect/>
                          </a:stretch>
                        </pic:blipFill>
                        <pic:spPr bwMode="auto">
                          <a:xfrm>
                            <a:off x="0" y="0"/>
                            <a:ext cx="133350" cy="133350"/>
                          </a:xfrm>
                          <a:prstGeom prst="rect">
                            <a:avLst/>
                          </a:prstGeom>
                        </pic:spPr>
                      </pic:pic>
                    </a:graphicData>
                  </a:graphic>
                </wp:inline>
              </w:drawing>
            </w:r>
            <w:r>
              <w:rPr/>
              <w:t xml:space="preserve"> </w:t>
            </w:r>
          </w:p>
        </w:tc>
        <w:tc>
          <w:tcPr>
            <w:tcW w:w="109" w:type="dxa"/>
            <w:tcBorders>
              <w:bottom w:val="single" w:sz="6" w:space="0" w:color="4B5088"/>
            </w:tcBorders>
            <w:vAlign w:val="center"/>
          </w:tcPr>
          <w:p>
            <w:pPr>
              <w:pStyle w:val="TableContents"/>
              <w:bidi w:val="0"/>
              <w:spacing w:before="0" w:after="283"/>
              <w:jc w:val="left"/>
              <w:rPr/>
            </w:pPr>
            <w:r>
              <w:rPr/>
              <w:t>​</w:t>
            </w:r>
          </w:p>
        </w:tc>
        <w:tc>
          <w:tcPr>
            <w:tcW w:w="109" w:type="dxa"/>
            <w:tcBorders>
              <w:bottom w:val="single" w:sz="2" w:space="0" w:color="83AD40"/>
            </w:tcBorders>
            <w:shd w:fill="83AD40" w:val="clear"/>
            <w:vAlign w:val="center"/>
          </w:tcPr>
          <w:p>
            <w:pPr>
              <w:pStyle w:val="TableContents"/>
              <w:bidi w:val="0"/>
              <w:spacing w:before="0" w:after="283"/>
              <w:jc w:val="left"/>
              <w:rPr/>
            </w:pPr>
            <w:r>
              <w:rPr/>
              <w:t>​</w:t>
            </w:r>
          </w:p>
        </w:tc>
        <w:tc>
          <w:tcPr>
            <w:tcW w:w="109" w:type="dxa"/>
            <w:tcBorders>
              <w:bottom w:val="single" w:sz="6" w:space="0" w:color="4B5088"/>
            </w:tcBorders>
            <w:vAlign w:val="center"/>
          </w:tcPr>
          <w:p>
            <w:pPr>
              <w:pStyle w:val="TableContents"/>
              <w:bidi w:val="0"/>
              <w:spacing w:before="0" w:after="283"/>
              <w:jc w:val="left"/>
              <w:rPr/>
            </w:pPr>
            <w:r>
              <w:rPr/>
              <w:t>​</w:t>
            </w:r>
          </w:p>
        </w:tc>
        <w:tc>
          <w:tcPr>
            <w:tcW w:w="4125" w:type="dxa"/>
            <w:tcBorders>
              <w:bottom w:val="single" w:sz="6" w:space="0" w:color="4B5088"/>
            </w:tcBorders>
            <w:tcMar>
              <w:bottom w:w="60" w:type="dxa"/>
            </w:tcMar>
            <w:vAlign w:val="center"/>
          </w:tcPr>
          <w:p>
            <w:pPr>
              <w:pStyle w:val="TableContents"/>
              <w:bidi w:val="0"/>
              <w:spacing w:lineRule="atLeast" w:line="196" w:before="0" w:after="0"/>
              <w:jc w:val="left"/>
              <w:rPr>
                <w:spacing w:val="-2"/>
              </w:rPr>
            </w:pPr>
            <w:r>
              <w:rPr>
                <w:spacing w:val="-2"/>
              </w:rPr>
              <w:t xml:space="preserve">Achieved $20.9B AUM </w:t>
            </w:r>
          </w:p>
        </w:tc>
        <w:tc>
          <w:tcPr>
            <w:tcW w:w="109" w:type="dxa"/>
            <w:tcBorders>
              <w:bottom w:val="single" w:sz="6" w:space="0" w:color="4B5088"/>
            </w:tcBorders>
            <w:vAlign w:val="center"/>
          </w:tcPr>
          <w:p>
            <w:pPr>
              <w:pStyle w:val="TableContents"/>
              <w:bidi w:val="0"/>
              <w:spacing w:before="0" w:after="283"/>
              <w:jc w:val="left"/>
              <w:rPr/>
            </w:pPr>
            <w:r>
              <w:rPr/>
              <w:t>​</w:t>
            </w:r>
          </w:p>
        </w:tc>
        <w:tc>
          <w:tcPr>
            <w:tcW w:w="155" w:type="dxa"/>
            <w:tcBorders>
              <w:bottom w:val="single" w:sz="2" w:space="0" w:color="83AD40"/>
            </w:tcBorders>
            <w:shd w:fill="83AD40" w:val="clear"/>
            <w:vAlign w:val="center"/>
          </w:tcPr>
          <w:p>
            <w:pPr>
              <w:pStyle w:val="TableContents"/>
              <w:bidi w:val="0"/>
              <w:spacing w:before="0" w:after="283"/>
              <w:jc w:val="left"/>
              <w:rPr/>
            </w:pPr>
            <w:r>
              <w:rPr/>
              <w:t>​</w:t>
            </w:r>
          </w:p>
        </w:tc>
      </w:tr>
      <w:tr>
        <w:trPr/>
        <w:tc>
          <w:tcPr>
            <w:tcW w:w="3994" w:type="dxa"/>
            <w:tcBorders>
              <w:bottom w:val="single" w:sz="6" w:space="0" w:color="4B5088"/>
            </w:tcBorders>
            <w:tcMar>
              <w:bottom w:w="60" w:type="dxa"/>
            </w:tcMar>
            <w:vAlign w:val="center"/>
          </w:tcPr>
          <w:p>
            <w:pPr>
              <w:pStyle w:val="TableContents"/>
              <w:bidi w:val="0"/>
              <w:spacing w:before="0" w:after="0"/>
              <w:ind w:left="80" w:right="0" w:hanging="0"/>
              <w:jc w:val="left"/>
              <w:rPr>
                <w:spacing w:val="-2"/>
              </w:rPr>
            </w:pPr>
            <w:r>
              <w:rPr>
                <w:spacing w:val="-2"/>
              </w:rPr>
              <w:t xml:space="preserve">One-Year TSR Performance &gt;10% </w:t>
            </w:r>
          </w:p>
        </w:tc>
        <w:tc>
          <w:tcPr>
            <w:tcW w:w="109" w:type="dxa"/>
            <w:tcBorders>
              <w:bottom w:val="single" w:sz="6" w:space="0" w:color="4B5088"/>
            </w:tcBorders>
            <w:vAlign w:val="center"/>
          </w:tcPr>
          <w:p>
            <w:pPr>
              <w:pStyle w:val="TableContents"/>
              <w:bidi w:val="0"/>
              <w:spacing w:before="0" w:after="283"/>
              <w:jc w:val="left"/>
              <w:rPr/>
            </w:pPr>
            <w:r>
              <w:rPr/>
              <w:t>​</w:t>
            </w:r>
          </w:p>
        </w:tc>
        <w:tc>
          <w:tcPr>
            <w:tcW w:w="109" w:type="dxa"/>
            <w:tcBorders>
              <w:bottom w:val="single" w:sz="6" w:space="0" w:color="4B5088"/>
            </w:tcBorders>
            <w:vAlign w:val="center"/>
          </w:tcPr>
          <w:p>
            <w:pPr>
              <w:pStyle w:val="TableContents"/>
              <w:bidi w:val="0"/>
              <w:spacing w:before="0" w:after="283"/>
              <w:jc w:val="left"/>
              <w:rPr/>
            </w:pPr>
            <w:r>
              <w:rPr/>
              <w:t>​</w:t>
            </w:r>
          </w:p>
        </w:tc>
        <w:tc>
          <w:tcPr>
            <w:tcW w:w="377" w:type="dxa"/>
            <w:tcBorders>
              <w:bottom w:val="single" w:sz="6" w:space="0" w:color="4B5088"/>
            </w:tcBorders>
            <w:tcMar>
              <w:bottom w:w="60" w:type="dxa"/>
            </w:tcMar>
            <w:vAlign w:val="center"/>
          </w:tcPr>
          <w:p>
            <w:pPr>
              <w:pStyle w:val="TableContents"/>
              <w:bidi w:val="0"/>
              <w:spacing w:before="0" w:after="0"/>
              <w:jc w:val="center"/>
              <w:rPr>
                <w:b/>
              </w:rPr>
            </w:pPr>
            <w:r>
              <w:rPr>
                <w:b/>
                <w:spacing w:val="-2"/>
              </w:rPr>
              <w:t>X</w:t>
            </w:r>
            <w:r>
              <w:rPr>
                <w:b/>
              </w:rPr>
              <w:t xml:space="preserve"> </w:t>
            </w:r>
          </w:p>
        </w:tc>
        <w:tc>
          <w:tcPr>
            <w:tcW w:w="109" w:type="dxa"/>
            <w:tcBorders>
              <w:bottom w:val="single" w:sz="6" w:space="0" w:color="4B5088"/>
            </w:tcBorders>
            <w:vAlign w:val="center"/>
          </w:tcPr>
          <w:p>
            <w:pPr>
              <w:pStyle w:val="TableContents"/>
              <w:bidi w:val="0"/>
              <w:spacing w:before="0" w:after="283"/>
              <w:jc w:val="left"/>
              <w:rPr/>
            </w:pPr>
            <w:r>
              <w:rPr/>
              <w:t>​</w:t>
            </w:r>
          </w:p>
        </w:tc>
        <w:tc>
          <w:tcPr>
            <w:tcW w:w="109" w:type="dxa"/>
            <w:tcBorders>
              <w:bottom w:val="single" w:sz="2" w:space="0" w:color="83AD40"/>
            </w:tcBorders>
            <w:shd w:fill="83AD40" w:val="clear"/>
            <w:vAlign w:val="center"/>
          </w:tcPr>
          <w:p>
            <w:pPr>
              <w:pStyle w:val="TableContents"/>
              <w:bidi w:val="0"/>
              <w:spacing w:before="0" w:after="283"/>
              <w:jc w:val="left"/>
              <w:rPr/>
            </w:pPr>
            <w:r>
              <w:rPr/>
              <w:t>​</w:t>
            </w:r>
          </w:p>
        </w:tc>
        <w:tc>
          <w:tcPr>
            <w:tcW w:w="109" w:type="dxa"/>
            <w:tcBorders>
              <w:bottom w:val="single" w:sz="6" w:space="0" w:color="4B5088"/>
            </w:tcBorders>
            <w:vAlign w:val="center"/>
          </w:tcPr>
          <w:p>
            <w:pPr>
              <w:pStyle w:val="TableContents"/>
              <w:bidi w:val="0"/>
              <w:spacing w:before="0" w:after="283"/>
              <w:jc w:val="left"/>
              <w:rPr/>
            </w:pPr>
            <w:r>
              <w:rPr/>
              <w:t>​</w:t>
            </w:r>
          </w:p>
        </w:tc>
        <w:tc>
          <w:tcPr>
            <w:tcW w:w="4125" w:type="dxa"/>
            <w:tcBorders>
              <w:bottom w:val="single" w:sz="6" w:space="0" w:color="4B5088"/>
            </w:tcBorders>
            <w:tcMar>
              <w:bottom w:w="60" w:type="dxa"/>
            </w:tcMar>
            <w:vAlign w:val="center"/>
          </w:tcPr>
          <w:p>
            <w:pPr>
              <w:pStyle w:val="TableContents"/>
              <w:bidi w:val="0"/>
              <w:spacing w:before="0" w:after="283"/>
              <w:jc w:val="left"/>
              <w:rPr/>
            </w:pPr>
            <w:r>
              <w:rPr>
                <w:spacing w:val="-2"/>
              </w:rPr>
              <w:t>TSR Performance of (29.04)%</w:t>
            </w:r>
            <w:r>
              <w:rPr>
                <w:spacing w:val="-1"/>
                <w:sz w:val="10"/>
              </w:rPr>
              <w:t>(2)</w:t>
            </w:r>
            <w:r>
              <w:rPr/>
              <w:t xml:space="preserve"> </w:t>
            </w:r>
          </w:p>
        </w:tc>
        <w:tc>
          <w:tcPr>
            <w:tcW w:w="109" w:type="dxa"/>
            <w:tcBorders>
              <w:bottom w:val="single" w:sz="6" w:space="0" w:color="4B5088"/>
            </w:tcBorders>
            <w:vAlign w:val="center"/>
          </w:tcPr>
          <w:p>
            <w:pPr>
              <w:pStyle w:val="TableContents"/>
              <w:bidi w:val="0"/>
              <w:spacing w:before="0" w:after="283"/>
              <w:jc w:val="left"/>
              <w:rPr/>
            </w:pPr>
            <w:r>
              <w:rPr/>
              <w:t>​</w:t>
            </w:r>
          </w:p>
        </w:tc>
        <w:tc>
          <w:tcPr>
            <w:tcW w:w="155" w:type="dxa"/>
            <w:tcBorders>
              <w:bottom w:val="single" w:sz="2" w:space="0" w:color="83AD40"/>
            </w:tcBorders>
            <w:shd w:fill="83AD40" w:val="clear"/>
            <w:vAlign w:val="center"/>
          </w:tcPr>
          <w:p>
            <w:pPr>
              <w:pStyle w:val="TableContents"/>
              <w:bidi w:val="0"/>
              <w:spacing w:before="0" w:after="283"/>
              <w:jc w:val="left"/>
              <w:rPr/>
            </w:pPr>
            <w:r>
              <w:rPr/>
              <w:t>​</w:t>
            </w:r>
          </w:p>
        </w:tc>
      </w:tr>
      <w:tr>
        <w:trPr/>
        <w:tc>
          <w:tcPr>
            <w:tcW w:w="3994" w:type="dxa"/>
            <w:tcBorders>
              <w:bottom w:val="single" w:sz="6" w:space="0" w:color="4B5088"/>
            </w:tcBorders>
            <w:tcMar>
              <w:bottom w:w="60" w:type="dxa"/>
            </w:tcMar>
            <w:vAlign w:val="center"/>
          </w:tcPr>
          <w:p>
            <w:pPr>
              <w:pStyle w:val="TableContents"/>
              <w:bidi w:val="0"/>
              <w:spacing w:before="0" w:after="0"/>
              <w:ind w:left="80" w:right="0" w:hanging="0"/>
              <w:jc w:val="left"/>
              <w:rPr>
                <w:spacing w:val="-2"/>
              </w:rPr>
            </w:pPr>
            <w:r>
              <w:rPr>
                <w:spacing w:val="-2"/>
              </w:rPr>
              <w:t xml:space="preserve">Exceed DJ U.S. Real Estate Office Index by 250 Basis Points </w:t>
            </w:r>
          </w:p>
        </w:tc>
        <w:tc>
          <w:tcPr>
            <w:tcW w:w="109" w:type="dxa"/>
            <w:tcBorders>
              <w:bottom w:val="single" w:sz="6" w:space="0" w:color="4B5088"/>
            </w:tcBorders>
            <w:vAlign w:val="center"/>
          </w:tcPr>
          <w:p>
            <w:pPr>
              <w:pStyle w:val="TableContents"/>
              <w:bidi w:val="0"/>
              <w:spacing w:before="0" w:after="283"/>
              <w:jc w:val="left"/>
              <w:rPr/>
            </w:pPr>
            <w:r>
              <w:rPr/>
              <w:t>​</w:t>
            </w:r>
          </w:p>
        </w:tc>
        <w:tc>
          <w:tcPr>
            <w:tcW w:w="109" w:type="dxa"/>
            <w:tcBorders>
              <w:bottom w:val="single" w:sz="6" w:space="0" w:color="4B5088"/>
            </w:tcBorders>
            <w:vAlign w:val="center"/>
          </w:tcPr>
          <w:p>
            <w:pPr>
              <w:pStyle w:val="TableContents"/>
              <w:bidi w:val="0"/>
              <w:spacing w:before="0" w:after="283"/>
              <w:jc w:val="left"/>
              <w:rPr/>
            </w:pPr>
            <w:r>
              <w:rPr/>
              <w:t>​</w:t>
            </w:r>
          </w:p>
        </w:tc>
        <w:tc>
          <w:tcPr>
            <w:tcW w:w="377" w:type="dxa"/>
            <w:tcBorders>
              <w:bottom w:val="single" w:sz="6" w:space="0" w:color="4B5088"/>
            </w:tcBorders>
            <w:tcMar>
              <w:bottom w:w="60" w:type="dxa"/>
            </w:tcMar>
            <w:vAlign w:val="center"/>
          </w:tcPr>
          <w:p>
            <w:pPr>
              <w:pStyle w:val="TableContents"/>
              <w:bidi w:val="0"/>
              <w:spacing w:before="0" w:after="0"/>
              <w:jc w:val="center"/>
              <w:rPr>
                <w:b/>
              </w:rPr>
            </w:pPr>
            <w:r>
              <w:rPr>
                <w:b/>
                <w:spacing w:val="-2"/>
              </w:rPr>
              <w:t>X</w:t>
            </w:r>
            <w:r>
              <w:rPr>
                <w:b/>
              </w:rPr>
              <w:t xml:space="preserve"> </w:t>
            </w:r>
          </w:p>
        </w:tc>
        <w:tc>
          <w:tcPr>
            <w:tcW w:w="109" w:type="dxa"/>
            <w:tcBorders>
              <w:bottom w:val="single" w:sz="6" w:space="0" w:color="4B5088"/>
            </w:tcBorders>
            <w:vAlign w:val="center"/>
          </w:tcPr>
          <w:p>
            <w:pPr>
              <w:pStyle w:val="TableContents"/>
              <w:bidi w:val="0"/>
              <w:spacing w:before="0" w:after="283"/>
              <w:jc w:val="left"/>
              <w:rPr/>
            </w:pPr>
            <w:r>
              <w:rPr/>
              <w:t>​</w:t>
            </w:r>
          </w:p>
        </w:tc>
        <w:tc>
          <w:tcPr>
            <w:tcW w:w="109" w:type="dxa"/>
            <w:tcBorders>
              <w:bottom w:val="single" w:sz="2" w:space="0" w:color="83AD40"/>
            </w:tcBorders>
            <w:shd w:fill="83AD40" w:val="clear"/>
            <w:vAlign w:val="center"/>
          </w:tcPr>
          <w:p>
            <w:pPr>
              <w:pStyle w:val="TableContents"/>
              <w:bidi w:val="0"/>
              <w:spacing w:before="0" w:after="283"/>
              <w:jc w:val="left"/>
              <w:rPr/>
            </w:pPr>
            <w:r>
              <w:rPr/>
              <w:t>​</w:t>
            </w:r>
          </w:p>
        </w:tc>
        <w:tc>
          <w:tcPr>
            <w:tcW w:w="109" w:type="dxa"/>
            <w:tcBorders>
              <w:bottom w:val="single" w:sz="6" w:space="0" w:color="4B5088"/>
            </w:tcBorders>
            <w:vAlign w:val="center"/>
          </w:tcPr>
          <w:p>
            <w:pPr>
              <w:pStyle w:val="TableContents"/>
              <w:bidi w:val="0"/>
              <w:spacing w:before="0" w:after="283"/>
              <w:jc w:val="left"/>
              <w:rPr/>
            </w:pPr>
            <w:r>
              <w:rPr/>
              <w:t>​</w:t>
            </w:r>
          </w:p>
        </w:tc>
        <w:tc>
          <w:tcPr>
            <w:tcW w:w="4125" w:type="dxa"/>
            <w:tcBorders>
              <w:bottom w:val="single" w:sz="6" w:space="0" w:color="4B5088"/>
            </w:tcBorders>
            <w:tcMar>
              <w:bottom w:w="60" w:type="dxa"/>
            </w:tcMar>
            <w:vAlign w:val="center"/>
          </w:tcPr>
          <w:p>
            <w:pPr>
              <w:pStyle w:val="TableContents"/>
              <w:bidi w:val="0"/>
              <w:spacing w:before="0" w:after="283"/>
              <w:jc w:val="left"/>
              <w:rPr/>
            </w:pPr>
            <w:r>
              <w:rPr>
                <w:spacing w:val="-2"/>
              </w:rPr>
              <w:t>Underperformed Index by 746 Basis Points</w:t>
            </w:r>
            <w:r>
              <w:rPr>
                <w:b/>
                <w:spacing w:val="-1"/>
                <w:sz w:val="10"/>
              </w:rPr>
              <w:t>(2)</w:t>
            </w:r>
            <w:r>
              <w:rPr/>
              <w:t xml:space="preserve"> </w:t>
            </w:r>
          </w:p>
        </w:tc>
        <w:tc>
          <w:tcPr>
            <w:tcW w:w="109" w:type="dxa"/>
            <w:tcBorders>
              <w:bottom w:val="single" w:sz="6" w:space="0" w:color="4B5088"/>
            </w:tcBorders>
            <w:vAlign w:val="center"/>
          </w:tcPr>
          <w:p>
            <w:pPr>
              <w:pStyle w:val="TableContents"/>
              <w:bidi w:val="0"/>
              <w:spacing w:before="0" w:after="283"/>
              <w:jc w:val="left"/>
              <w:rPr/>
            </w:pPr>
            <w:r>
              <w:rPr/>
              <w:t>​</w:t>
            </w:r>
          </w:p>
        </w:tc>
        <w:tc>
          <w:tcPr>
            <w:tcW w:w="155" w:type="dxa"/>
            <w:tcBorders>
              <w:bottom w:val="single" w:sz="2" w:space="0" w:color="83AD40"/>
            </w:tcBorders>
            <w:shd w:fill="83AD40" w:val="clear"/>
            <w:vAlign w:val="center"/>
          </w:tcPr>
          <w:p>
            <w:pPr>
              <w:pStyle w:val="TableContents"/>
              <w:bidi w:val="0"/>
              <w:spacing w:before="0" w:after="283"/>
              <w:jc w:val="left"/>
              <w:rPr/>
            </w:pPr>
            <w:r>
              <w:rPr/>
              <w:t>​</w:t>
            </w:r>
          </w:p>
        </w:tc>
      </w:tr>
      <w:tr>
        <w:trPr/>
        <w:tc>
          <w:tcPr>
            <w:tcW w:w="3994" w:type="dxa"/>
            <w:tcBorders>
              <w:bottom w:val="single" w:sz="8" w:space="0" w:color="1F2668"/>
            </w:tcBorders>
            <w:vAlign w:val="center"/>
          </w:tcPr>
          <w:p>
            <w:pPr>
              <w:pStyle w:val="TableContents"/>
              <w:bidi w:val="0"/>
              <w:spacing w:lineRule="atLeast" w:line="196" w:before="0" w:after="0"/>
              <w:ind w:left="80" w:right="0" w:hanging="0"/>
              <w:jc w:val="left"/>
              <w:rPr>
                <w:spacing w:val="-2"/>
              </w:rPr>
            </w:pPr>
            <w:r>
              <w:rPr>
                <w:spacing w:val="-2"/>
              </w:rPr>
              <w:t xml:space="preserve">Make 4 Summer Youth Employment Program Full-Time Hires </w:t>
            </w:r>
          </w:p>
        </w:tc>
        <w:tc>
          <w:tcPr>
            <w:tcW w:w="109" w:type="dxa"/>
            <w:tcBorders>
              <w:bottom w:val="single" w:sz="8" w:space="0" w:color="1F2668"/>
            </w:tcBorders>
            <w:vAlign w:val="center"/>
          </w:tcPr>
          <w:p>
            <w:pPr>
              <w:pStyle w:val="TableContents"/>
              <w:bidi w:val="0"/>
              <w:spacing w:before="0" w:after="283"/>
              <w:jc w:val="left"/>
              <w:rPr/>
            </w:pPr>
            <w:r>
              <w:rPr/>
              <w:t>​</w:t>
            </w:r>
          </w:p>
        </w:tc>
        <w:tc>
          <w:tcPr>
            <w:tcW w:w="109" w:type="dxa"/>
            <w:tcBorders>
              <w:bottom w:val="single" w:sz="8" w:space="0" w:color="1F2668"/>
            </w:tcBorders>
            <w:vAlign w:val="center"/>
          </w:tcPr>
          <w:p>
            <w:pPr>
              <w:pStyle w:val="TableContents"/>
              <w:bidi w:val="0"/>
              <w:spacing w:before="0" w:after="283"/>
              <w:jc w:val="left"/>
              <w:rPr/>
            </w:pPr>
            <w:r>
              <w:rPr/>
              <w:t>​</w:t>
            </w:r>
          </w:p>
        </w:tc>
        <w:tc>
          <w:tcPr>
            <w:tcW w:w="377" w:type="dxa"/>
            <w:tcBorders>
              <w:bottom w:val="single" w:sz="8" w:space="0" w:color="1F2668"/>
            </w:tcBorders>
            <w:vAlign w:val="center"/>
          </w:tcPr>
          <w:p>
            <w:pPr>
              <w:pStyle w:val="TableContents"/>
              <w:bidi w:val="0"/>
              <w:spacing w:before="0" w:after="0"/>
              <w:jc w:val="center"/>
              <w:rPr/>
            </w:pPr>
            <w:r>
              <w:rPr/>
              <w:drawing>
                <wp:inline distT="0" distB="0" distL="0" distR="0">
                  <wp:extent cx="133350" cy="133350"/>
                  <wp:effectExtent l="0" t="0" r="0" b="0"/>
                  <wp:docPr id="653" name="Image2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3" name="Image232" descr=""/>
                          <pic:cNvPicPr>
                            <a:picLocks noChangeAspect="1" noChangeArrowheads="1"/>
                          </pic:cNvPicPr>
                        </pic:nvPicPr>
                        <pic:blipFill>
                          <a:blip r:embed="rId323"/>
                          <a:stretch>
                            <a:fillRect/>
                          </a:stretch>
                        </pic:blipFill>
                        <pic:spPr bwMode="auto">
                          <a:xfrm>
                            <a:off x="0" y="0"/>
                            <a:ext cx="133350" cy="133350"/>
                          </a:xfrm>
                          <a:prstGeom prst="rect">
                            <a:avLst/>
                          </a:prstGeom>
                        </pic:spPr>
                      </pic:pic>
                    </a:graphicData>
                  </a:graphic>
                </wp:inline>
              </w:drawing>
            </w:r>
            <w:r>
              <w:rPr/>
              <w:t xml:space="preserve"> </w:t>
            </w:r>
          </w:p>
        </w:tc>
        <w:tc>
          <w:tcPr>
            <w:tcW w:w="109" w:type="dxa"/>
            <w:tcBorders>
              <w:bottom w:val="single" w:sz="8" w:space="0" w:color="1F2668"/>
            </w:tcBorders>
            <w:vAlign w:val="center"/>
          </w:tcPr>
          <w:p>
            <w:pPr>
              <w:pStyle w:val="TableContents"/>
              <w:bidi w:val="0"/>
              <w:spacing w:before="0" w:after="283"/>
              <w:jc w:val="left"/>
              <w:rPr/>
            </w:pPr>
            <w:r>
              <w:rPr/>
              <w:t>​</w:t>
            </w:r>
          </w:p>
        </w:tc>
        <w:tc>
          <w:tcPr>
            <w:tcW w:w="109" w:type="dxa"/>
            <w:tcBorders>
              <w:bottom w:val="single" w:sz="18" w:space="0" w:color="83AD40"/>
            </w:tcBorders>
            <w:shd w:fill="83AD40" w:val="clear"/>
            <w:vAlign w:val="center"/>
          </w:tcPr>
          <w:p>
            <w:pPr>
              <w:pStyle w:val="TableContents"/>
              <w:bidi w:val="0"/>
              <w:spacing w:before="0" w:after="283"/>
              <w:jc w:val="left"/>
              <w:rPr/>
            </w:pPr>
            <w:r>
              <w:rPr/>
              <w:t>​</w:t>
            </w:r>
          </w:p>
        </w:tc>
        <w:tc>
          <w:tcPr>
            <w:tcW w:w="109" w:type="dxa"/>
            <w:tcBorders>
              <w:bottom w:val="single" w:sz="18" w:space="0" w:color="83AD40"/>
            </w:tcBorders>
            <w:vAlign w:val="center"/>
          </w:tcPr>
          <w:p>
            <w:pPr>
              <w:pStyle w:val="TableContents"/>
              <w:bidi w:val="0"/>
              <w:spacing w:before="0" w:after="283"/>
              <w:jc w:val="left"/>
              <w:rPr/>
            </w:pPr>
            <w:r>
              <w:rPr/>
              <w:t>​</w:t>
            </w:r>
          </w:p>
        </w:tc>
        <w:tc>
          <w:tcPr>
            <w:tcW w:w="4125" w:type="dxa"/>
            <w:tcBorders>
              <w:bottom w:val="single" w:sz="18" w:space="0" w:color="83AD40"/>
            </w:tcBorders>
            <w:vAlign w:val="center"/>
          </w:tcPr>
          <w:p>
            <w:pPr>
              <w:pStyle w:val="TableContents"/>
              <w:bidi w:val="0"/>
              <w:spacing w:lineRule="atLeast" w:line="196" w:before="0" w:after="0"/>
              <w:jc w:val="left"/>
              <w:rPr/>
            </w:pPr>
            <w:r>
              <w:rPr>
                <w:spacing w:val="-2"/>
              </w:rPr>
              <w:t>Made 8 Part-Time Hires (equivalent to 4 FTEs)</w:t>
            </w:r>
            <w:r>
              <w:rPr/>
              <w:t xml:space="preserve"> </w:t>
            </w:r>
          </w:p>
        </w:tc>
        <w:tc>
          <w:tcPr>
            <w:tcW w:w="109" w:type="dxa"/>
            <w:tcBorders>
              <w:bottom w:val="single" w:sz="18" w:space="0" w:color="83AD40"/>
            </w:tcBorders>
            <w:vAlign w:val="center"/>
          </w:tcPr>
          <w:p>
            <w:pPr>
              <w:pStyle w:val="TableContents"/>
              <w:bidi w:val="0"/>
              <w:spacing w:before="0" w:after="283"/>
              <w:jc w:val="left"/>
              <w:rPr/>
            </w:pPr>
            <w:r>
              <w:rPr/>
              <w:t>​</w:t>
            </w:r>
          </w:p>
        </w:tc>
        <w:tc>
          <w:tcPr>
            <w:tcW w:w="155" w:type="dxa"/>
            <w:tcBorders>
              <w:bottom w:val="single" w:sz="18" w:space="0" w:color="83AD40"/>
            </w:tcBorders>
            <w:shd w:fill="83AD40" w:val="clear"/>
            <w:vAlign w:val="center"/>
          </w:tcPr>
          <w:p>
            <w:pPr>
              <w:pStyle w:val="TableContents"/>
              <w:bidi w:val="0"/>
              <w:spacing w:before="0" w:after="283"/>
              <w:jc w:val="left"/>
              <w:rPr/>
            </w:pPr>
            <w:r>
              <w:rPr/>
              <w:t>​</w:t>
            </w:r>
          </w:p>
        </w:tc>
      </w:tr>
    </w:tbl>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115"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Refer to Appendix A to this proxy statement for a reconciliation of Same Store Cash NOI, which is presented excluding lease termination income.</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73025" distB="0" distL="0" distR="0" simplePos="0" locked="0" layoutInCell="1" allowOverlap="1" relativeHeight="601">
                <wp:simplePos x="0" y="0"/>
                <wp:positionH relativeFrom="column">
                  <wp:align>left</wp:align>
                </wp:positionH>
                <wp:positionV relativeFrom="line">
                  <wp:align>top</wp:align>
                </wp:positionV>
                <wp:extent cx="254000" cy="350520"/>
                <wp:effectExtent l="0" t="0" r="0" b="0"/>
                <wp:wrapSquare wrapText="right"/>
                <wp:docPr id="654" name="Frame33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75pt;mso-wrap-distance-bottom:0pt;margin-top:5.75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(1)</w:t>
                      </w:r>
                      <w:r>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Source: Bloomberg.</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602">
                <wp:simplePos x="0" y="0"/>
                <wp:positionH relativeFrom="column">
                  <wp:align>left</wp:align>
                </wp:positionH>
                <wp:positionV relativeFrom="line">
                  <wp:align>top</wp:align>
                </wp:positionV>
                <wp:extent cx="254000" cy="350520"/>
                <wp:effectExtent l="0" t="0" r="0" b="0"/>
                <wp:wrapSquare wrapText="right"/>
                <wp:docPr id="655" name="Frame33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2"/>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(2)</w:t>
                      </w:r>
                      <w:r>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tbl>
      <w:tblPr>
        <w:tblW w:w="9305" w:type="dxa"/>
        <w:jc w:val="left"/>
        <w:tblInd w:w="900" w:type="dxa"/>
        <w:tblLayout w:type="fixed"/>
        <w:tblCellMar>
          <w:top w:w="0" w:type="dxa"/>
          <w:left w:w="0" w:type="dxa"/>
          <w:bottom w:w="0" w:type="dxa"/>
          <w:right w:w="0" w:type="dxa"/>
        </w:tblCellMar>
      </w:tblPr>
      <w:tblGrid>
        <w:gridCol w:w="124"/>
        <w:gridCol w:w="9027"/>
        <w:gridCol w:w="154"/>
      </w:tblGrid>
      <w:tr>
        <w:trPr/>
        <w:tc>
          <w:tcPr>
            <w:tcW w:w="124" w:type="dxa"/>
            <w:tcBorders/>
            <w:shd w:fill="E9F9D8" w:val="clear"/>
            <w:vAlign w:val="center"/>
          </w:tcPr>
          <w:p>
            <w:pPr>
              <w:pStyle w:val="TableContents"/>
              <w:bidi w:val="0"/>
              <w:spacing w:before="0" w:after="283"/>
              <w:jc w:val="left"/>
              <w:rPr/>
            </w:pPr>
            <w:r>
              <w:rPr/>
              <w:t>​</w:t>
            </w:r>
          </w:p>
        </w:tc>
        <w:tc>
          <w:tcPr>
            <w:tcW w:w="9027" w:type="dxa"/>
            <w:tcBorders/>
            <w:shd w:fill="E9F9D8" w:val="clear"/>
            <w:vAlign w:val="center"/>
          </w:tcPr>
          <w:p>
            <w:pPr>
              <w:pStyle w:val="TableContents"/>
              <w:bidi w:val="0"/>
              <w:spacing w:lineRule="atLeast" w:line="200" w:before="0" w:after="0"/>
              <w:jc w:val="left"/>
              <w:rPr>
                <w:spacing w:val="-2"/>
              </w:rPr>
            </w:pPr>
            <w:r>
              <w:rPr>
                <w:spacing w:val="-2"/>
              </w:rPr>
              <w:t xml:space="preserve">The goals established as part of our performance-based compensation programs in January 2025 were in line with those outlined at our December 2024 Institutional Investor Conference established as a roadmap for fiscal year 2025. </w:t>
            </w:r>
          </w:p>
        </w:tc>
        <w:tc>
          <w:tcPr>
            <w:tcW w:w="154" w:type="dxa"/>
            <w:tcBorders/>
            <w:shd w:fill="E9F9D8" w:val="clear"/>
            <w:vAlign w:val="center"/>
          </w:tcPr>
          <w:p>
            <w:pPr>
              <w:pStyle w:val="TableContents"/>
              <w:bidi w:val="0"/>
              <w:spacing w:before="0" w:after="283"/>
              <w:jc w:val="left"/>
              <w:rPr/>
            </w:pPr>
            <w:r>
              <w:rPr/>
              <w:t>​</w:t>
            </w:r>
          </w:p>
        </w:tc>
      </w:tr>
      <w:tr>
        <w:trPr/>
        <w:tc>
          <w:tcPr>
            <w:tcW w:w="124" w:type="dxa"/>
            <w:tcBorders/>
            <w:shd w:fill="E9F9D8" w:val="clear"/>
            <w:vAlign w:val="center"/>
          </w:tcPr>
          <w:p>
            <w:pPr>
              <w:pStyle w:val="TableContents"/>
              <w:bidi w:val="0"/>
              <w:spacing w:before="0" w:after="283"/>
              <w:jc w:val="left"/>
              <w:rPr/>
            </w:pPr>
            <w:r>
              <w:rPr/>
              <w:t>​</w:t>
            </w:r>
          </w:p>
        </w:tc>
        <w:tc>
          <w:tcPr>
            <w:tcW w:w="9027" w:type="dxa"/>
            <w:tcBorders/>
            <w:shd w:fill="E9F9D8" w:val="clear"/>
            <w:vAlign w:val="center"/>
          </w:tcPr>
          <w:p>
            <w:pPr>
              <w:pStyle w:val="TableContents"/>
              <w:bidi w:val="0"/>
              <w:spacing w:lineRule="atLeast" w:line="200" w:before="0" w:after="0"/>
              <w:jc w:val="left"/>
              <w:rPr/>
            </w:pPr>
            <w:r>
              <w:rPr>
                <w:b w:val="false"/>
                <w:spacing w:val="-2"/>
              </w:rPr>
              <w:t xml:space="preserve">As in prior years, the Company </w:t>
            </w:r>
            <w:r>
              <w:rPr>
                <w:spacing w:val="-2"/>
              </w:rPr>
              <w:t xml:space="preserve">remained agile and prioritized goals that generated short-term and long-term stockholder return </w:t>
            </w:r>
            <w:r>
              <w:rPr>
                <w:b w:val="false"/>
                <w:spacing w:val="-2"/>
              </w:rPr>
              <w:t xml:space="preserve">ahead of certain goals, such as strategic dispositions, </w:t>
            </w:r>
            <w:r>
              <w:rPr>
                <w:spacing w:val="-2"/>
              </w:rPr>
              <w:t>even where pursuing such goals might have increased the payout of earned performance-based awards and annual bonuses to our NEOs</w:t>
            </w:r>
            <w:r>
              <w:rPr>
                <w:b w:val="false"/>
                <w:spacing w:val="-2"/>
              </w:rPr>
              <w:t>.</w:t>
            </w:r>
            <w:r>
              <w:rPr/>
              <w:t xml:space="preserve"> </w:t>
            </w:r>
          </w:p>
        </w:tc>
        <w:tc>
          <w:tcPr>
            <w:tcW w:w="154" w:type="dxa"/>
            <w:tcBorders/>
            <w:shd w:fill="E9F9D8" w:val="clear"/>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225" w:type="dxa"/>
        <w:jc w:val="left"/>
        <w:tblInd w:w="900" w:type="dxa"/>
        <w:tblLayout w:type="fixed"/>
        <w:tblCellMar>
          <w:top w:w="0" w:type="dxa"/>
          <w:left w:w="0" w:type="dxa"/>
          <w:bottom w:w="0" w:type="dxa"/>
          <w:right w:w="0" w:type="dxa"/>
        </w:tblCellMar>
      </w:tblPr>
      <w:tblGrid>
        <w:gridCol w:w="124"/>
        <w:gridCol w:w="346"/>
        <w:gridCol w:w="109"/>
        <w:gridCol w:w="109"/>
        <w:gridCol w:w="4383"/>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46</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383" w:type="dxa"/>
            <w:tcBorders/>
            <w:vAlign w:val="center"/>
          </w:tcPr>
          <w:p>
            <w:pPr>
              <w:pStyle w:val="TableContents"/>
              <w:bidi w:val="0"/>
              <w:spacing w:lineRule="atLeast" w:line="200" w:before="0" w:after="0"/>
              <w:jc w:val="left"/>
              <w:rPr/>
            </w:pPr>
            <w:r>
              <w:rPr>
                <w:spacing w:val="-2"/>
              </w:rPr>
              <w:t>    </w:t>
            </w:r>
            <w:r>
              <w:rPr>
                <w:spacing w:val="-2"/>
                <w:sz w:val="16"/>
              </w:rPr>
              <w:t>SL GREEN REALTY CORP. 2026 PROXY STATEMENT</w:t>
            </w:r>
            <w:r>
              <w:rPr>
                <w:sz w:val="16"/>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300" w:before="560" w:after="154"/>
        <w:ind w:left="900" w:right="0" w:hanging="0"/>
        <w:jc w:val="left"/>
        <w:rPr>
          <w:rFonts w:ascii="Arial;Helvetica;sans-serif" w:hAnsi="Arial;Helvetica;sans-serif"/>
          <w:b/>
          <w:i w:val="false"/>
          <w:caps w:val="false"/>
          <w:smallCaps w:val="false"/>
          <w:color w:val="1F2668"/>
          <w:sz w:val="26"/>
        </w:rPr>
      </w:pPr>
      <w:r>
        <w:rPr>
          <w:rFonts w:ascii="Arial;Helvetica;sans-serif" w:hAnsi="Arial;Helvetica;sans-serif"/>
          <w:b/>
          <w:i w:val="false"/>
          <w:caps w:val="false"/>
          <w:smallCaps w:val="false"/>
          <w:color w:val="1F2668"/>
          <w:spacing w:val="-3"/>
          <w:sz w:val="26"/>
        </w:rPr>
        <w:t>Compensation Program Overview</w:t>
      </w:r>
      <w:r>
        <w:rPr>
          <w:rFonts w:ascii="Arial;Helvetica;sans-serif" w:hAnsi="Arial;Helvetica;sans-serif"/>
          <w:b/>
          <w:i w:val="false"/>
          <w:caps w:val="false"/>
          <w:smallCaps w:val="false"/>
          <w:color w:val="000000"/>
          <w:spacing w:val="5"/>
          <w:sz w:val="26"/>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Our executive compensation program is comprised of four pay elements: (i) annual base salary; (ii) annual bonus; (iii) performance-based equity awards; and (iv) time-based equity awards. See “Our 2025 Executive Compensation Program—</w:t>
      </w:r>
      <w:r>
        <w:rPr>
          <w:rFonts w:ascii="Arial;Helvetica;sans-serif" w:hAnsi="Arial;Helvetica;sans-serif"/>
          <w:b w:val="false"/>
          <w:i w:val="false"/>
          <w:caps w:val="false"/>
          <w:smallCaps w:val="false"/>
          <w:color w:val="000000"/>
          <w:sz w:val="18"/>
        </w:rPr>
        <w:t>​</w:t>
      </w:r>
      <w:r>
        <w:rPr>
          <w:rFonts w:ascii="Arial;Helvetica;sans-serif" w:hAnsi="Arial;Helvetica;sans-serif"/>
          <w:b w:val="false"/>
          <w:i w:val="false"/>
          <w:caps w:val="false"/>
          <w:smallCaps w:val="false"/>
          <w:color w:val="000000"/>
          <w:spacing w:val="-2"/>
          <w:sz w:val="18"/>
        </w:rPr>
        <w:t>Elements of Compensation” below for a detailed description of each of these four elements.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60" w:before="200" w:after="283"/>
        <w:jc w:val="left"/>
        <w:rPr>
          <w:rFonts w:ascii="Arial;Helvetica;sans-serif" w:hAnsi="Arial;Helvetica;sans-serif"/>
          <w:b/>
          <w:i w:val="false"/>
          <w:caps w:val="false"/>
          <w:smallCaps w:val="false"/>
          <w:color w:val="83AD40"/>
          <w:sz w:val="22"/>
        </w:rPr>
      </w:pPr>
      <w:r>
        <w:rPr>
          <w:rFonts w:ascii="Arial;Helvetica;sans-serif" w:hAnsi="Arial;Helvetica;sans-serif"/>
          <w:b/>
          <w:i w:val="false"/>
          <w:caps w:val="false"/>
          <w:smallCaps w:val="false"/>
          <w:color w:val="83AD40"/>
          <w:spacing w:val="-2"/>
          <w:sz w:val="22"/>
        </w:rPr>
        <w:t>Majority of 2025 Pay at Risk*</w:t>
      </w:r>
      <w:r>
        <w:rPr>
          <w:rFonts w:ascii="Arial;Helvetica;sans-serif" w:hAnsi="Arial;Helvetica;sans-serif"/>
          <w:b/>
          <w:i w:val="false"/>
          <w:caps w:val="false"/>
          <w:smallCaps w:val="false"/>
          <w:color w:val="000000"/>
          <w:spacing w:val="4"/>
          <w:sz w:val="22"/>
        </w:rPr>
        <w:t xml:space="preserve"> </w:t>
      </w:r>
    </w:p>
    <w:p>
      <w:pPr>
        <w:pStyle w:val="TextBody"/>
        <w:bidi w:val="0"/>
        <w:spacing w:before="160" w:after="283"/>
        <w:jc w:val="center"/>
        <w:rPr>
          <w:caps w:val="false"/>
          <w:smallCaps w:val="false"/>
          <w:color w:val="000000"/>
        </w:rPr>
      </w:pPr>
      <w:r>
        <w:rPr>
          <w:caps w:val="false"/>
          <w:smallCaps w:val="false"/>
          <w:color w:val="000000"/>
        </w:rPr>
        <w:drawing>
          <wp:inline distT="0" distB="0" distL="0" distR="0">
            <wp:extent cx="5648325" cy="2590800"/>
            <wp:effectExtent l="0" t="0" r="0" b="0"/>
            <wp:docPr id="656" name="Image2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6" name="Image233" descr=""/>
                    <pic:cNvPicPr>
                      <a:picLocks noChangeAspect="1" noChangeArrowheads="1"/>
                    </pic:cNvPicPr>
                  </pic:nvPicPr>
                  <pic:blipFill>
                    <a:blip r:embed="rId324"/>
                    <a:stretch>
                      <a:fillRect/>
                    </a:stretch>
                  </pic:blipFill>
                  <pic:spPr bwMode="auto">
                    <a:xfrm>
                      <a:off x="0" y="0"/>
                      <a:ext cx="5648325" cy="2590800"/>
                    </a:xfrm>
                    <a:prstGeom prst="rect">
                      <a:avLst/>
                    </a:prstGeom>
                  </pic:spPr>
                </pic:pic>
              </a:graphicData>
            </a:graphic>
          </wp:inline>
        </w:drawing>
      </w:r>
      <w:r>
        <w:rPr>
          <w:caps w:val="false"/>
          <w:smallCaps w:val="false"/>
          <w:color w:val="000000"/>
        </w:rPr>
        <w:t xml:space="preserve"> </w:t>
      </w:r>
    </w:p>
    <w:p>
      <w:pPr>
        <w:pStyle w:val="TextBody"/>
        <w:bidi w:val="0"/>
        <w:spacing w:lineRule="atLeast" w:line="260" w:before="320" w:after="283"/>
        <w:jc w:val="left"/>
        <w:rPr>
          <w:rFonts w:ascii="Arial;Helvetica;sans-serif" w:hAnsi="Arial;Helvetica;sans-serif"/>
          <w:b/>
          <w:i w:val="false"/>
          <w:caps w:val="false"/>
          <w:smallCaps w:val="false"/>
          <w:color w:val="83AD40"/>
          <w:sz w:val="22"/>
        </w:rPr>
      </w:pPr>
      <w:r>
        <w:rPr>
          <w:rFonts w:ascii="Arial;Helvetica;sans-serif" w:hAnsi="Arial;Helvetica;sans-serif"/>
          <w:b/>
          <w:i w:val="false"/>
          <w:caps w:val="false"/>
          <w:smallCaps w:val="false"/>
          <w:color w:val="83AD40"/>
          <w:spacing w:val="-2"/>
          <w:sz w:val="22"/>
        </w:rPr>
        <w:t>Majority of 2025 Compensation Paid in Equity*</w:t>
      </w:r>
      <w:r>
        <w:rPr>
          <w:rFonts w:ascii="Arial;Helvetica;sans-serif" w:hAnsi="Arial;Helvetica;sans-serif"/>
          <w:b/>
          <w:i w:val="false"/>
          <w:caps w:val="false"/>
          <w:smallCaps w:val="false"/>
          <w:color w:val="000000"/>
          <w:spacing w:val="4"/>
          <w:sz w:val="22"/>
        </w:rPr>
        <w:t xml:space="preserve"> </w:t>
      </w:r>
    </w:p>
    <w:tbl>
      <w:tblPr>
        <w:tblW w:w="7201" w:type="dxa"/>
        <w:jc w:val="left"/>
        <w:tblInd w:w="900" w:type="dxa"/>
        <w:tblLayout w:type="fixed"/>
        <w:tblCellMar>
          <w:top w:w="0" w:type="dxa"/>
          <w:left w:w="0" w:type="dxa"/>
          <w:bottom w:w="28" w:type="dxa"/>
          <w:right w:w="0" w:type="dxa"/>
        </w:tblCellMar>
      </w:tblPr>
      <w:tblGrid>
        <w:gridCol w:w="3669"/>
        <w:gridCol w:w="109"/>
        <w:gridCol w:w="109"/>
        <w:gridCol w:w="1471"/>
        <w:gridCol w:w="109"/>
        <w:gridCol w:w="109"/>
        <w:gridCol w:w="1471"/>
        <w:gridCol w:w="154"/>
      </w:tblGrid>
      <w:tr>
        <w:trPr/>
        <w:tc>
          <w:tcPr>
            <w:tcW w:w="3669" w:type="dxa"/>
            <w:tcBorders>
              <w:bottom w:val="single" w:sz="2" w:space="0" w:color="1F2668"/>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1471" w:type="dxa"/>
            <w:tcBorders>
              <w:bottom w:val="single" w:sz="2" w:space="0" w:color="1F2668"/>
            </w:tcBorders>
            <w:tcMar>
              <w:bottom w:w="35" w:type="dxa"/>
            </w:tcMar>
            <w:vAlign w:val="center"/>
          </w:tcPr>
          <w:p>
            <w:pPr>
              <w:pStyle w:val="TableContents"/>
              <w:bidi w:val="0"/>
              <w:spacing w:before="0" w:after="0"/>
              <w:jc w:val="center"/>
              <w:rPr>
                <w:spacing w:val="-2"/>
              </w:rPr>
            </w:pPr>
            <w:r>
              <w:rPr>
                <w:spacing w:val="-2"/>
              </w:rPr>
              <w:t xml:space="preserve">CEO </w:t>
            </w:r>
          </w:p>
        </w:tc>
        <w:tc>
          <w:tcPr>
            <w:tcW w:w="109"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1471" w:type="dxa"/>
            <w:tcBorders>
              <w:bottom w:val="single" w:sz="2" w:space="0" w:color="1F2668"/>
            </w:tcBorders>
            <w:tcMar>
              <w:bottom w:w="35" w:type="dxa"/>
            </w:tcMar>
            <w:vAlign w:val="center"/>
          </w:tcPr>
          <w:p>
            <w:pPr>
              <w:pStyle w:val="TableContents"/>
              <w:bidi w:val="0"/>
              <w:spacing w:before="0" w:after="0"/>
              <w:jc w:val="center"/>
              <w:rPr>
                <w:spacing w:val="-2"/>
              </w:rPr>
            </w:pPr>
            <w:r>
              <w:rPr>
                <w:spacing w:val="-2"/>
              </w:rPr>
              <w:t xml:space="preserve">Other NEOs </w:t>
            </w:r>
          </w:p>
        </w:tc>
        <w:tc>
          <w:tcPr>
            <w:tcW w:w="154" w:type="dxa"/>
            <w:tcBorders>
              <w:bottom w:val="single" w:sz="12" w:space="0" w:color="FFFFFF"/>
            </w:tcBorders>
            <w:vAlign w:val="center"/>
          </w:tcPr>
          <w:p>
            <w:pPr>
              <w:pStyle w:val="TableContents"/>
              <w:bidi w:val="0"/>
              <w:spacing w:before="0" w:after="283"/>
              <w:jc w:val="left"/>
              <w:rPr/>
            </w:pPr>
            <w:r>
              <w:rPr/>
              <w:t>​</w:t>
            </w:r>
          </w:p>
        </w:tc>
      </w:tr>
      <w:tr>
        <w:trPr/>
        <w:tc>
          <w:tcPr>
            <w:tcW w:w="3669" w:type="dxa"/>
            <w:tcBorders>
              <w:bottom w:val="single" w:sz="2" w:space="0" w:color="1F2668"/>
            </w:tcBorders>
            <w:tcMar>
              <w:bottom w:w="252" w:type="dxa"/>
            </w:tcMar>
            <w:vAlign w:val="center"/>
          </w:tcPr>
          <w:p>
            <w:pPr>
              <w:pStyle w:val="TableContents"/>
              <w:bidi w:val="0"/>
              <w:spacing w:lineRule="atLeast" w:line="180" w:before="0" w:after="0"/>
              <w:jc w:val="left"/>
              <w:rPr>
                <w:b/>
              </w:rPr>
            </w:pPr>
            <w:r>
              <w:rPr>
                <w:b/>
              </w:rPr>
              <w:t>Equity Compensation</w:t>
            </w:r>
          </w:p>
          <w:p>
            <w:pPr>
              <w:pStyle w:val="TableContents"/>
              <w:bidi w:val="0"/>
              <w:spacing w:lineRule="atLeast" w:line="180" w:before="160" w:after="0"/>
              <w:ind w:left="180" w:right="0" w:hanging="0"/>
              <w:jc w:val="left"/>
              <w:rPr>
                <w:color w:val="000000"/>
                <w:spacing w:val="-2"/>
              </w:rPr>
            </w:pPr>
            <w:r>
              <w:rPr>
                <w:color w:val="000000"/>
                <w:spacing w:val="-2"/>
              </w:rPr>
              <w:t xml:space="preserve">Performance-Based Equity Awards </w:t>
            </w:r>
            <w:r>
              <mc:AlternateContent>
                <mc:Choice Requires="wps">
                  <w:drawing>
                    <wp:anchor behindDoc="0" distT="101600" distB="0" distL="0" distR="0" simplePos="0" locked="0" layoutInCell="1" allowOverlap="1" relativeHeight="603">
                      <wp:simplePos x="0" y="0"/>
                      <wp:positionH relativeFrom="column">
                        <wp:align>left</wp:align>
                      </wp:positionH>
                      <wp:positionV relativeFrom="line">
                        <wp:align>top</wp:align>
                      </wp:positionV>
                      <wp:extent cx="114300" cy="350520"/>
                      <wp:effectExtent l="0" t="0" r="0" b="0"/>
                      <wp:wrapSquare wrapText="right"/>
                      <wp:docPr id="657" name="Frame340"/>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color w:val="000000"/>
                                    </w:rPr>
                                  </w:pPr>
                                  <w:r>
                                    <w:rPr>
                                      <w:color w:val="1F2668"/>
                                      <w:spacing w:val="-2"/>
                                    </w:rPr>
                                    <w:t>•</w:t>
                                  </w:r>
                                  <w:r>
                                    <w:rPr>
                                      <w:color w:val="000000"/>
                                    </w:rPr>
                                    <w:t xml:space="preserve"> </w:t>
                                  </w:r>
                                  <w:r>
                                    <w:rPr>
                                      <w:color w:val="000000"/>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180" w:before="0" w:after="283"/>
                              <w:jc w:val="left"/>
                              <w:rPr>
                                <w:color w:val="000000"/>
                              </w:rPr>
                            </w:pPr>
                            <w:r>
                              <w:rPr>
                                <w:color w:val="1F2668"/>
                                <w:spacing w:val="-2"/>
                              </w:rPr>
                              <w:t>•</w:t>
                            </w:r>
                            <w:r>
                              <w:rPr>
                                <w:color w:val="000000"/>
                              </w:rPr>
                              <w:t xml:space="preserve"> </w:t>
                            </w:r>
                            <w:r>
                              <w:rPr>
                                <w:color w:val="000000"/>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00" w:after="0"/>
              <w:ind w:left="180" w:right="0" w:hanging="0"/>
              <w:jc w:val="left"/>
              <w:rPr>
                <w:color w:val="000000"/>
                <w:spacing w:val="-2"/>
              </w:rPr>
            </w:pPr>
            <w:r>
              <w:rPr>
                <w:color w:val="000000"/>
                <w:spacing w:val="-2"/>
              </w:rPr>
              <w:t xml:space="preserve">Time-Based Equity Awards </w:t>
            </w:r>
            <w:r>
              <mc:AlternateContent>
                <mc:Choice Requires="wps">
                  <w:drawing>
                    <wp:anchor behindDoc="0" distT="63500" distB="0" distL="0" distR="0" simplePos="0" locked="0" layoutInCell="1" allowOverlap="1" relativeHeight="604">
                      <wp:simplePos x="0" y="0"/>
                      <wp:positionH relativeFrom="column">
                        <wp:align>left</wp:align>
                      </wp:positionH>
                      <wp:positionV relativeFrom="line">
                        <wp:align>top</wp:align>
                      </wp:positionV>
                      <wp:extent cx="114300" cy="350520"/>
                      <wp:effectExtent l="0" t="0" r="0" b="0"/>
                      <wp:wrapSquare wrapText="right"/>
                      <wp:docPr id="658" name="Frame341"/>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color w:val="000000"/>
                                    </w:rPr>
                                  </w:pPr>
                                  <w:r>
                                    <w:rPr>
                                      <w:color w:val="1F2668"/>
                                      <w:spacing w:val="-2"/>
                                    </w:rPr>
                                    <w:t>•</w:t>
                                  </w:r>
                                  <w:r>
                                    <w:rPr>
                                      <w:color w:val="000000"/>
                                    </w:rPr>
                                    <w:t xml:space="preserve"> </w:t>
                                  </w:r>
                                  <w:r>
                                    <w:rPr>
                                      <w:color w:val="000000"/>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180" w:before="0" w:after="283"/>
                              <w:jc w:val="left"/>
                              <w:rPr>
                                <w:color w:val="000000"/>
                              </w:rPr>
                            </w:pPr>
                            <w:r>
                              <w:rPr>
                                <w:color w:val="1F2668"/>
                                <w:spacing w:val="-2"/>
                              </w:rPr>
                              <w:t>•</w:t>
                            </w:r>
                            <w:r>
                              <w:rPr>
                                <w:color w:val="000000"/>
                              </w:rPr>
                              <w:t xml:space="preserve"> </w:t>
                            </w:r>
                            <w:r>
                              <w:rPr>
                                <w:color w:val="000000"/>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00" w:after="0"/>
              <w:ind w:left="180" w:right="0" w:hanging="0"/>
              <w:jc w:val="left"/>
              <w:rPr>
                <w:color w:val="000000"/>
                <w:spacing w:val="-2"/>
              </w:rPr>
            </w:pPr>
            <w:r>
              <w:rPr>
                <w:color w:val="000000"/>
                <w:spacing w:val="-2"/>
              </w:rPr>
              <w:t xml:space="preserve">Annual Bonus Received in Equity, </w:t>
              <w:br/>
              <w:t xml:space="preserve">if applicable </w:t>
            </w:r>
            <w:r>
              <mc:AlternateContent>
                <mc:Choice Requires="wps">
                  <w:drawing>
                    <wp:anchor behindDoc="0" distT="63500" distB="0" distL="0" distR="0" simplePos="0" locked="0" layoutInCell="1" allowOverlap="1" relativeHeight="605">
                      <wp:simplePos x="0" y="0"/>
                      <wp:positionH relativeFrom="column">
                        <wp:align>left</wp:align>
                      </wp:positionH>
                      <wp:positionV relativeFrom="line">
                        <wp:align>top</wp:align>
                      </wp:positionV>
                      <wp:extent cx="114300" cy="350520"/>
                      <wp:effectExtent l="0" t="0" r="0" b="0"/>
                      <wp:wrapSquare wrapText="right"/>
                      <wp:docPr id="659" name="Frame342"/>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color w:val="000000"/>
                                    </w:rPr>
                                  </w:pPr>
                                  <w:r>
                                    <w:rPr>
                                      <w:color w:val="1F2668"/>
                                      <w:spacing w:val="-2"/>
                                    </w:rPr>
                                    <w:t>•</w:t>
                                  </w:r>
                                  <w:r>
                                    <w:rPr>
                                      <w:color w:val="000000"/>
                                    </w:rPr>
                                    <w:t xml:space="preserve"> </w:t>
                                  </w:r>
                                  <w:r>
                                    <w:rPr>
                                      <w:color w:val="000000"/>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20" w:before="0" w:after="283"/>
                              <w:jc w:val="left"/>
                              <w:rPr>
                                <w:color w:val="000000"/>
                              </w:rPr>
                            </w:pPr>
                            <w:r>
                              <w:rPr>
                                <w:color w:val="1F2668"/>
                                <w:spacing w:val="-2"/>
                              </w:rPr>
                              <w:t>•</w:t>
                            </w:r>
                            <w:r>
                              <w:rPr>
                                <w:color w:val="000000"/>
                              </w:rPr>
                              <w:t xml:space="preserve"> </w:t>
                            </w:r>
                            <w:r>
                              <w:rPr>
                                <w:color w:val="000000"/>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1471" w:type="dxa"/>
            <w:tcBorders>
              <w:bottom w:val="single" w:sz="2" w:space="0" w:color="1F2668"/>
            </w:tcBorders>
            <w:vAlign w:val="center"/>
          </w:tcPr>
          <w:p>
            <w:pPr>
              <w:pStyle w:val="TableContents"/>
              <w:bidi w:val="0"/>
              <w:spacing w:before="0" w:after="0"/>
              <w:jc w:val="center"/>
              <w:rPr>
                <w:sz w:val="48"/>
              </w:rPr>
            </w:pPr>
            <w:r>
              <w:rPr>
                <w:sz w:val="48"/>
              </w:rPr>
              <w:t xml:space="preserve">84.4% </w:t>
            </w:r>
          </w:p>
        </w:tc>
        <w:tc>
          <w:tcPr>
            <w:tcW w:w="109"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1471" w:type="dxa"/>
            <w:tcBorders>
              <w:bottom w:val="single" w:sz="2" w:space="0" w:color="1F2668"/>
            </w:tcBorders>
            <w:vAlign w:val="center"/>
          </w:tcPr>
          <w:p>
            <w:pPr>
              <w:pStyle w:val="TableContents"/>
              <w:bidi w:val="0"/>
              <w:spacing w:before="0" w:after="0"/>
              <w:jc w:val="center"/>
              <w:rPr>
                <w:sz w:val="48"/>
              </w:rPr>
            </w:pPr>
            <w:r>
              <w:rPr>
                <w:sz w:val="48"/>
              </w:rPr>
              <w:t xml:space="preserve">85.6% </w:t>
            </w:r>
          </w:p>
        </w:tc>
        <w:tc>
          <w:tcPr>
            <w:tcW w:w="154" w:type="dxa"/>
            <w:tcBorders>
              <w:bottom w:val="single" w:sz="12" w:space="0" w:color="FFFFFF"/>
            </w:tcBorders>
            <w:vAlign w:val="center"/>
          </w:tcPr>
          <w:p>
            <w:pPr>
              <w:pStyle w:val="TableContents"/>
              <w:bidi w:val="0"/>
              <w:spacing w:before="0" w:after="283"/>
              <w:jc w:val="left"/>
              <w:rPr/>
            </w:pPr>
            <w:r>
              <w:rPr/>
              <w:t>​</w:t>
            </w:r>
          </w:p>
        </w:tc>
      </w:tr>
      <w:tr>
        <w:trPr/>
        <w:tc>
          <w:tcPr>
            <w:tcW w:w="3669" w:type="dxa"/>
            <w:tcBorders>
              <w:bottom w:val="single" w:sz="2" w:space="0" w:color="1F2668"/>
            </w:tcBorders>
            <w:vAlign w:val="center"/>
          </w:tcPr>
          <w:p>
            <w:pPr>
              <w:pStyle w:val="TableContents"/>
              <w:bidi w:val="0"/>
              <w:spacing w:lineRule="atLeast" w:line="180" w:before="0" w:after="0"/>
              <w:jc w:val="left"/>
              <w:rPr>
                <w:b/>
                <w:sz w:val="18"/>
              </w:rPr>
            </w:pPr>
            <w:r>
              <w:rPr>
                <w:b/>
                <w:sz w:val="18"/>
              </w:rPr>
              <w:t>Cash Compensation</w:t>
            </w:r>
          </w:p>
          <w:p>
            <w:pPr>
              <w:pStyle w:val="TableContents"/>
              <w:bidi w:val="0"/>
              <w:spacing w:lineRule="atLeast" w:line="180" w:before="160" w:after="0"/>
              <w:ind w:left="180" w:right="0" w:hanging="0"/>
              <w:jc w:val="left"/>
              <w:rPr>
                <w:color w:val="000000"/>
                <w:sz w:val="18"/>
              </w:rPr>
            </w:pPr>
            <w:r>
              <w:rPr>
                <w:color w:val="000000"/>
                <w:spacing w:val="-2"/>
                <w:sz w:val="18"/>
              </w:rPr>
              <w:t>Base Salary</w:t>
            </w:r>
            <w:r>
              <w:rPr>
                <w:color w:val="000000"/>
                <w:sz w:val="18"/>
              </w:rPr>
              <w:t xml:space="preserve"> </w:t>
            </w:r>
            <w:r>
              <mc:AlternateContent>
                <mc:Choice Requires="wps">
                  <w:drawing>
                    <wp:anchor behindDoc="0" distT="101600" distB="0" distL="0" distR="0" simplePos="0" locked="0" layoutInCell="1" allowOverlap="1" relativeHeight="606">
                      <wp:simplePos x="0" y="0"/>
                      <wp:positionH relativeFrom="column">
                        <wp:align>left</wp:align>
                      </wp:positionH>
                      <wp:positionV relativeFrom="line">
                        <wp:align>top</wp:align>
                      </wp:positionV>
                      <wp:extent cx="114300" cy="350520"/>
                      <wp:effectExtent l="0" t="0" r="0" b="0"/>
                      <wp:wrapSquare wrapText="right"/>
                      <wp:docPr id="660" name="Frame343"/>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color w:val="000000"/>
                                    </w:rPr>
                                  </w:pPr>
                                  <w:r>
                                    <w:rPr>
                                      <w:color w:val="1F2668"/>
                                      <w:spacing w:val="-2"/>
                                    </w:rPr>
                                    <w:t>•</w:t>
                                  </w:r>
                                  <w:r>
                                    <w:rPr>
                                      <w:color w:val="000000"/>
                                    </w:rPr>
                                    <w:t xml:space="preserve"> </w:t>
                                  </w:r>
                                  <w:r>
                                    <w:rPr>
                                      <w:color w:val="000000"/>
                                      <w:sz w:val="18"/>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180" w:before="0" w:after="283"/>
                              <w:jc w:val="left"/>
                              <w:rPr>
                                <w:color w:val="000000"/>
                              </w:rPr>
                            </w:pPr>
                            <w:r>
                              <w:rPr>
                                <w:color w:val="1F2668"/>
                                <w:spacing w:val="-2"/>
                              </w:rPr>
                              <w:t>•</w:t>
                            </w:r>
                            <w:r>
                              <w:rPr>
                                <w:color w:val="000000"/>
                              </w:rPr>
                              <w:t xml:space="preserve"> </w:t>
                            </w:r>
                            <w:r>
                              <w:rPr>
                                <w:color w:val="000000"/>
                                <w:sz w:val="18"/>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00" w:after="0"/>
              <w:ind w:left="180" w:right="0" w:hanging="0"/>
              <w:jc w:val="left"/>
              <w:rPr>
                <w:color w:val="000000"/>
                <w:spacing w:val="-2"/>
                <w:sz w:val="18"/>
              </w:rPr>
            </w:pPr>
            <w:r>
              <w:rPr>
                <w:color w:val="000000"/>
                <w:spacing w:val="-2"/>
                <w:sz w:val="18"/>
              </w:rPr>
              <w:t xml:space="preserve">Annual Bonus Received in Cash, </w:t>
              <w:br/>
              <w:t xml:space="preserve">if applicable </w:t>
            </w:r>
            <w:r>
              <mc:AlternateContent>
                <mc:Choice Requires="wps">
                  <w:drawing>
                    <wp:anchor behindDoc="0" distT="63500" distB="0" distL="0" distR="0" simplePos="0" locked="0" layoutInCell="1" allowOverlap="1" relativeHeight="607">
                      <wp:simplePos x="0" y="0"/>
                      <wp:positionH relativeFrom="column">
                        <wp:align>left</wp:align>
                      </wp:positionH>
                      <wp:positionV relativeFrom="line">
                        <wp:align>top</wp:align>
                      </wp:positionV>
                      <wp:extent cx="114300" cy="350520"/>
                      <wp:effectExtent l="0" t="0" r="0" b="0"/>
                      <wp:wrapSquare wrapText="right"/>
                      <wp:docPr id="661" name="Frame344"/>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color w:val="000000"/>
                                    </w:rPr>
                                  </w:pPr>
                                  <w:r>
                                    <w:rPr>
                                      <w:color w:val="1F2668"/>
                                      <w:spacing w:val="-2"/>
                                    </w:rPr>
                                    <w:t>•</w:t>
                                  </w:r>
                                  <w:r>
                                    <w:rPr>
                                      <w:color w:val="000000"/>
                                    </w:rPr>
                                    <w:t xml:space="preserve"> </w:t>
                                  </w:r>
                                  <w:r>
                                    <w:rPr>
                                      <w:color w:val="000000"/>
                                      <w:sz w:val="18"/>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5pt;mso-wrap-distance-bottom:0pt;margin-top:5pt;mso-position-vertical:top;mso-position-vertical-relative:text;margin-left:9pt;mso-position-horizontal:left;mso-position-horizontal-relative:text">
                      <v:textbox>
                        <w:txbxContent>
                          <w:p>
                            <w:pPr>
                              <w:pStyle w:val="TextBody"/>
                              <w:bidi w:val="0"/>
                              <w:spacing w:lineRule="atLeast" w:line="220" w:before="0" w:after="283"/>
                              <w:jc w:val="left"/>
                              <w:rPr>
                                <w:color w:val="000000"/>
                              </w:rPr>
                            </w:pPr>
                            <w:r>
                              <w:rPr>
                                <w:color w:val="1F2668"/>
                                <w:spacing w:val="-2"/>
                              </w:rPr>
                              <w:t>•</w:t>
                            </w:r>
                            <w:r>
                              <w:rPr>
                                <w:color w:val="000000"/>
                              </w:rPr>
                              <w:t xml:space="preserve"> </w:t>
                            </w:r>
                            <w:r>
                              <w:rPr>
                                <w:color w:val="000000"/>
                                <w:sz w:val="18"/>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1471" w:type="dxa"/>
            <w:tcBorders>
              <w:bottom w:val="single" w:sz="2" w:space="0" w:color="1F2668"/>
            </w:tcBorders>
            <w:vAlign w:val="center"/>
          </w:tcPr>
          <w:p>
            <w:pPr>
              <w:pStyle w:val="TableContents"/>
              <w:bidi w:val="0"/>
              <w:spacing w:before="0" w:after="0"/>
              <w:jc w:val="center"/>
              <w:rPr/>
            </w:pPr>
            <w:r>
              <w:rPr/>
              <w:t xml:space="preserve">15.6% </w:t>
            </w:r>
          </w:p>
        </w:tc>
        <w:tc>
          <w:tcPr>
            <w:tcW w:w="109"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1471" w:type="dxa"/>
            <w:tcBorders>
              <w:bottom w:val="single" w:sz="2" w:space="0" w:color="1F2668"/>
            </w:tcBorders>
            <w:vAlign w:val="center"/>
          </w:tcPr>
          <w:p>
            <w:pPr>
              <w:pStyle w:val="TableContents"/>
              <w:bidi w:val="0"/>
              <w:spacing w:before="0" w:after="0"/>
              <w:jc w:val="center"/>
              <w:rPr/>
            </w:pPr>
            <w:r>
              <w:rPr/>
              <w:t>14.4%</w:t>
            </w:r>
          </w:p>
        </w:tc>
        <w:tc>
          <w:tcPr>
            <w:tcW w:w="154" w:type="dxa"/>
            <w:tcBorders>
              <w:bottom w:val="single" w:sz="12" w:space="0" w:color="FFFFFF"/>
            </w:tcBorders>
            <w:vAlign w:val="center"/>
          </w:tcPr>
          <w:p>
            <w:pPr>
              <w:pStyle w:val="TableContents"/>
              <w:bidi w:val="0"/>
              <w:spacing w:before="0" w:after="283"/>
              <w:jc w:val="left"/>
              <w:rPr/>
            </w:pPr>
            <w:r>
              <w:rPr/>
              <w:t>​</w:t>
            </w:r>
          </w:p>
        </w:tc>
      </w:tr>
    </w:tbl>
    <w:tbl>
      <w:tblPr>
        <w:tblW w:w="9305" w:type="dxa"/>
        <w:jc w:val="left"/>
        <w:tblInd w:w="900" w:type="dxa"/>
        <w:tblLayout w:type="fixed"/>
        <w:tblCellMar>
          <w:top w:w="0" w:type="dxa"/>
          <w:left w:w="0" w:type="dxa"/>
          <w:bottom w:w="0" w:type="dxa"/>
          <w:right w:w="0" w:type="dxa"/>
        </w:tblCellMar>
      </w:tblPr>
      <w:tblGrid>
        <w:gridCol w:w="124"/>
        <w:gridCol w:w="9027"/>
        <w:gridCol w:w="154"/>
      </w:tblGrid>
      <w:tr>
        <w:trPr/>
        <w:tc>
          <w:tcPr>
            <w:tcW w:w="124" w:type="dxa"/>
            <w:tcBorders/>
            <w:shd w:fill="E9F9D8" w:val="clear"/>
            <w:vAlign w:val="center"/>
          </w:tcPr>
          <w:p>
            <w:pPr>
              <w:pStyle w:val="TableContents"/>
              <w:bidi w:val="0"/>
              <w:spacing w:before="0" w:after="283"/>
              <w:jc w:val="left"/>
              <w:rPr/>
            </w:pPr>
            <w:r>
              <w:rPr/>
              <w:t>​</w:t>
            </w:r>
          </w:p>
        </w:tc>
        <w:tc>
          <w:tcPr>
            <w:tcW w:w="9027" w:type="dxa"/>
            <w:tcBorders/>
            <w:shd w:fill="E9F9D8" w:val="clear"/>
            <w:vAlign w:val="center"/>
          </w:tcPr>
          <w:p>
            <w:pPr>
              <w:pStyle w:val="TableContents"/>
              <w:bidi w:val="0"/>
              <w:spacing w:lineRule="atLeast" w:line="200" w:before="0" w:after="0"/>
              <w:jc w:val="left"/>
              <w:rPr/>
            </w:pPr>
            <w:r>
              <w:rPr>
                <w:b/>
                <w:spacing w:val="-2"/>
              </w:rPr>
              <w:t>Focus on incentive-based compensation aligns payouts with Company performance and stockholder value creation.</w:t>
            </w:r>
            <w:r>
              <w:rPr>
                <w:spacing w:val="-2"/>
              </w:rPr>
              <w:t xml:space="preserve"> Consistent with stockholder feedback received through our robust engagement process, we have increased equity compensation to represent </w:t>
            </w:r>
            <w:r>
              <w:rPr>
                <w:b/>
                <w:spacing w:val="-2"/>
              </w:rPr>
              <w:t>approximately 85% of the total direct compensation</w:t>
            </w:r>
            <w:r>
              <w:rPr>
                <w:spacing w:val="-2"/>
              </w:rPr>
              <w:t xml:space="preserve"> for our named executive officers. Because equity comprises such a significant proportion of total direct compensation, the Company treats it as a critical component of our executive compensation and severance program, a position that has raised almost no concern from the stockholders with whom we engaged.</w:t>
            </w:r>
            <w:r>
              <w:rPr/>
              <w:t xml:space="preserve"> </w:t>
            </w:r>
          </w:p>
        </w:tc>
        <w:tc>
          <w:tcPr>
            <w:tcW w:w="154" w:type="dxa"/>
            <w:tcBorders/>
            <w:shd w:fill="E9F9D8" w:val="clear"/>
            <w:vAlign w:val="center"/>
          </w:tcPr>
          <w:p>
            <w:pPr>
              <w:pStyle w:val="TableContents"/>
              <w:bidi w:val="0"/>
              <w:spacing w:before="0" w:after="283"/>
              <w:jc w:val="left"/>
              <w:rPr/>
            </w:pPr>
            <w:r>
              <w:rPr/>
              <w:t>​</w:t>
            </w:r>
          </w:p>
        </w:tc>
      </w:tr>
    </w:tbl>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300" w:right="0" w:hanging="0"/>
        <w:jc w:val="left"/>
        <w:rPr>
          <w:rFonts w:ascii="Arial;Helvetica;sans-serif" w:hAnsi="Arial;Helvetica;sans-serif"/>
          <w:b/>
          <w:i w:val="false"/>
          <w:caps w:val="false"/>
          <w:smallCaps w:val="false"/>
          <w:color w:val="000000"/>
          <w:spacing w:val="-2"/>
          <w:sz w:val="18"/>
        </w:rPr>
      </w:pPr>
      <w:r>
        <w:rPr>
          <w:rFonts w:ascii="Arial;Helvetica;sans-serif" w:hAnsi="Arial;Helvetica;sans-serif"/>
          <w:b/>
          <w:i w:val="false"/>
          <w:caps w:val="false"/>
          <w:smallCaps w:val="false"/>
          <w:color w:val="000000"/>
          <w:spacing w:val="-2"/>
          <w:sz w:val="18"/>
        </w:rPr>
        <w:t xml:space="preserve">Percentages exclude amounts categorized as “Other Compensation” in the Summary Compensation Table and do not reflect true-up adjustments for annual bonuses, if applicable </w:t>
      </w:r>
      <w:r>
        <mc:AlternateContent>
          <mc:Choice Requires="wps">
            <w:drawing>
              <wp:anchor behindDoc="0" distT="152400" distB="0" distL="0" distR="0" simplePos="0" locked="0" layoutInCell="1" allowOverlap="1" relativeHeight="608">
                <wp:simplePos x="0" y="0"/>
                <wp:positionH relativeFrom="column">
                  <wp:align>left</wp:align>
                </wp:positionH>
                <wp:positionV relativeFrom="line">
                  <wp:align>top</wp:align>
                </wp:positionV>
                <wp:extent cx="254000" cy="350520"/>
                <wp:effectExtent l="0" t="0" r="0" b="0"/>
                <wp:wrapSquare wrapText="right"/>
                <wp:docPr id="662" name="Frame34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b/>
                              </w:rPr>
                            </w:pPr>
                            <w:r>
                              <w:rPr>
                                <w:b/>
                                <w:spacing w:val="-2"/>
                              </w:rPr>
                              <w:t>*</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before="0" w:after="283"/>
                        <w:jc w:val="left"/>
                        <w:rPr>
                          <w:b/>
                        </w:rPr>
                      </w:pPr>
                      <w:r>
                        <w:rPr>
                          <w:b/>
                          <w:spacing w:val="-2"/>
                        </w:rPr>
                        <w:t>*</w:t>
                      </w:r>
                      <w:r>
                        <w:rPr>
                          <w:b/>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4330" w:type="dxa"/>
        <w:jc w:val="left"/>
        <w:tblInd w:w="900" w:type="dxa"/>
        <w:tblLayout w:type="fixed"/>
        <w:tblCellMar>
          <w:top w:w="0" w:type="dxa"/>
          <w:left w:w="0" w:type="dxa"/>
          <w:bottom w:w="0" w:type="dxa"/>
          <w:right w:w="0" w:type="dxa"/>
        </w:tblCellMar>
      </w:tblPr>
      <w:tblGrid>
        <w:gridCol w:w="124"/>
        <w:gridCol w:w="3488"/>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3488" w:type="dxa"/>
            <w:tcBorders/>
            <w:vAlign w:val="center"/>
          </w:tcPr>
          <w:p>
            <w:pPr>
              <w:pStyle w:val="TableContents"/>
              <w:bidi w:val="0"/>
              <w:spacing w:lineRule="atLeast" w:line="200" w:before="0" w:after="0"/>
              <w:jc w:val="left"/>
              <w:rPr/>
            </w:pPr>
            <w:r>
              <w:rPr>
                <w:spacing w:val="-2"/>
              </w:rPr>
              <w:t>EXECUTIVE COMPENSATION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color w:val="1F2668"/>
                <w:sz w:val="24"/>
              </w:rPr>
            </w:pPr>
            <w:r>
              <w:rPr>
                <w:color w:val="1F2668"/>
                <w:sz w:val="24"/>
              </w:rPr>
              <w:t>47</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300" w:before="560" w:after="154"/>
        <w:ind w:left="900" w:right="0" w:hanging="0"/>
        <w:jc w:val="left"/>
        <w:rPr>
          <w:rFonts w:ascii="Arial;Helvetica;sans-serif" w:hAnsi="Arial;Helvetica;sans-serif"/>
          <w:b/>
          <w:i w:val="false"/>
          <w:caps w:val="false"/>
          <w:smallCaps w:val="false"/>
          <w:color w:val="1F2668"/>
          <w:sz w:val="26"/>
        </w:rPr>
      </w:pPr>
      <w:r>
        <w:rPr>
          <w:rFonts w:ascii="Arial;Helvetica;sans-serif" w:hAnsi="Arial;Helvetica;sans-serif"/>
          <w:b/>
          <w:i w:val="false"/>
          <w:caps w:val="false"/>
          <w:smallCaps w:val="false"/>
          <w:color w:val="1F2668"/>
          <w:spacing w:val="-3"/>
          <w:sz w:val="26"/>
        </w:rPr>
        <w:t>Our 2025 Executive Compensation Program</w:t>
      </w:r>
      <w:r>
        <w:rPr>
          <w:rFonts w:ascii="Arial;Helvetica;sans-serif" w:hAnsi="Arial;Helvetica;sans-serif"/>
          <w:b/>
          <w:i w:val="false"/>
          <w:caps w:val="false"/>
          <w:smallCaps w:val="false"/>
          <w:color w:val="000000"/>
          <w:spacing w:val="5"/>
          <w:sz w:val="26"/>
        </w:rPr>
        <w:t xml:space="preserve"> </w:t>
      </w:r>
    </w:p>
    <w:p>
      <w:pPr>
        <w:pStyle w:val="TextBody"/>
        <w:bidi w:val="0"/>
        <w:spacing w:lineRule="atLeast" w:line="260" w:before="120" w:after="283"/>
        <w:jc w:val="left"/>
        <w:rPr>
          <w:rFonts w:ascii="Arial;Helvetica;sans-serif" w:hAnsi="Arial;Helvetica;sans-serif"/>
          <w:b/>
          <w:i w:val="false"/>
          <w:caps w:val="false"/>
          <w:smallCaps w:val="false"/>
          <w:color w:val="83AD40"/>
          <w:sz w:val="22"/>
        </w:rPr>
      </w:pPr>
      <w:r>
        <w:rPr>
          <w:rFonts w:ascii="Arial;Helvetica;sans-serif" w:hAnsi="Arial;Helvetica;sans-serif"/>
          <w:b/>
          <w:i w:val="false"/>
          <w:caps w:val="false"/>
          <w:smallCaps w:val="false"/>
          <w:color w:val="83AD40"/>
          <w:spacing w:val="-2"/>
          <w:sz w:val="22"/>
        </w:rPr>
        <w:t>Summary of 2025 Compensation</w:t>
      </w:r>
      <w:r>
        <w:rPr>
          <w:rFonts w:ascii="Arial;Helvetica;sans-serif" w:hAnsi="Arial;Helvetica;sans-serif"/>
          <w:b/>
          <w:i w:val="false"/>
          <w:caps w:val="false"/>
          <w:smallCaps w:val="false"/>
          <w:color w:val="000000"/>
          <w:spacing w:val="4"/>
          <w:sz w:val="22"/>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The Committee’s compensation decisions focus on:</w:t>
      </w:r>
      <w:r>
        <w:rPr>
          <w:rFonts w:ascii="Arial;Helvetica;sans-serif" w:hAnsi="Arial;Helvetica;sans-serif"/>
          <w:b w:val="false"/>
          <w:i w:val="false"/>
          <w:caps w:val="false"/>
          <w:smallCaps w:val="false"/>
          <w:color w:val="000000"/>
          <w:spacing w:val="4"/>
          <w:sz w:val="18"/>
        </w:rPr>
        <w:t xml:space="preserve"> </w:t>
      </w:r>
    </w:p>
    <w:tbl>
      <w:tblPr>
        <w:tblW w:w="9305" w:type="dxa"/>
        <w:jc w:val="left"/>
        <w:tblInd w:w="900" w:type="dxa"/>
        <w:tblLayout w:type="fixed"/>
        <w:tblCellMar>
          <w:top w:w="0" w:type="dxa"/>
          <w:left w:w="0" w:type="dxa"/>
          <w:bottom w:w="28" w:type="dxa"/>
          <w:right w:w="0" w:type="dxa"/>
        </w:tblCellMar>
      </w:tblPr>
      <w:tblGrid>
        <w:gridCol w:w="124"/>
        <w:gridCol w:w="3071"/>
        <w:gridCol w:w="109"/>
        <w:gridCol w:w="109"/>
        <w:gridCol w:w="109"/>
        <w:gridCol w:w="2178"/>
        <w:gridCol w:w="109"/>
        <w:gridCol w:w="109"/>
        <w:gridCol w:w="109"/>
        <w:gridCol w:w="3122"/>
        <w:gridCol w:w="156"/>
      </w:tblGrid>
      <w:tr>
        <w:trPr/>
        <w:tc>
          <w:tcPr>
            <w:tcW w:w="124" w:type="dxa"/>
            <w:tcBorders>
              <w:bottom w:val="single" w:sz="6" w:space="0" w:color="83AD40"/>
            </w:tcBorders>
            <w:vAlign w:val="center"/>
          </w:tcPr>
          <w:p>
            <w:pPr>
              <w:pStyle w:val="TableContents"/>
              <w:bidi w:val="0"/>
              <w:spacing w:before="0" w:after="283"/>
              <w:jc w:val="left"/>
              <w:rPr/>
            </w:pPr>
            <w:r>
              <w:rPr/>
              <w:t>​</w:t>
            </w:r>
          </w:p>
        </w:tc>
        <w:tc>
          <w:tcPr>
            <w:tcW w:w="3071" w:type="dxa"/>
            <w:tcBorders>
              <w:bottom w:val="single" w:sz="6" w:space="0" w:color="83AD40"/>
            </w:tcBorders>
            <w:tcMar>
              <w:bottom w:w="180" w:type="dxa"/>
            </w:tcMar>
            <w:vAlign w:val="center"/>
          </w:tcPr>
          <w:p>
            <w:pPr>
              <w:pStyle w:val="TableContents"/>
              <w:bidi w:val="0"/>
              <w:spacing w:lineRule="atLeast" w:line="220" w:before="0" w:after="0"/>
              <w:ind w:left="180" w:right="0" w:hanging="0"/>
              <w:jc w:val="left"/>
              <w:rPr/>
            </w:pPr>
            <w:r>
              <w:rPr>
                <w:spacing w:val="-2"/>
              </w:rPr>
              <w:t>Contributions by our executives to our financial and operating performance</w:t>
            </w:r>
            <w:r>
              <w:rPr/>
              <w:t xml:space="preserve"> </w:t>
            </w:r>
            <w:r>
              <mc:AlternateContent>
                <mc:Choice Requires="wps">
                  <w:drawing>
                    <wp:anchor behindDoc="0" distT="0" distB="0" distL="0" distR="0" simplePos="0" locked="0" layoutInCell="1" allowOverlap="1" relativeHeight="609">
                      <wp:simplePos x="0" y="0"/>
                      <wp:positionH relativeFrom="column">
                        <wp:align>left</wp:align>
                      </wp:positionH>
                      <wp:positionV relativeFrom="line">
                        <wp:posOffset>635</wp:posOffset>
                      </wp:positionV>
                      <wp:extent cx="114300" cy="350520"/>
                      <wp:effectExtent l="0" t="0" r="0" b="0"/>
                      <wp:wrapSquare wrapText="right"/>
                      <wp:docPr id="663" name="Frame346"/>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83AD40"/>
            </w:tcBorders>
            <w:vAlign w:val="center"/>
          </w:tcPr>
          <w:p>
            <w:pPr>
              <w:pStyle w:val="TableContents"/>
              <w:bidi w:val="0"/>
              <w:spacing w:before="0" w:after="283"/>
              <w:jc w:val="left"/>
              <w:rPr/>
            </w:pPr>
            <w:r>
              <w:rPr/>
              <w:t>​</w:t>
            </w:r>
          </w:p>
        </w:tc>
        <w:tc>
          <w:tcPr>
            <w:tcW w:w="109" w:type="dxa"/>
            <w:tcBorders>
              <w:bottom w:val="single" w:sz="2" w:space="0" w:color="83AD40"/>
            </w:tcBorders>
            <w:shd w:fill="83AD40" w:val="clear"/>
            <w:vAlign w:val="center"/>
          </w:tcPr>
          <w:p>
            <w:pPr>
              <w:pStyle w:val="TableContents"/>
              <w:bidi w:val="0"/>
              <w:spacing w:before="0" w:after="283"/>
              <w:jc w:val="left"/>
              <w:rPr/>
            </w:pPr>
            <w:r>
              <w:rPr/>
              <w:t>​</w:t>
            </w:r>
          </w:p>
        </w:tc>
        <w:tc>
          <w:tcPr>
            <w:tcW w:w="109" w:type="dxa"/>
            <w:tcBorders>
              <w:bottom w:val="single" w:sz="6" w:space="0" w:color="83AD40"/>
            </w:tcBorders>
            <w:vAlign w:val="center"/>
          </w:tcPr>
          <w:p>
            <w:pPr>
              <w:pStyle w:val="TableContents"/>
              <w:bidi w:val="0"/>
              <w:spacing w:before="0" w:after="283"/>
              <w:jc w:val="left"/>
              <w:rPr/>
            </w:pPr>
            <w:r>
              <w:rPr/>
              <w:t>​</w:t>
            </w:r>
          </w:p>
        </w:tc>
        <w:tc>
          <w:tcPr>
            <w:tcW w:w="2178" w:type="dxa"/>
            <w:tcBorders>
              <w:bottom w:val="single" w:sz="6" w:space="0" w:color="83AD40"/>
            </w:tcBorders>
            <w:tcMar>
              <w:bottom w:w="180" w:type="dxa"/>
            </w:tcMar>
            <w:vAlign w:val="center"/>
          </w:tcPr>
          <w:p>
            <w:pPr>
              <w:pStyle w:val="TableContents"/>
              <w:bidi w:val="0"/>
              <w:spacing w:lineRule="atLeast" w:line="220" w:before="0" w:after="0"/>
              <w:ind w:left="180" w:right="0" w:hanging="0"/>
              <w:jc w:val="left"/>
              <w:rPr>
                <w:b w:val="false"/>
              </w:rPr>
            </w:pPr>
            <w:r>
              <w:rPr>
                <w:b/>
                <w:spacing w:val="-2"/>
              </w:rPr>
              <w:t>The retention and motivation of key leaders</w:t>
            </w:r>
            <w:r>
              <w:rPr>
                <w:b w:val="false"/>
              </w:rPr>
              <w:t xml:space="preserve"> </w:t>
            </w:r>
            <w:r>
              <mc:AlternateContent>
                <mc:Choice Requires="wps">
                  <w:drawing>
                    <wp:anchor behindDoc="0" distT="0" distB="0" distL="0" distR="0" simplePos="0" locked="0" layoutInCell="1" allowOverlap="1" relativeHeight="610">
                      <wp:simplePos x="0" y="0"/>
                      <wp:positionH relativeFrom="column">
                        <wp:align>left</wp:align>
                      </wp:positionH>
                      <wp:positionV relativeFrom="line">
                        <wp:posOffset>635</wp:posOffset>
                      </wp:positionV>
                      <wp:extent cx="114300" cy="350520"/>
                      <wp:effectExtent l="0" t="0" r="0" b="0"/>
                      <wp:wrapSquare wrapText="right"/>
                      <wp:docPr id="664" name="Frame347"/>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 w:val="false"/>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 w:val="false"/>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83AD40"/>
            </w:tcBorders>
            <w:vAlign w:val="center"/>
          </w:tcPr>
          <w:p>
            <w:pPr>
              <w:pStyle w:val="TableContents"/>
              <w:bidi w:val="0"/>
              <w:spacing w:before="0" w:after="283"/>
              <w:jc w:val="left"/>
              <w:rPr/>
            </w:pPr>
            <w:r>
              <w:rPr/>
              <w:t>​</w:t>
            </w:r>
          </w:p>
        </w:tc>
        <w:tc>
          <w:tcPr>
            <w:tcW w:w="109" w:type="dxa"/>
            <w:tcBorders>
              <w:bottom w:val="single" w:sz="2" w:space="0" w:color="83AD40"/>
            </w:tcBorders>
            <w:shd w:fill="83AD40" w:val="clear"/>
            <w:vAlign w:val="center"/>
          </w:tcPr>
          <w:p>
            <w:pPr>
              <w:pStyle w:val="TableContents"/>
              <w:bidi w:val="0"/>
              <w:spacing w:before="0" w:after="283"/>
              <w:jc w:val="left"/>
              <w:rPr/>
            </w:pPr>
            <w:r>
              <w:rPr/>
              <w:t>​</w:t>
            </w:r>
          </w:p>
        </w:tc>
        <w:tc>
          <w:tcPr>
            <w:tcW w:w="109" w:type="dxa"/>
            <w:tcBorders>
              <w:bottom w:val="single" w:sz="6" w:space="0" w:color="83AD40"/>
            </w:tcBorders>
            <w:vAlign w:val="center"/>
          </w:tcPr>
          <w:p>
            <w:pPr>
              <w:pStyle w:val="TableContents"/>
              <w:bidi w:val="0"/>
              <w:spacing w:before="0" w:after="283"/>
              <w:jc w:val="left"/>
              <w:rPr/>
            </w:pPr>
            <w:r>
              <w:rPr/>
              <w:t>​</w:t>
            </w:r>
          </w:p>
        </w:tc>
        <w:tc>
          <w:tcPr>
            <w:tcW w:w="3122" w:type="dxa"/>
            <w:tcBorders>
              <w:bottom w:val="single" w:sz="6" w:space="0" w:color="83AD40"/>
            </w:tcBorders>
            <w:tcMar>
              <w:bottom w:w="180" w:type="dxa"/>
            </w:tcMar>
            <w:vAlign w:val="center"/>
          </w:tcPr>
          <w:p>
            <w:pPr>
              <w:pStyle w:val="TableContents"/>
              <w:bidi w:val="0"/>
              <w:spacing w:lineRule="atLeast" w:line="220" w:before="0" w:after="0"/>
              <w:ind w:left="180" w:right="0" w:hanging="0"/>
              <w:jc w:val="left"/>
              <w:rPr/>
            </w:pPr>
            <w:r>
              <w:rPr>
                <w:spacing w:val="-2"/>
              </w:rPr>
              <w:t>Aligning the economic interests of our management team with our stockholders</w:t>
            </w:r>
            <w:r>
              <w:rPr/>
              <w:t xml:space="preserve"> </w:t>
            </w:r>
            <w:r>
              <mc:AlternateContent>
                <mc:Choice Requires="wps">
                  <w:drawing>
                    <wp:anchor behindDoc="0" distT="0" distB="0" distL="0" distR="0" simplePos="0" locked="0" layoutInCell="1" allowOverlap="1" relativeHeight="611">
                      <wp:simplePos x="0" y="0"/>
                      <wp:positionH relativeFrom="column">
                        <wp:align>left</wp:align>
                      </wp:positionH>
                      <wp:positionV relativeFrom="line">
                        <wp:posOffset>635</wp:posOffset>
                      </wp:positionV>
                      <wp:extent cx="114300" cy="350520"/>
                      <wp:effectExtent l="0" t="0" r="0" b="0"/>
                      <wp:wrapSquare wrapText="right"/>
                      <wp:docPr id="665" name="Frame348"/>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6" w:type="dxa"/>
            <w:tcBorders>
              <w:bottom w:val="single" w:sz="6" w:space="0" w:color="83AD40"/>
            </w:tcBorders>
            <w:vAlign w:val="center"/>
          </w:tcPr>
          <w:p>
            <w:pPr>
              <w:pStyle w:val="TableContents"/>
              <w:bidi w:val="0"/>
              <w:spacing w:before="0" w:after="283"/>
              <w:jc w:val="left"/>
              <w:rPr/>
            </w:pPr>
            <w:r>
              <w:rPr/>
              <w:t>​</w:t>
            </w:r>
          </w:p>
        </w:tc>
      </w:tr>
    </w:tbl>
    <w:p>
      <w:pPr>
        <w:pStyle w:val="TextBody"/>
        <w:bidi w:val="0"/>
        <w:spacing w:lineRule="atLeast" w:line="220" w:before="220" w:after="283"/>
        <w:ind w:left="900" w:right="0" w:hanging="0"/>
        <w:jc w:val="left"/>
        <w:rPr>
          <w:rFonts w:ascii="Arial;Helvetica;sans-serif" w:hAnsi="Arial;Helvetica;sans-serif"/>
          <w:b/>
          <w:i w:val="false"/>
          <w:caps w:val="false"/>
          <w:smallCaps w:val="false"/>
          <w:color w:val="1F2668"/>
          <w:sz w:val="18"/>
        </w:rPr>
      </w:pPr>
      <w:r>
        <w:rPr>
          <w:rFonts w:ascii="Arial;Helvetica;sans-serif" w:hAnsi="Arial;Helvetica;sans-serif"/>
          <w:b/>
          <w:i w:val="false"/>
          <w:caps w:val="false"/>
          <w:smallCaps w:val="false"/>
          <w:color w:val="1F2668"/>
          <w:spacing w:val="-2"/>
          <w:sz w:val="18"/>
        </w:rPr>
        <w:t>TOTAL DIRECT COMPENSATION FOR 2025</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230" w:before="160" w:after="283"/>
        <w:jc w:val="left"/>
        <w:rPr>
          <w:caps w:val="false"/>
          <w:smallCaps w:val="false"/>
          <w:color w:val="000000"/>
        </w:rPr>
      </w:pPr>
      <w:r>
        <w:rPr>
          <w:caps w:val="false"/>
          <w:smallCaps w:val="false"/>
          <w:color w:val="000000"/>
          <w:spacing w:val="-2"/>
        </w:rPr>
        <w:t>“</w:t>
      </w:r>
      <w:r>
        <w:rPr>
          <w:rFonts w:ascii="Arial;Helvetica;sans-serif" w:hAnsi="Arial;Helvetica;sans-serif"/>
          <w:b w:val="false"/>
          <w:i w:val="false"/>
          <w:caps w:val="false"/>
          <w:smallCaps w:val="false"/>
          <w:color w:val="000000"/>
          <w:spacing w:val="-2"/>
          <w:sz w:val="18"/>
        </w:rPr>
        <w:t>Total Direct Compensation” reflects the actual amounts awarded by the Committee. The methodology for 2025 was generally consistent with 2024, other than the changes described under “—Elements of Compensation—Annual Bonus” with respect to certain goals, and “—Elements of Compensation—Annual Equity Awards” with respect to the weighting of and performance periods for our performance-based equity awards, with a year-over-year decrease in Total Direct Compensation for each NEO.</w:t>
      </w:r>
      <w:r>
        <w:rPr>
          <w:rFonts w:ascii="Arial;Helvetica;sans-serif" w:hAnsi="Arial;Helvetica;sans-serif"/>
          <w:b w:val="false"/>
          <w:i w:val="false"/>
          <w:caps w:val="false"/>
          <w:smallCaps w:val="false"/>
          <w:color w:val="000000"/>
          <w:spacing w:val="4"/>
          <w:sz w:val="18"/>
        </w:rPr>
        <w:t xml:space="preserve"> </w:t>
      </w:r>
    </w:p>
    <w:tbl>
      <w:tblPr>
        <w:tblW w:w="10174" w:type="dxa"/>
        <w:jc w:val="left"/>
        <w:tblInd w:w="900" w:type="dxa"/>
        <w:tblLayout w:type="fixed"/>
        <w:tblCellMar>
          <w:top w:w="0" w:type="dxa"/>
          <w:left w:w="0" w:type="dxa"/>
          <w:bottom w:w="0" w:type="dxa"/>
          <w:right w:w="0" w:type="dxa"/>
        </w:tblCellMar>
      </w:tblPr>
      <w:tblGrid>
        <w:gridCol w:w="1110"/>
        <w:gridCol w:w="109"/>
        <w:gridCol w:w="109"/>
        <w:gridCol w:w="109"/>
        <w:gridCol w:w="226"/>
        <w:gridCol w:w="1066"/>
        <w:gridCol w:w="109"/>
        <w:gridCol w:w="109"/>
        <w:gridCol w:w="109"/>
        <w:gridCol w:w="109"/>
        <w:gridCol w:w="226"/>
        <w:gridCol w:w="1096"/>
        <w:gridCol w:w="109"/>
        <w:gridCol w:w="109"/>
        <w:gridCol w:w="109"/>
        <w:gridCol w:w="109"/>
        <w:gridCol w:w="226"/>
        <w:gridCol w:w="1186"/>
        <w:gridCol w:w="109"/>
        <w:gridCol w:w="109"/>
        <w:gridCol w:w="109"/>
        <w:gridCol w:w="109"/>
        <w:gridCol w:w="226"/>
        <w:gridCol w:w="1066"/>
        <w:gridCol w:w="109"/>
        <w:gridCol w:w="109"/>
        <w:gridCol w:w="109"/>
        <w:gridCol w:w="109"/>
        <w:gridCol w:w="226"/>
        <w:gridCol w:w="1186"/>
        <w:gridCol w:w="109"/>
        <w:gridCol w:w="154"/>
      </w:tblGrid>
      <w:tr>
        <w:trPr/>
        <w:tc>
          <w:tcPr>
            <w:tcW w:w="111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692" w:type="dxa"/>
            <w:gridSpan w:val="28"/>
            <w:tcBorders>
              <w:bottom w:val="single" w:sz="2" w:space="0" w:color="1F2668"/>
            </w:tcBorders>
            <w:tcMar>
              <w:bottom w:w="70" w:type="dxa"/>
            </w:tcMar>
            <w:vAlign w:val="center"/>
          </w:tcPr>
          <w:p>
            <w:pPr>
              <w:pStyle w:val="TableContents"/>
              <w:bidi w:val="0"/>
              <w:spacing w:before="0" w:after="0"/>
              <w:jc w:val="center"/>
              <w:rPr>
                <w:spacing w:val="-2"/>
              </w:rPr>
            </w:pPr>
            <w:r>
              <w:rPr>
                <w:spacing w:val="-2"/>
              </w:rPr>
              <w:t xml:space="preserve">2025 Total Direct Compensation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110" w:type="dxa"/>
            <w:tcBorders>
              <w:bottom w:val="single" w:sz="2" w:space="0" w:color="1F2668"/>
            </w:tcBorders>
            <w:tcMar>
              <w:bottom w:w="63" w:type="dxa"/>
            </w:tcMar>
            <w:vAlign w:val="center"/>
          </w:tcPr>
          <w:p>
            <w:pPr>
              <w:pStyle w:val="TableContents"/>
              <w:bidi w:val="0"/>
              <w:spacing w:before="0" w:after="0"/>
              <w:jc w:val="left"/>
              <w:rPr>
                <w:spacing w:val="-2"/>
              </w:rPr>
            </w:pPr>
            <w:r>
              <w:rPr>
                <w:spacing w:val="-2"/>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1F2668"/>
            </w:tcBorders>
            <w:tcMar>
              <w:bottom w:w="63" w:type="dxa"/>
            </w:tcMar>
            <w:vAlign w:val="center"/>
          </w:tcPr>
          <w:p>
            <w:pPr>
              <w:pStyle w:val="TableContents"/>
              <w:bidi w:val="0"/>
              <w:spacing w:before="0" w:after="0"/>
              <w:jc w:val="right"/>
              <w:rPr/>
            </w:pPr>
            <w:r>
              <w:rPr>
                <w:spacing w:val="-2"/>
              </w:rPr>
              <w:t>Base Salary</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0" w:type="dxa"/>
            <w:gridSpan w:val="4"/>
            <w:tcBorders>
              <w:bottom w:val="single" w:sz="2" w:space="0" w:color="1F2668"/>
            </w:tcBorders>
            <w:tcMar>
              <w:bottom w:w="63" w:type="dxa"/>
            </w:tcMar>
            <w:vAlign w:val="center"/>
          </w:tcPr>
          <w:p>
            <w:pPr>
              <w:pStyle w:val="TableContents"/>
              <w:bidi w:val="0"/>
              <w:spacing w:lineRule="atLeast" w:line="142" w:before="0" w:after="0"/>
              <w:jc w:val="right"/>
              <w:rPr/>
            </w:pPr>
            <w:r>
              <w:rPr>
                <w:spacing w:val="-2"/>
              </w:rPr>
              <w:t>Annual Bonus</w:t>
            </w:r>
            <w:r>
              <w:rPr>
                <w:spacing w:val="-1"/>
                <w:sz w:val="10"/>
              </w:rPr>
              <w:t>(1)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30" w:type="dxa"/>
            <w:gridSpan w:val="4"/>
            <w:tcBorders>
              <w:bottom w:val="single" w:sz="2" w:space="0" w:color="1F2668"/>
            </w:tcBorders>
            <w:tcMar>
              <w:bottom w:w="63" w:type="dxa"/>
            </w:tcMar>
            <w:vAlign w:val="center"/>
          </w:tcPr>
          <w:p>
            <w:pPr>
              <w:pStyle w:val="TableContents"/>
              <w:bidi w:val="0"/>
              <w:spacing w:lineRule="atLeast" w:line="142" w:before="0" w:after="0"/>
              <w:jc w:val="right"/>
              <w:rPr/>
            </w:pPr>
            <w:r>
              <w:rPr>
                <w:spacing w:val="-2"/>
              </w:rPr>
              <w:t xml:space="preserve">Performance- </w:t>
              <w:br/>
              <w:t xml:space="preserve">Based Equity </w:t>
              <w:br/>
              <w:t>Awards</w:t>
            </w:r>
            <w:r>
              <w:rPr>
                <w:spacing w:val="-1"/>
                <w:sz w:val="10"/>
              </w:rPr>
              <w:t>(2)</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1F2668"/>
            </w:tcBorders>
            <w:tcMar>
              <w:bottom w:w="63" w:type="dxa"/>
            </w:tcMar>
            <w:vAlign w:val="center"/>
          </w:tcPr>
          <w:p>
            <w:pPr>
              <w:pStyle w:val="TableContents"/>
              <w:bidi w:val="0"/>
              <w:spacing w:lineRule="atLeast" w:line="142" w:before="0" w:after="0"/>
              <w:jc w:val="right"/>
              <w:rPr/>
            </w:pPr>
            <w:r>
              <w:rPr>
                <w:spacing w:val="-2"/>
              </w:rPr>
              <w:t xml:space="preserve">Time-Based </w:t>
              <w:br/>
              <w:t xml:space="preserve">Equity </w:t>
              <w:br/>
              <w:t>Awards</w:t>
            </w:r>
            <w:r>
              <w:rPr>
                <w:spacing w:val="-1"/>
                <w:sz w:val="10"/>
              </w:rPr>
              <w:t>(2)</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30" w:type="dxa"/>
            <w:gridSpan w:val="4"/>
            <w:tcBorders>
              <w:bottom w:val="single" w:sz="2" w:space="0" w:color="1F2668"/>
            </w:tcBorders>
            <w:tcMar>
              <w:bottom w:w="63" w:type="dxa"/>
            </w:tcMar>
            <w:vAlign w:val="center"/>
          </w:tcPr>
          <w:p>
            <w:pPr>
              <w:pStyle w:val="TableContents"/>
              <w:bidi w:val="0"/>
              <w:spacing w:lineRule="atLeast" w:line="142" w:before="0" w:after="0"/>
              <w:jc w:val="right"/>
              <w:rPr/>
            </w:pPr>
            <w:r>
              <w:rPr>
                <w:spacing w:val="-2"/>
              </w:rPr>
              <w:t>Total</w:t>
            </w:r>
            <w:r>
              <w:rPr>
                <w:spacing w:val="-1"/>
                <w:sz w:val="10"/>
              </w:rPr>
              <w:t>(3)</w:t>
            </w:r>
            <w:r>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110" w:type="dxa"/>
            <w:tcBorders>
              <w:bottom w:val="single" w:sz="2" w:space="0" w:color="4B5088"/>
            </w:tcBorders>
            <w:tcMar>
              <w:bottom w:w="70" w:type="dxa"/>
            </w:tcMar>
            <w:vAlign w:val="center"/>
          </w:tcPr>
          <w:p>
            <w:pPr>
              <w:pStyle w:val="TableContents"/>
              <w:bidi w:val="0"/>
              <w:spacing w:before="0" w:after="0"/>
              <w:jc w:val="left"/>
              <w:rPr>
                <w:b/>
                <w:color w:val="1F2668"/>
              </w:rPr>
            </w:pPr>
            <w:r>
              <w:rPr>
                <w:b/>
                <w:color w:val="1F2668"/>
                <w:spacing w:val="-2"/>
              </w:rPr>
              <w:t>Marc Holliday</w:t>
            </w:r>
            <w:r>
              <w:rPr>
                <w:b/>
                <w:color w:val="1F2668"/>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w:t>
            </w:r>
          </w:p>
        </w:tc>
        <w:tc>
          <w:tcPr>
            <w:tcW w:w="1066" w:type="dxa"/>
            <w:tcBorders>
              <w:bottom w:val="single" w:sz="2" w:space="0" w:color="4B5088"/>
            </w:tcBorders>
            <w:tcMar>
              <w:bottom w:w="70" w:type="dxa"/>
            </w:tcMar>
            <w:vAlign w:val="center"/>
          </w:tcPr>
          <w:p>
            <w:pPr>
              <w:pStyle w:val="TableContents"/>
              <w:bidi w:val="0"/>
              <w:spacing w:before="0" w:after="283"/>
              <w:jc w:val="right"/>
              <w:rPr/>
            </w:pPr>
            <w:r>
              <w:rPr/>
              <w:t>1,400,000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w:t>
            </w:r>
          </w:p>
        </w:tc>
        <w:tc>
          <w:tcPr>
            <w:tcW w:w="1096" w:type="dxa"/>
            <w:tcBorders>
              <w:bottom w:val="single" w:sz="2" w:space="0" w:color="4B5088"/>
            </w:tcBorders>
            <w:tcMar>
              <w:bottom w:w="70" w:type="dxa"/>
            </w:tcMar>
            <w:vAlign w:val="center"/>
          </w:tcPr>
          <w:p>
            <w:pPr>
              <w:pStyle w:val="TableContents"/>
              <w:bidi w:val="0"/>
              <w:spacing w:before="0" w:after="283"/>
              <w:jc w:val="right"/>
              <w:rPr/>
            </w:pPr>
            <w:r>
              <w:rPr/>
              <w:t>3,278,750</w:t>
            </w:r>
            <w:r>
              <w:rPr>
                <w:sz w:val="11"/>
              </w:rPr>
              <w:t>(4)</w:t>
            </w:r>
            <w:r>
              <w:rPr/>
              <w:t xml:space="preserve">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w:t>
            </w:r>
          </w:p>
        </w:tc>
        <w:tc>
          <w:tcPr>
            <w:tcW w:w="1186" w:type="dxa"/>
            <w:tcBorders>
              <w:bottom w:val="single" w:sz="2" w:space="0" w:color="4B5088"/>
            </w:tcBorders>
            <w:tcMar>
              <w:bottom w:w="70" w:type="dxa"/>
            </w:tcMar>
            <w:vAlign w:val="center"/>
          </w:tcPr>
          <w:p>
            <w:pPr>
              <w:pStyle w:val="TableContents"/>
              <w:bidi w:val="0"/>
              <w:spacing w:before="0" w:after="283"/>
              <w:jc w:val="right"/>
              <w:rPr/>
            </w:pPr>
            <w:r>
              <w:rPr/>
              <w:t>10,000,000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w:t>
            </w:r>
          </w:p>
        </w:tc>
        <w:tc>
          <w:tcPr>
            <w:tcW w:w="1066" w:type="dxa"/>
            <w:tcBorders>
              <w:bottom w:val="single" w:sz="2" w:space="0" w:color="4B5088"/>
            </w:tcBorders>
            <w:tcMar>
              <w:bottom w:w="70" w:type="dxa"/>
            </w:tcMar>
            <w:vAlign w:val="center"/>
          </w:tcPr>
          <w:p>
            <w:pPr>
              <w:pStyle w:val="TableContents"/>
              <w:bidi w:val="0"/>
              <w:spacing w:before="0" w:after="283"/>
              <w:jc w:val="right"/>
              <w:rPr/>
            </w:pPr>
            <w:r>
              <w:rPr/>
              <w:t>5,000,000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w:t>
            </w:r>
          </w:p>
        </w:tc>
        <w:tc>
          <w:tcPr>
            <w:tcW w:w="1186" w:type="dxa"/>
            <w:tcBorders>
              <w:bottom w:val="single" w:sz="2" w:space="0" w:color="4B5088"/>
            </w:tcBorders>
            <w:tcMar>
              <w:bottom w:w="70" w:type="dxa"/>
            </w:tcMar>
            <w:vAlign w:val="center"/>
          </w:tcPr>
          <w:p>
            <w:pPr>
              <w:pStyle w:val="TableContents"/>
              <w:bidi w:val="0"/>
              <w:spacing w:before="0" w:after="283"/>
              <w:jc w:val="right"/>
              <w:rPr/>
            </w:pPr>
            <w:r>
              <w:rPr/>
              <w:t>19,724,530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110" w:type="dxa"/>
            <w:tcBorders>
              <w:bottom w:val="single" w:sz="2" w:space="0" w:color="4B5088"/>
            </w:tcBorders>
            <w:tcMar>
              <w:bottom w:w="70" w:type="dxa"/>
            </w:tcMar>
            <w:vAlign w:val="center"/>
          </w:tcPr>
          <w:p>
            <w:pPr>
              <w:pStyle w:val="TableContents"/>
              <w:bidi w:val="0"/>
              <w:spacing w:before="0" w:after="0"/>
              <w:jc w:val="left"/>
              <w:rPr>
                <w:b/>
                <w:color w:val="1F2668"/>
              </w:rPr>
            </w:pPr>
            <w:r>
              <w:rPr>
                <w:b/>
                <w:color w:val="1F2668"/>
                <w:spacing w:val="-2"/>
              </w:rPr>
              <w:t>Matthew J. DiLiberto</w:t>
            </w:r>
            <w:r>
              <w:rPr>
                <w:b/>
                <w:color w:val="1F2668"/>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w:t>
            </w:r>
          </w:p>
        </w:tc>
        <w:tc>
          <w:tcPr>
            <w:tcW w:w="1066" w:type="dxa"/>
            <w:tcBorders>
              <w:bottom w:val="single" w:sz="2" w:space="0" w:color="4B5088"/>
            </w:tcBorders>
            <w:tcMar>
              <w:bottom w:w="70" w:type="dxa"/>
            </w:tcMar>
            <w:vAlign w:val="center"/>
          </w:tcPr>
          <w:p>
            <w:pPr>
              <w:pStyle w:val="TableContents"/>
              <w:bidi w:val="0"/>
              <w:spacing w:before="0" w:after="283"/>
              <w:jc w:val="right"/>
              <w:rPr/>
            </w:pPr>
            <w:r>
              <w:rPr/>
              <w:t>600,000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w:t>
            </w:r>
          </w:p>
        </w:tc>
        <w:tc>
          <w:tcPr>
            <w:tcW w:w="1096" w:type="dxa"/>
            <w:tcBorders>
              <w:bottom w:val="single" w:sz="2" w:space="0" w:color="4B5088"/>
            </w:tcBorders>
            <w:tcMar>
              <w:bottom w:w="70" w:type="dxa"/>
            </w:tcMar>
            <w:vAlign w:val="center"/>
          </w:tcPr>
          <w:p>
            <w:pPr>
              <w:pStyle w:val="TableContents"/>
              <w:bidi w:val="0"/>
              <w:spacing w:before="0" w:after="283"/>
              <w:jc w:val="right"/>
              <w:rPr/>
            </w:pPr>
            <w:r>
              <w:rPr/>
              <w:t>1,622,500</w:t>
            </w:r>
            <w:r>
              <w:rPr>
                <w:sz w:val="11"/>
              </w:rPr>
              <w:t>(4)</w:t>
            </w:r>
            <w:r>
              <w:rPr/>
              <w:t xml:space="preserve">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w:t>
            </w:r>
          </w:p>
        </w:tc>
        <w:tc>
          <w:tcPr>
            <w:tcW w:w="1186" w:type="dxa"/>
            <w:tcBorders>
              <w:bottom w:val="single" w:sz="2" w:space="0" w:color="4B5088"/>
            </w:tcBorders>
            <w:tcMar>
              <w:bottom w:w="70" w:type="dxa"/>
            </w:tcMar>
            <w:vAlign w:val="center"/>
          </w:tcPr>
          <w:p>
            <w:pPr>
              <w:pStyle w:val="TableContents"/>
              <w:bidi w:val="0"/>
              <w:spacing w:before="0" w:after="283"/>
              <w:jc w:val="right"/>
              <w:rPr/>
            </w:pPr>
            <w:r>
              <w:rPr/>
              <w:t xml:space="preserve">750,000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w:t>
            </w:r>
          </w:p>
        </w:tc>
        <w:tc>
          <w:tcPr>
            <w:tcW w:w="1066" w:type="dxa"/>
            <w:tcBorders>
              <w:bottom w:val="single" w:sz="2" w:space="0" w:color="4B5088"/>
            </w:tcBorders>
            <w:tcMar>
              <w:bottom w:w="70" w:type="dxa"/>
            </w:tcMar>
            <w:vAlign w:val="center"/>
          </w:tcPr>
          <w:p>
            <w:pPr>
              <w:pStyle w:val="TableContents"/>
              <w:bidi w:val="0"/>
              <w:spacing w:before="0" w:after="283"/>
              <w:jc w:val="right"/>
              <w:rPr/>
            </w:pPr>
            <w:r>
              <w:rPr/>
              <w:t>1,540,000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w:t>
            </w:r>
          </w:p>
        </w:tc>
        <w:tc>
          <w:tcPr>
            <w:tcW w:w="1186" w:type="dxa"/>
            <w:tcBorders>
              <w:bottom w:val="single" w:sz="2" w:space="0" w:color="4B5088"/>
            </w:tcBorders>
            <w:tcMar>
              <w:bottom w:w="70" w:type="dxa"/>
            </w:tcMar>
            <w:vAlign w:val="center"/>
          </w:tcPr>
          <w:p>
            <w:pPr>
              <w:pStyle w:val="TableContents"/>
              <w:bidi w:val="0"/>
              <w:spacing w:before="0" w:after="283"/>
              <w:jc w:val="right"/>
              <w:rPr/>
            </w:pPr>
            <w:r>
              <w:rPr/>
              <w:t xml:space="preserve">4,526,500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110" w:type="dxa"/>
            <w:tcBorders>
              <w:bottom w:val="single" w:sz="2" w:space="0" w:color="1F2668"/>
            </w:tcBorders>
            <w:tcMar>
              <w:bottom w:w="70" w:type="dxa"/>
            </w:tcMar>
            <w:vAlign w:val="center"/>
          </w:tcPr>
          <w:p>
            <w:pPr>
              <w:pStyle w:val="TableContents"/>
              <w:bidi w:val="0"/>
              <w:spacing w:before="0" w:after="0"/>
              <w:jc w:val="left"/>
              <w:rPr>
                <w:b/>
                <w:color w:val="1F2668"/>
                <w:spacing w:val="-2"/>
              </w:rPr>
            </w:pPr>
            <w:r>
              <w:rPr>
                <w:b/>
                <w:color w:val="1F2668"/>
                <w:spacing w:val="-2"/>
              </w:rPr>
              <w:t xml:space="preserve">Andrew S. Levine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226" w:type="dxa"/>
            <w:tcBorders>
              <w:bottom w:val="single" w:sz="2" w:space="0" w:color="1F2668"/>
            </w:tcBorders>
            <w:tcMar>
              <w:bottom w:w="70" w:type="dxa"/>
            </w:tcMar>
            <w:vAlign w:val="center"/>
          </w:tcPr>
          <w:p>
            <w:pPr>
              <w:pStyle w:val="TableContents"/>
              <w:bidi w:val="0"/>
              <w:spacing w:before="0" w:after="283"/>
              <w:jc w:val="right"/>
              <w:rPr/>
            </w:pPr>
            <w:r>
              <w:rPr/>
              <w:t>$</w:t>
            </w:r>
          </w:p>
        </w:tc>
        <w:tc>
          <w:tcPr>
            <w:tcW w:w="1066" w:type="dxa"/>
            <w:tcBorders>
              <w:bottom w:val="single" w:sz="2" w:space="0" w:color="1F2668"/>
            </w:tcBorders>
            <w:tcMar>
              <w:bottom w:w="70" w:type="dxa"/>
            </w:tcMar>
            <w:vAlign w:val="center"/>
          </w:tcPr>
          <w:p>
            <w:pPr>
              <w:pStyle w:val="TableContents"/>
              <w:bidi w:val="0"/>
              <w:spacing w:before="0" w:after="283"/>
              <w:jc w:val="right"/>
              <w:rPr/>
            </w:pPr>
            <w:r>
              <w:rPr/>
              <w:t>600,000</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226" w:type="dxa"/>
            <w:tcBorders>
              <w:bottom w:val="single" w:sz="2" w:space="0" w:color="1F2668"/>
            </w:tcBorders>
            <w:tcMar>
              <w:bottom w:w="70" w:type="dxa"/>
            </w:tcMar>
            <w:vAlign w:val="center"/>
          </w:tcPr>
          <w:p>
            <w:pPr>
              <w:pStyle w:val="TableContents"/>
              <w:bidi w:val="0"/>
              <w:spacing w:before="0" w:after="283"/>
              <w:jc w:val="right"/>
              <w:rPr/>
            </w:pPr>
            <w:r>
              <w:rPr/>
              <w:t>$</w:t>
            </w:r>
          </w:p>
        </w:tc>
        <w:tc>
          <w:tcPr>
            <w:tcW w:w="1096" w:type="dxa"/>
            <w:tcBorders>
              <w:bottom w:val="single" w:sz="2" w:space="0" w:color="1F2668"/>
            </w:tcBorders>
            <w:tcMar>
              <w:bottom w:w="70" w:type="dxa"/>
            </w:tcMar>
            <w:vAlign w:val="center"/>
          </w:tcPr>
          <w:p>
            <w:pPr>
              <w:pStyle w:val="TableContents"/>
              <w:bidi w:val="0"/>
              <w:spacing w:before="0" w:after="283"/>
              <w:jc w:val="right"/>
              <w:rPr/>
            </w:pPr>
            <w:r>
              <w:rPr/>
              <w:t>1,100,000</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226" w:type="dxa"/>
            <w:tcBorders>
              <w:bottom w:val="single" w:sz="2" w:space="0" w:color="1F2668"/>
            </w:tcBorders>
            <w:tcMar>
              <w:bottom w:w="70" w:type="dxa"/>
            </w:tcMar>
            <w:vAlign w:val="center"/>
          </w:tcPr>
          <w:p>
            <w:pPr>
              <w:pStyle w:val="TableContents"/>
              <w:bidi w:val="0"/>
              <w:spacing w:before="0" w:after="283"/>
              <w:jc w:val="right"/>
              <w:rPr/>
            </w:pPr>
            <w:r>
              <w:rPr/>
              <w:t>$</w:t>
            </w:r>
          </w:p>
        </w:tc>
        <w:tc>
          <w:tcPr>
            <w:tcW w:w="1186" w:type="dxa"/>
            <w:tcBorders>
              <w:bottom w:val="single" w:sz="2" w:space="0" w:color="1F2668"/>
            </w:tcBorders>
            <w:tcMar>
              <w:bottom w:w="70" w:type="dxa"/>
            </w:tcMar>
            <w:vAlign w:val="center"/>
          </w:tcPr>
          <w:p>
            <w:pPr>
              <w:pStyle w:val="TableContents"/>
              <w:bidi w:val="0"/>
              <w:spacing w:before="0" w:after="283"/>
              <w:jc w:val="right"/>
              <w:rPr/>
            </w:pPr>
            <w:r>
              <w:rPr/>
              <w:t>600,000</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226" w:type="dxa"/>
            <w:tcBorders>
              <w:bottom w:val="single" w:sz="2" w:space="0" w:color="1F2668"/>
            </w:tcBorders>
            <w:tcMar>
              <w:bottom w:w="70" w:type="dxa"/>
            </w:tcMar>
            <w:vAlign w:val="center"/>
          </w:tcPr>
          <w:p>
            <w:pPr>
              <w:pStyle w:val="TableContents"/>
              <w:bidi w:val="0"/>
              <w:spacing w:before="0" w:after="283"/>
              <w:jc w:val="right"/>
              <w:rPr/>
            </w:pPr>
            <w:r>
              <w:rPr/>
              <w:t>$</w:t>
            </w:r>
          </w:p>
        </w:tc>
        <w:tc>
          <w:tcPr>
            <w:tcW w:w="1066" w:type="dxa"/>
            <w:tcBorders>
              <w:bottom w:val="single" w:sz="2" w:space="0" w:color="1F2668"/>
            </w:tcBorders>
            <w:tcMar>
              <w:bottom w:w="70" w:type="dxa"/>
            </w:tcMar>
            <w:vAlign w:val="center"/>
          </w:tcPr>
          <w:p>
            <w:pPr>
              <w:pStyle w:val="TableContents"/>
              <w:bidi w:val="0"/>
              <w:spacing w:before="0" w:after="283"/>
              <w:jc w:val="right"/>
              <w:rPr/>
            </w:pPr>
            <w:r>
              <w:rPr/>
              <w:t>1,450,000</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226" w:type="dxa"/>
            <w:tcBorders>
              <w:bottom w:val="single" w:sz="2" w:space="0" w:color="1F2668"/>
            </w:tcBorders>
            <w:tcMar>
              <w:bottom w:w="70" w:type="dxa"/>
            </w:tcMar>
            <w:vAlign w:val="center"/>
          </w:tcPr>
          <w:p>
            <w:pPr>
              <w:pStyle w:val="TableContents"/>
              <w:bidi w:val="0"/>
              <w:spacing w:before="0" w:after="283"/>
              <w:jc w:val="right"/>
              <w:rPr/>
            </w:pPr>
            <w:r>
              <w:rPr/>
              <w:t>$</w:t>
            </w:r>
          </w:p>
        </w:tc>
        <w:tc>
          <w:tcPr>
            <w:tcW w:w="1186" w:type="dxa"/>
            <w:tcBorders>
              <w:bottom w:val="single" w:sz="2" w:space="0" w:color="1F2668"/>
            </w:tcBorders>
            <w:tcMar>
              <w:bottom w:w="70" w:type="dxa"/>
            </w:tcMar>
            <w:vAlign w:val="center"/>
          </w:tcPr>
          <w:p>
            <w:pPr>
              <w:pStyle w:val="TableContents"/>
              <w:bidi w:val="0"/>
              <w:spacing w:before="0" w:after="283"/>
              <w:jc w:val="right"/>
              <w:rPr/>
            </w:pPr>
            <w:r>
              <w:rPr/>
              <w:t>3,764,000</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240"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Determined 100% formulaically for Mr. Holliday, on a partially formulaic (60%) and partially discretionary (40%) basis for Mr. DiLiberto and on a partially formulaic (50%) and partially discretionary (50%) basis for Mr. Levine.</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52400" distB="0" distL="0" distR="0" simplePos="0" locked="0" layoutInCell="1" allowOverlap="1" relativeHeight="612">
                <wp:simplePos x="0" y="0"/>
                <wp:positionH relativeFrom="column">
                  <wp:align>left</wp:align>
                </wp:positionH>
                <wp:positionV relativeFrom="line">
                  <wp:align>top</wp:align>
                </wp:positionV>
                <wp:extent cx="254000" cy="254000"/>
                <wp:effectExtent l="0" t="0" r="0" b="0"/>
                <wp:wrapSquare wrapText="right"/>
                <wp:docPr id="666" name="Frame349"/>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2"/>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2"/>
                          <w:sz w:val="16"/>
                        </w:rPr>
                        <w:t>(1)</w:t>
                      </w:r>
                      <w:r>
                        <w:rPr>
                          <w:sz w:val="16"/>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52"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Represents notional values of equity awards. For Mr. Holliday, the “Performance-Based Equity Awards” column includes the target value of the operational outperformance modifier (the “Outperformance Modifier”) to his time-based equity award. See “—Elements of Compensation—Time-Based Equity Awards—CEO Outperformance Modifier.”</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33020" distB="0" distL="0" distR="0" simplePos="0" locked="0" layoutInCell="1" allowOverlap="1" relativeHeight="613">
                <wp:simplePos x="0" y="0"/>
                <wp:positionH relativeFrom="column">
                  <wp:align>left</wp:align>
                </wp:positionH>
                <wp:positionV relativeFrom="line">
                  <wp:align>top</wp:align>
                </wp:positionV>
                <wp:extent cx="254000" cy="254000"/>
                <wp:effectExtent l="0" t="0" r="0" b="0"/>
                <wp:wrapSquare wrapText="right"/>
                <wp:docPr id="667" name="Frame350"/>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2"/>
                                <w:sz w:val="16"/>
                              </w:rPr>
                              <w:t>(2)</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2.6pt;mso-wrap-distance-bottom:0pt;margin-top:2.6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2"/>
                          <w:sz w:val="16"/>
                        </w:rPr>
                        <w:t>(2)</w:t>
                      </w:r>
                      <w:r>
                        <w:rPr>
                          <w:sz w:val="16"/>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52"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Includes the following compensation categorized as “Other Compensation” as reflected in the Summary Compensation Table: Mr. Holliday—$45,780; Mr. DiLiberto—$14,000; and Mr. Levine—$14,000, respectively.</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33020" distB="0" distL="0" distR="0" simplePos="0" locked="0" layoutInCell="1" allowOverlap="1" relativeHeight="614">
                <wp:simplePos x="0" y="0"/>
                <wp:positionH relativeFrom="column">
                  <wp:align>left</wp:align>
                </wp:positionH>
                <wp:positionV relativeFrom="line">
                  <wp:align>top</wp:align>
                </wp:positionV>
                <wp:extent cx="254000" cy="254000"/>
                <wp:effectExtent l="0" t="0" r="0" b="0"/>
                <wp:wrapSquare wrapText="right"/>
                <wp:docPr id="668" name="Frame351"/>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2"/>
                                <w:sz w:val="16"/>
                              </w:rPr>
                              <w:t>(3)</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2.6pt;mso-wrap-distance-bottom:0pt;margin-top:2.6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2"/>
                          <w:sz w:val="16"/>
                        </w:rPr>
                        <w:t>(3)</w:t>
                      </w:r>
                      <w:r>
                        <w:rPr>
                          <w:sz w:val="16"/>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52"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Represents 2025 cash bonus amounts earned less a true-up adjustment based on actual 2024 performance. Each year, we determine the formulaic component of annual cash bonuses in December based on projected results, which may result in adjustments if actual results differ from our projections.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33020" distB="0" distL="0" distR="0" simplePos="0" locked="0" layoutInCell="1" allowOverlap="1" relativeHeight="615">
                <wp:simplePos x="0" y="0"/>
                <wp:positionH relativeFrom="column">
                  <wp:align>left</wp:align>
                </wp:positionH>
                <wp:positionV relativeFrom="line">
                  <wp:align>top</wp:align>
                </wp:positionV>
                <wp:extent cx="254000" cy="254000"/>
                <wp:effectExtent l="0" t="0" r="0" b="0"/>
                <wp:wrapSquare wrapText="right"/>
                <wp:docPr id="669" name="Frame352"/>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2"/>
                                <w:sz w:val="16"/>
                              </w:rPr>
                              <w:t>(4)</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2.6pt;mso-wrap-distance-bottom:0pt;margin-top:2.6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2"/>
                          <w:sz w:val="16"/>
                        </w:rPr>
                        <w:t>(4)</w:t>
                      </w:r>
                      <w:r>
                        <w:rPr>
                          <w:sz w:val="16"/>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60" w:before="196" w:after="283"/>
        <w:jc w:val="left"/>
        <w:rPr>
          <w:rFonts w:ascii="Arial;Helvetica;sans-serif" w:hAnsi="Arial;Helvetica;sans-serif"/>
          <w:b/>
          <w:i w:val="false"/>
          <w:caps w:val="false"/>
          <w:smallCaps w:val="false"/>
          <w:color w:val="83AD40"/>
          <w:sz w:val="22"/>
        </w:rPr>
      </w:pPr>
      <w:r>
        <w:rPr>
          <w:rFonts w:ascii="Arial;Helvetica;sans-serif" w:hAnsi="Arial;Helvetica;sans-serif"/>
          <w:b/>
          <w:i w:val="false"/>
          <w:caps w:val="false"/>
          <w:smallCaps w:val="false"/>
          <w:color w:val="83AD40"/>
          <w:spacing w:val="-2"/>
          <w:sz w:val="22"/>
        </w:rPr>
        <w:t>Elements of Compensation</w:t>
      </w:r>
      <w:r>
        <w:rPr>
          <w:rFonts w:ascii="Arial;Helvetica;sans-serif" w:hAnsi="Arial;Helvetica;sans-serif"/>
          <w:b/>
          <w:i w:val="false"/>
          <w:caps w:val="false"/>
          <w:smallCaps w:val="false"/>
          <w:color w:val="000000"/>
          <w:spacing w:val="4"/>
          <w:sz w:val="22"/>
        </w:rPr>
        <w:t xml:space="preserve"> </w:t>
      </w:r>
    </w:p>
    <w:p>
      <w:pPr>
        <w:pStyle w:val="TextBody"/>
        <w:bidi w:val="0"/>
        <w:spacing w:lineRule="atLeast" w:line="220" w:before="240" w:after="283"/>
        <w:jc w:val="left"/>
        <w:rPr>
          <w:rFonts w:ascii="Arial;Helvetica;sans-serif" w:hAnsi="Arial;Helvetica;sans-serif"/>
          <w:b/>
          <w:i w:val="false"/>
          <w:caps w:val="false"/>
          <w:smallCaps w:val="false"/>
          <w:color w:val="1F2668"/>
          <w:sz w:val="18"/>
        </w:rPr>
      </w:pPr>
      <w:r>
        <w:rPr>
          <w:rFonts w:ascii="Arial;Helvetica;sans-serif" w:hAnsi="Arial;Helvetica;sans-serif"/>
          <w:b/>
          <w:i w:val="false"/>
          <w:caps w:val="false"/>
          <w:smallCaps w:val="false"/>
          <w:color w:val="1F2668"/>
          <w:spacing w:val="-2"/>
          <w:sz w:val="18"/>
        </w:rPr>
        <w:t>ANNUAL BASE SALARY</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We believe that a competitive annual base salary is a necessary component of any compensation program that is designed to attract and retain talented and experienced executives, and reflects the scope of each NEO’s duties and responsibilities. The following table sets forth the 2024 and 2025 annual base salaries for our NEOs:</w:t>
      </w:r>
      <w:r>
        <w:rPr>
          <w:rFonts w:ascii="Arial;Helvetica;sans-serif" w:hAnsi="Arial;Helvetica;sans-serif"/>
          <w:b w:val="false"/>
          <w:i w:val="false"/>
          <w:caps w:val="false"/>
          <w:smallCaps w:val="false"/>
          <w:color w:val="000000"/>
          <w:spacing w:val="4"/>
          <w:sz w:val="18"/>
        </w:rPr>
        <w:t xml:space="preserve"> </w:t>
      </w:r>
    </w:p>
    <w:tbl>
      <w:tblPr>
        <w:tblW w:w="7379" w:type="dxa"/>
        <w:jc w:val="left"/>
        <w:tblInd w:w="900" w:type="dxa"/>
        <w:tblLayout w:type="fixed"/>
        <w:tblCellMar>
          <w:top w:w="0" w:type="dxa"/>
          <w:left w:w="0" w:type="dxa"/>
          <w:bottom w:w="63" w:type="dxa"/>
          <w:right w:w="0" w:type="dxa"/>
        </w:tblCellMar>
      </w:tblPr>
      <w:tblGrid>
        <w:gridCol w:w="2371"/>
        <w:gridCol w:w="109"/>
        <w:gridCol w:w="109"/>
        <w:gridCol w:w="109"/>
        <w:gridCol w:w="226"/>
        <w:gridCol w:w="1066"/>
        <w:gridCol w:w="109"/>
        <w:gridCol w:w="109"/>
        <w:gridCol w:w="109"/>
        <w:gridCol w:w="109"/>
        <w:gridCol w:w="226"/>
        <w:gridCol w:w="1066"/>
        <w:gridCol w:w="109"/>
        <w:gridCol w:w="109"/>
        <w:gridCol w:w="109"/>
        <w:gridCol w:w="146"/>
        <w:gridCol w:w="146"/>
        <w:gridCol w:w="740"/>
        <w:gridCol w:w="148"/>
        <w:gridCol w:w="154"/>
      </w:tblGrid>
      <w:tr>
        <w:trPr/>
        <w:tc>
          <w:tcPr>
            <w:tcW w:w="2371" w:type="dxa"/>
            <w:tcBorders>
              <w:bottom w:val="single" w:sz="2" w:space="0" w:color="1F2668"/>
            </w:tcBorders>
            <w:vAlign w:val="center"/>
          </w:tcPr>
          <w:p>
            <w:pPr>
              <w:pStyle w:val="TableContents"/>
              <w:bidi w:val="0"/>
              <w:spacing w:before="0" w:after="0"/>
              <w:jc w:val="left"/>
              <w:rPr>
                <w:spacing w:val="-2"/>
              </w:rPr>
            </w:pPr>
            <w:r>
              <w:rPr>
                <w:spacing w:val="-2"/>
              </w:rPr>
              <w:t xml:space="preserve">Executive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1F2668"/>
            </w:tcBorders>
            <w:vAlign w:val="center"/>
          </w:tcPr>
          <w:p>
            <w:pPr>
              <w:pStyle w:val="TableContents"/>
              <w:bidi w:val="0"/>
              <w:spacing w:before="0" w:after="0"/>
              <w:jc w:val="right"/>
              <w:rPr/>
            </w:pPr>
            <w:r>
              <w:rPr>
                <w:spacing w:val="-2"/>
              </w:rPr>
              <w:t xml:space="preserve">2024 </w:t>
              <w:br/>
              <w:t>Base Salary</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1F2668"/>
            </w:tcBorders>
            <w:vAlign w:val="center"/>
          </w:tcPr>
          <w:p>
            <w:pPr>
              <w:pStyle w:val="TableContents"/>
              <w:bidi w:val="0"/>
              <w:spacing w:before="0" w:after="0"/>
              <w:jc w:val="right"/>
              <w:rPr/>
            </w:pPr>
            <w:r>
              <w:rPr>
                <w:spacing w:val="-2"/>
              </w:rPr>
              <w:t xml:space="preserve">2025 </w:t>
              <w:br/>
              <w:t>Base Salary</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80" w:type="dxa"/>
            <w:gridSpan w:val="4"/>
            <w:tcBorders>
              <w:bottom w:val="single" w:sz="2" w:space="0" w:color="1F2668"/>
            </w:tcBorders>
            <w:vAlign w:val="center"/>
          </w:tcPr>
          <w:p>
            <w:pPr>
              <w:pStyle w:val="TableContents"/>
              <w:bidi w:val="0"/>
              <w:spacing w:before="0" w:after="0"/>
              <w:jc w:val="right"/>
              <w:rPr/>
            </w:pPr>
            <w:r>
              <w:rPr>
                <w:spacing w:val="-2"/>
              </w:rPr>
              <w:t xml:space="preserve">Percentage </w:t>
              <w:br/>
              <w:t>Change</w:t>
            </w:r>
            <w:r>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371" w:type="dxa"/>
            <w:tcBorders>
              <w:bottom w:val="single" w:sz="2" w:space="0" w:color="4B5088"/>
            </w:tcBorders>
            <w:tcMar>
              <w:bottom w:w="70" w:type="dxa"/>
            </w:tcMar>
            <w:vAlign w:val="center"/>
          </w:tcPr>
          <w:p>
            <w:pPr>
              <w:pStyle w:val="TableContents"/>
              <w:bidi w:val="0"/>
              <w:spacing w:before="0" w:after="0"/>
              <w:jc w:val="left"/>
              <w:rPr>
                <w:b/>
              </w:rPr>
            </w:pPr>
            <w:r>
              <w:rPr>
                <w:b/>
                <w:spacing w:val="-2"/>
              </w:rPr>
              <w:t>Marc Holliday</w:t>
            </w:r>
            <w:r>
              <w:rPr>
                <w:b/>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w:t>
            </w:r>
          </w:p>
        </w:tc>
        <w:tc>
          <w:tcPr>
            <w:tcW w:w="1066" w:type="dxa"/>
            <w:tcBorders>
              <w:bottom w:val="single" w:sz="2" w:space="0" w:color="4B5088"/>
            </w:tcBorders>
            <w:tcMar>
              <w:bottom w:w="70" w:type="dxa"/>
            </w:tcMar>
            <w:vAlign w:val="center"/>
          </w:tcPr>
          <w:p>
            <w:pPr>
              <w:pStyle w:val="TableContents"/>
              <w:bidi w:val="0"/>
              <w:spacing w:before="0" w:after="283"/>
              <w:jc w:val="right"/>
              <w:rPr/>
            </w:pPr>
            <w:r>
              <w:rPr/>
              <w:t>1,250,000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w:t>
            </w:r>
          </w:p>
        </w:tc>
        <w:tc>
          <w:tcPr>
            <w:tcW w:w="1066" w:type="dxa"/>
            <w:tcBorders>
              <w:bottom w:val="single" w:sz="2" w:space="0" w:color="4B5088"/>
            </w:tcBorders>
            <w:tcMar>
              <w:bottom w:w="70" w:type="dxa"/>
            </w:tcMar>
            <w:vAlign w:val="center"/>
          </w:tcPr>
          <w:p>
            <w:pPr>
              <w:pStyle w:val="TableContents"/>
              <w:bidi w:val="0"/>
              <w:spacing w:before="0" w:after="283"/>
              <w:jc w:val="right"/>
              <w:rPr/>
            </w:pPr>
            <w:r>
              <w:rPr/>
              <w:t>1,400,000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6" w:type="dxa"/>
            <w:tcBorders>
              <w:bottom w:val="single" w:sz="2" w:space="0" w:color="4B5088"/>
            </w:tcBorders>
            <w:tcMar>
              <w:bottom w:w="28" w:type="dxa"/>
            </w:tcMar>
            <w:vAlign w:val="center"/>
          </w:tcPr>
          <w:p>
            <w:pPr>
              <w:pStyle w:val="TableContents"/>
              <w:bidi w:val="0"/>
              <w:spacing w:before="0" w:after="283"/>
              <w:jc w:val="left"/>
              <w:rPr/>
            </w:pPr>
            <w:r>
              <w:rPr/>
              <w:t>​</w:t>
            </w:r>
          </w:p>
        </w:tc>
        <w:tc>
          <w:tcPr>
            <w:tcW w:w="146" w:type="dxa"/>
            <w:tcBorders>
              <w:bottom w:val="single" w:sz="2" w:space="0" w:color="4B5088"/>
            </w:tcBorders>
            <w:tcMar>
              <w:bottom w:w="70" w:type="dxa"/>
            </w:tcMar>
            <w:vAlign w:val="center"/>
          </w:tcPr>
          <w:p>
            <w:pPr>
              <w:pStyle w:val="TableContents"/>
              <w:bidi w:val="0"/>
              <w:spacing w:before="0" w:after="283"/>
              <w:jc w:val="right"/>
              <w:rPr/>
            </w:pPr>
            <w:r>
              <w:rPr/>
              <w:t>​</w:t>
            </w:r>
          </w:p>
        </w:tc>
        <w:tc>
          <w:tcPr>
            <w:tcW w:w="740" w:type="dxa"/>
            <w:tcBorders>
              <w:bottom w:val="single" w:sz="2" w:space="0" w:color="4B5088"/>
            </w:tcBorders>
            <w:tcMar>
              <w:bottom w:w="70" w:type="dxa"/>
            </w:tcMar>
            <w:vAlign w:val="center"/>
          </w:tcPr>
          <w:p>
            <w:pPr>
              <w:pStyle w:val="TableContents"/>
              <w:bidi w:val="0"/>
              <w:spacing w:before="0" w:after="283"/>
              <w:jc w:val="right"/>
              <w:rPr/>
            </w:pPr>
            <w:r>
              <w:rPr/>
              <w:t>12.0%</w:t>
            </w:r>
          </w:p>
        </w:tc>
        <w:tc>
          <w:tcPr>
            <w:tcW w:w="148"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371" w:type="dxa"/>
            <w:tcBorders>
              <w:bottom w:val="single" w:sz="2" w:space="0" w:color="4B5088"/>
            </w:tcBorders>
            <w:tcMar>
              <w:bottom w:w="70" w:type="dxa"/>
            </w:tcMar>
            <w:vAlign w:val="center"/>
          </w:tcPr>
          <w:p>
            <w:pPr>
              <w:pStyle w:val="TableContents"/>
              <w:bidi w:val="0"/>
              <w:spacing w:before="0" w:after="0"/>
              <w:jc w:val="left"/>
              <w:rPr>
                <w:b/>
              </w:rPr>
            </w:pPr>
            <w:r>
              <w:rPr>
                <w:b/>
                <w:spacing w:val="-2"/>
              </w:rPr>
              <w:t>Matthew J. DiLiberto</w:t>
            </w:r>
            <w:r>
              <w:rPr>
                <w:b/>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w:t>
            </w:r>
          </w:p>
        </w:tc>
        <w:tc>
          <w:tcPr>
            <w:tcW w:w="1066" w:type="dxa"/>
            <w:tcBorders>
              <w:bottom w:val="single" w:sz="2" w:space="0" w:color="4B5088"/>
            </w:tcBorders>
            <w:tcMar>
              <w:bottom w:w="70" w:type="dxa"/>
            </w:tcMar>
            <w:vAlign w:val="center"/>
          </w:tcPr>
          <w:p>
            <w:pPr>
              <w:pStyle w:val="TableContents"/>
              <w:bidi w:val="0"/>
              <w:spacing w:before="0" w:after="283"/>
              <w:jc w:val="right"/>
              <w:rPr/>
            </w:pPr>
            <w:r>
              <w:rPr/>
              <w:t>600,000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w:t>
            </w:r>
          </w:p>
        </w:tc>
        <w:tc>
          <w:tcPr>
            <w:tcW w:w="1066" w:type="dxa"/>
            <w:tcBorders>
              <w:bottom w:val="single" w:sz="2" w:space="0" w:color="4B5088"/>
            </w:tcBorders>
            <w:tcMar>
              <w:bottom w:w="70" w:type="dxa"/>
            </w:tcMar>
            <w:vAlign w:val="center"/>
          </w:tcPr>
          <w:p>
            <w:pPr>
              <w:pStyle w:val="TableContents"/>
              <w:bidi w:val="0"/>
              <w:spacing w:before="0" w:after="283"/>
              <w:jc w:val="right"/>
              <w:rPr/>
            </w:pPr>
            <w:r>
              <w:rPr/>
              <w:t>600,000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6" w:type="dxa"/>
            <w:tcBorders>
              <w:bottom w:val="single" w:sz="2" w:space="0" w:color="4B5088"/>
            </w:tcBorders>
            <w:tcMar>
              <w:bottom w:w="28" w:type="dxa"/>
            </w:tcMar>
            <w:vAlign w:val="center"/>
          </w:tcPr>
          <w:p>
            <w:pPr>
              <w:pStyle w:val="TableContents"/>
              <w:bidi w:val="0"/>
              <w:spacing w:before="0" w:after="283"/>
              <w:jc w:val="left"/>
              <w:rPr/>
            </w:pPr>
            <w:r>
              <w:rPr/>
              <w:t>​</w:t>
            </w:r>
          </w:p>
        </w:tc>
        <w:tc>
          <w:tcPr>
            <w:tcW w:w="146" w:type="dxa"/>
            <w:tcBorders>
              <w:bottom w:val="single" w:sz="2" w:space="0" w:color="4B5088"/>
            </w:tcBorders>
            <w:tcMar>
              <w:bottom w:w="70" w:type="dxa"/>
            </w:tcMar>
            <w:vAlign w:val="center"/>
          </w:tcPr>
          <w:p>
            <w:pPr>
              <w:pStyle w:val="TableContents"/>
              <w:bidi w:val="0"/>
              <w:spacing w:before="0" w:after="283"/>
              <w:jc w:val="right"/>
              <w:rPr/>
            </w:pPr>
            <w:r>
              <w:rPr/>
              <w:t>​</w:t>
            </w:r>
          </w:p>
        </w:tc>
        <w:tc>
          <w:tcPr>
            <w:tcW w:w="740" w:type="dxa"/>
            <w:tcBorders>
              <w:bottom w:val="single" w:sz="2" w:space="0" w:color="4B5088"/>
            </w:tcBorders>
            <w:tcMar>
              <w:bottom w:w="70" w:type="dxa"/>
            </w:tcMar>
            <w:vAlign w:val="center"/>
          </w:tcPr>
          <w:p>
            <w:pPr>
              <w:pStyle w:val="TableContents"/>
              <w:bidi w:val="0"/>
              <w:spacing w:before="0" w:after="283"/>
              <w:jc w:val="right"/>
              <w:rPr/>
            </w:pPr>
            <w:r>
              <w:rPr/>
              <w:t>—</w:t>
            </w:r>
          </w:p>
        </w:tc>
        <w:tc>
          <w:tcPr>
            <w:tcW w:w="148"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371" w:type="dxa"/>
            <w:tcBorders>
              <w:bottom w:val="single" w:sz="2" w:space="0" w:color="1F2668"/>
            </w:tcBorders>
            <w:tcMar>
              <w:bottom w:w="70" w:type="dxa"/>
            </w:tcMar>
            <w:vAlign w:val="center"/>
          </w:tcPr>
          <w:p>
            <w:pPr>
              <w:pStyle w:val="TableContents"/>
              <w:bidi w:val="0"/>
              <w:spacing w:before="0" w:after="0"/>
              <w:jc w:val="left"/>
              <w:rPr>
                <w:b/>
              </w:rPr>
            </w:pPr>
            <w:r>
              <w:rPr>
                <w:b/>
                <w:spacing w:val="-2"/>
              </w:rPr>
              <w:t>Andrew S. Levine</w:t>
            </w:r>
            <w:r>
              <w:rPr>
                <w:b/>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226" w:type="dxa"/>
            <w:tcBorders>
              <w:bottom w:val="single" w:sz="2" w:space="0" w:color="1F2668"/>
            </w:tcBorders>
            <w:tcMar>
              <w:bottom w:w="70" w:type="dxa"/>
            </w:tcMar>
            <w:vAlign w:val="center"/>
          </w:tcPr>
          <w:p>
            <w:pPr>
              <w:pStyle w:val="TableContents"/>
              <w:bidi w:val="0"/>
              <w:spacing w:before="0" w:after="283"/>
              <w:jc w:val="right"/>
              <w:rPr/>
            </w:pPr>
            <w:r>
              <w:rPr/>
              <w:t>$</w:t>
            </w:r>
          </w:p>
        </w:tc>
        <w:tc>
          <w:tcPr>
            <w:tcW w:w="1066" w:type="dxa"/>
            <w:tcBorders>
              <w:bottom w:val="single" w:sz="2" w:space="0" w:color="1F2668"/>
            </w:tcBorders>
            <w:tcMar>
              <w:bottom w:w="70" w:type="dxa"/>
            </w:tcMar>
            <w:vAlign w:val="center"/>
          </w:tcPr>
          <w:p>
            <w:pPr>
              <w:pStyle w:val="TableContents"/>
              <w:bidi w:val="0"/>
              <w:spacing w:before="0" w:after="283"/>
              <w:jc w:val="right"/>
              <w:rPr/>
            </w:pPr>
            <w:r>
              <w:rPr/>
              <w:t>580,000</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226" w:type="dxa"/>
            <w:tcBorders>
              <w:bottom w:val="single" w:sz="2" w:space="0" w:color="1F2668"/>
            </w:tcBorders>
            <w:tcMar>
              <w:bottom w:w="70" w:type="dxa"/>
            </w:tcMar>
            <w:vAlign w:val="center"/>
          </w:tcPr>
          <w:p>
            <w:pPr>
              <w:pStyle w:val="TableContents"/>
              <w:bidi w:val="0"/>
              <w:spacing w:before="0" w:after="283"/>
              <w:jc w:val="right"/>
              <w:rPr/>
            </w:pPr>
            <w:r>
              <w:rPr/>
              <w:t>$</w:t>
            </w:r>
          </w:p>
        </w:tc>
        <w:tc>
          <w:tcPr>
            <w:tcW w:w="1066" w:type="dxa"/>
            <w:tcBorders>
              <w:bottom w:val="single" w:sz="2" w:space="0" w:color="1F2668"/>
            </w:tcBorders>
            <w:tcMar>
              <w:bottom w:w="70" w:type="dxa"/>
            </w:tcMar>
            <w:vAlign w:val="center"/>
          </w:tcPr>
          <w:p>
            <w:pPr>
              <w:pStyle w:val="TableContents"/>
              <w:bidi w:val="0"/>
              <w:spacing w:before="0" w:after="283"/>
              <w:jc w:val="right"/>
              <w:rPr/>
            </w:pPr>
            <w:r>
              <w:rPr/>
              <w:t>600,000</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6" w:type="dxa"/>
            <w:tcBorders>
              <w:bottom w:val="single" w:sz="2" w:space="0" w:color="1F2668"/>
            </w:tcBorders>
            <w:tcMar>
              <w:bottom w:w="28" w:type="dxa"/>
            </w:tcMar>
            <w:vAlign w:val="center"/>
          </w:tcPr>
          <w:p>
            <w:pPr>
              <w:pStyle w:val="TableContents"/>
              <w:bidi w:val="0"/>
              <w:spacing w:before="0" w:after="283"/>
              <w:jc w:val="left"/>
              <w:rPr/>
            </w:pPr>
            <w:r>
              <w:rPr/>
              <w:t>​</w:t>
            </w:r>
          </w:p>
        </w:tc>
        <w:tc>
          <w:tcPr>
            <w:tcW w:w="146" w:type="dxa"/>
            <w:tcBorders>
              <w:bottom w:val="single" w:sz="2" w:space="0" w:color="1F2668"/>
            </w:tcBorders>
            <w:tcMar>
              <w:bottom w:w="70" w:type="dxa"/>
            </w:tcMar>
            <w:vAlign w:val="center"/>
          </w:tcPr>
          <w:p>
            <w:pPr>
              <w:pStyle w:val="TableContents"/>
              <w:bidi w:val="0"/>
              <w:spacing w:before="0" w:after="283"/>
              <w:jc w:val="right"/>
              <w:rPr/>
            </w:pPr>
            <w:r>
              <w:rPr/>
              <w:t>​</w:t>
            </w:r>
          </w:p>
        </w:tc>
        <w:tc>
          <w:tcPr>
            <w:tcW w:w="740" w:type="dxa"/>
            <w:tcBorders>
              <w:bottom w:val="single" w:sz="2" w:space="0" w:color="1F2668"/>
            </w:tcBorders>
            <w:tcMar>
              <w:bottom w:w="70" w:type="dxa"/>
            </w:tcMar>
            <w:vAlign w:val="center"/>
          </w:tcPr>
          <w:p>
            <w:pPr>
              <w:pStyle w:val="TableContents"/>
              <w:bidi w:val="0"/>
              <w:spacing w:before="0" w:after="283"/>
              <w:jc w:val="right"/>
              <w:rPr/>
            </w:pPr>
            <w:r>
              <w:rPr/>
              <w:t>3.4%</w:t>
            </w:r>
          </w:p>
        </w:tc>
        <w:tc>
          <w:tcPr>
            <w:tcW w:w="148" w:type="dxa"/>
            <w:tcBorders>
              <w:bottom w:val="single" w:sz="2" w:space="0" w:color="1F266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lineRule="atLeast" w:line="230" w:before="290" w:after="283"/>
        <w:ind w:left="9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The base salary for Mr. DiLiberto did not change from 2024 to 2025. The base salaries for Mr. Holliday and Mr. Levine were increased 12.0% and 3.4%, respectively, in 2025 from 2024, and Mr. DiLiberto’s base salary will be increased by 10.0% in 2026 from 2025, in each case, in connection with their new employment agreements, and based on a review of competitive market data and to reflect their contributions to the Company. The amounts for 2025 reflect the minimum amounts set forth in each executive’s employment agreement.</w:t>
      </w:r>
      <w:r>
        <w:rPr>
          <w:rFonts w:ascii="Arial;Helvetica;sans-serif" w:hAnsi="Arial;Helvetica;sans-serif"/>
          <w:b w:val="false"/>
          <w:i w:val="false"/>
          <w:caps w:val="false"/>
          <w:smallCaps w:val="false"/>
          <w:color w:val="000000"/>
          <w:spacing w:val="4"/>
          <w:sz w:val="18"/>
        </w:rPr>
        <w:t xml:space="preserve"> </w:t>
      </w:r>
    </w:p>
    <w:tbl>
      <w:tblPr>
        <w:tblW w:w="9305" w:type="dxa"/>
        <w:jc w:val="left"/>
        <w:tblInd w:w="900" w:type="dxa"/>
        <w:tblLayout w:type="fixed"/>
        <w:tblCellMar>
          <w:top w:w="0" w:type="dxa"/>
          <w:left w:w="0" w:type="dxa"/>
          <w:bottom w:w="0" w:type="dxa"/>
          <w:right w:w="0" w:type="dxa"/>
        </w:tblCellMar>
      </w:tblPr>
      <w:tblGrid>
        <w:gridCol w:w="124"/>
        <w:gridCol w:w="9027"/>
        <w:gridCol w:w="154"/>
      </w:tblGrid>
      <w:tr>
        <w:trPr/>
        <w:tc>
          <w:tcPr>
            <w:tcW w:w="124" w:type="dxa"/>
            <w:tcBorders/>
            <w:shd w:fill="E9F9D8" w:val="clear"/>
            <w:vAlign w:val="center"/>
          </w:tcPr>
          <w:p>
            <w:pPr>
              <w:pStyle w:val="TableContents"/>
              <w:bidi w:val="0"/>
              <w:spacing w:before="0" w:after="283"/>
              <w:jc w:val="left"/>
              <w:rPr/>
            </w:pPr>
            <w:r>
              <w:rPr/>
              <w:t>​</w:t>
            </w:r>
          </w:p>
        </w:tc>
        <w:tc>
          <w:tcPr>
            <w:tcW w:w="9027" w:type="dxa"/>
            <w:tcBorders/>
            <w:shd w:fill="E9F9D8" w:val="clear"/>
            <w:vAlign w:val="center"/>
          </w:tcPr>
          <w:p>
            <w:pPr>
              <w:pStyle w:val="TableContents"/>
              <w:bidi w:val="0"/>
              <w:spacing w:lineRule="atLeast" w:line="180" w:before="0" w:after="0"/>
              <w:jc w:val="left"/>
              <w:rPr/>
            </w:pPr>
            <w:r>
              <w:rPr>
                <w:spacing w:val="-2"/>
              </w:rPr>
              <w:t xml:space="preserve">Base salary, </w:t>
            </w:r>
            <w:r>
              <w:rPr>
                <w:b/>
                <w:spacing w:val="-2"/>
              </w:rPr>
              <w:t>a relatively small portion of total NEO compensation,</w:t>
            </w:r>
            <w:r>
              <w:rPr>
                <w:spacing w:val="-2"/>
              </w:rPr>
              <w:t xml:space="preserve"> remains </w:t>
            </w:r>
            <w:r>
              <w:rPr>
                <w:b/>
                <w:spacing w:val="-2"/>
              </w:rPr>
              <w:t>our only fixed component</w:t>
            </w:r>
            <w:r>
              <w:rPr>
                <w:spacing w:val="-2"/>
              </w:rPr>
              <w:t xml:space="preserve"> of pay.</w:t>
            </w:r>
            <w:r>
              <w:rPr/>
              <w:t xml:space="preserve"> </w:t>
            </w:r>
          </w:p>
        </w:tc>
        <w:tc>
          <w:tcPr>
            <w:tcW w:w="154" w:type="dxa"/>
            <w:tcBorders/>
            <w:shd w:fill="E9F9D8" w:val="clear"/>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225" w:type="dxa"/>
        <w:jc w:val="left"/>
        <w:tblInd w:w="900" w:type="dxa"/>
        <w:tblLayout w:type="fixed"/>
        <w:tblCellMar>
          <w:top w:w="0" w:type="dxa"/>
          <w:left w:w="0" w:type="dxa"/>
          <w:bottom w:w="0" w:type="dxa"/>
          <w:right w:w="0" w:type="dxa"/>
        </w:tblCellMar>
      </w:tblPr>
      <w:tblGrid>
        <w:gridCol w:w="124"/>
        <w:gridCol w:w="346"/>
        <w:gridCol w:w="109"/>
        <w:gridCol w:w="109"/>
        <w:gridCol w:w="4383"/>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48</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383" w:type="dxa"/>
            <w:tcBorders/>
            <w:vAlign w:val="center"/>
          </w:tcPr>
          <w:p>
            <w:pPr>
              <w:pStyle w:val="TableContents"/>
              <w:bidi w:val="0"/>
              <w:spacing w:lineRule="atLeast" w:line="200" w:before="0" w:after="0"/>
              <w:jc w:val="left"/>
              <w:rPr/>
            </w:pPr>
            <w:r>
              <w:rPr>
                <w:spacing w:val="-2"/>
              </w:rPr>
              <w:t>    </w:t>
            </w:r>
            <w:r>
              <w:rPr>
                <w:spacing w:val="-2"/>
                <w:sz w:val="16"/>
              </w:rPr>
              <w:t>SL GREEN REALTY CORP. 2026 PROXY STATEMENT</w:t>
            </w:r>
            <w:r>
              <w:rPr>
                <w:sz w:val="16"/>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20" w:before="560" w:after="154"/>
        <w:ind w:left="900" w:right="0" w:hanging="0"/>
        <w:jc w:val="left"/>
        <w:rPr>
          <w:rFonts w:ascii="Arial;Helvetica;sans-serif" w:hAnsi="Arial;Helvetica;sans-serif"/>
          <w:b/>
          <w:i w:val="false"/>
          <w:caps w:val="false"/>
          <w:smallCaps w:val="false"/>
          <w:color w:val="1F2668"/>
          <w:sz w:val="18"/>
        </w:rPr>
      </w:pPr>
      <w:r>
        <w:rPr>
          <w:rFonts w:ascii="Arial;Helvetica;sans-serif" w:hAnsi="Arial;Helvetica;sans-serif"/>
          <w:b/>
          <w:i w:val="false"/>
          <w:caps w:val="false"/>
          <w:smallCaps w:val="false"/>
          <w:color w:val="1F2668"/>
          <w:spacing w:val="-2"/>
          <w:sz w:val="18"/>
        </w:rPr>
        <w:t>ANNUAL BONUS</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Annual bonuses incentivize our NEOs based on the achievement of annual financial and strategic goals. Our NEOs may receive all or a portion of annual bonuses in the form of fully vested equity that is subject to a three-year no-sell restriction.</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i w:val="false"/>
          <w:caps w:val="false"/>
          <w:smallCaps w:val="false"/>
          <w:color w:val="83AD40"/>
          <w:spacing w:val="-2"/>
          <w:sz w:val="18"/>
        </w:rPr>
        <w:t>Annual Bonus Eligibility.</w:t>
      </w:r>
      <w:r>
        <w:rPr>
          <w:rFonts w:ascii="Arial;Helvetica;sans-serif" w:hAnsi="Arial;Helvetica;sans-serif"/>
          <w:b w:val="false"/>
          <w:i w:val="false"/>
          <w:caps w:val="false"/>
          <w:smallCaps w:val="false"/>
          <w:color w:val="000000"/>
          <w:spacing w:val="-2"/>
          <w:sz w:val="18"/>
        </w:rPr>
        <w:t xml:space="preserve"> The annual bonus that can be earned by each executive is set forth in such executive’s employment agreement. For 2025, each of our CEO, CFO and General Counsel were eligible to earn the following percentages of their respective base salary (with linear interpolation used to determine the percentage earned for performance that falls between threshold, target and/or maximum):</w:t>
      </w:r>
      <w:r>
        <w:rPr>
          <w:rFonts w:ascii="Arial;Helvetica;sans-serif" w:hAnsi="Arial;Helvetica;sans-serif"/>
          <w:b w:val="false"/>
          <w:i w:val="false"/>
          <w:caps w:val="false"/>
          <w:smallCaps w:val="false"/>
          <w:color w:val="000000"/>
          <w:spacing w:val="4"/>
          <w:sz w:val="18"/>
        </w:rPr>
        <w:t xml:space="preserve"> </w:t>
      </w:r>
    </w:p>
    <w:tbl>
      <w:tblPr>
        <w:tblW w:w="9305" w:type="dxa"/>
        <w:jc w:val="left"/>
        <w:tblInd w:w="900" w:type="dxa"/>
        <w:tblLayout w:type="fixed"/>
        <w:tblCellMar>
          <w:top w:w="0" w:type="dxa"/>
          <w:left w:w="0" w:type="dxa"/>
          <w:bottom w:w="0" w:type="dxa"/>
          <w:right w:w="0" w:type="dxa"/>
        </w:tblCellMar>
      </w:tblPr>
      <w:tblGrid>
        <w:gridCol w:w="2291"/>
        <w:gridCol w:w="109"/>
        <w:gridCol w:w="109"/>
        <w:gridCol w:w="109"/>
        <w:gridCol w:w="109"/>
        <w:gridCol w:w="648"/>
        <w:gridCol w:w="109"/>
        <w:gridCol w:w="109"/>
        <w:gridCol w:w="109"/>
        <w:gridCol w:w="178"/>
        <w:gridCol w:w="178"/>
        <w:gridCol w:w="568"/>
        <w:gridCol w:w="179"/>
        <w:gridCol w:w="109"/>
        <w:gridCol w:w="109"/>
        <w:gridCol w:w="109"/>
        <w:gridCol w:w="109"/>
        <w:gridCol w:w="648"/>
        <w:gridCol w:w="109"/>
        <w:gridCol w:w="109"/>
        <w:gridCol w:w="109"/>
        <w:gridCol w:w="148"/>
        <w:gridCol w:w="148"/>
        <w:gridCol w:w="673"/>
        <w:gridCol w:w="151"/>
        <w:gridCol w:w="109"/>
        <w:gridCol w:w="109"/>
        <w:gridCol w:w="256"/>
        <w:gridCol w:w="256"/>
        <w:gridCol w:w="818"/>
        <w:gridCol w:w="259"/>
        <w:gridCol w:w="162"/>
      </w:tblGrid>
      <w:tr>
        <w:trPr/>
        <w:tc>
          <w:tcPr>
            <w:tcW w:w="229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4827" w:type="dxa"/>
            <w:gridSpan w:val="22"/>
            <w:tcBorders>
              <w:bottom w:val="single" w:sz="2" w:space="0" w:color="1F2668"/>
            </w:tcBorders>
            <w:tcMar>
              <w:bottom w:w="63" w:type="dxa"/>
            </w:tcMar>
            <w:vAlign w:val="center"/>
          </w:tcPr>
          <w:p>
            <w:pPr>
              <w:pStyle w:val="TableContents"/>
              <w:bidi w:val="0"/>
              <w:spacing w:before="0" w:after="0"/>
              <w:jc w:val="center"/>
              <w:rPr>
                <w:spacing w:val="-2"/>
              </w:rPr>
            </w:pPr>
            <w:r>
              <w:rPr>
                <w:spacing w:val="-2"/>
              </w:rPr>
              <w:t xml:space="preserve">Formulaic Component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89" w:type="dxa"/>
            <w:gridSpan w:val="4"/>
            <w:tcBorders>
              <w:bottom w:val="single" w:sz="2" w:space="0" w:color="1F2668"/>
            </w:tcBorders>
            <w:tcMar>
              <w:bottom w:w="63" w:type="dxa"/>
            </w:tcMar>
            <w:vAlign w:val="center"/>
          </w:tcPr>
          <w:p>
            <w:pPr>
              <w:pStyle w:val="TableContents"/>
              <w:bidi w:val="0"/>
              <w:spacing w:before="0" w:after="0"/>
              <w:jc w:val="right"/>
              <w:rPr/>
            </w:pPr>
            <w:r>
              <w:rPr>
                <w:spacing w:val="-2"/>
              </w:rPr>
              <w:t xml:space="preserve">Non-Formulaic </w:t>
              <w:br/>
              <w:t>Component*</w:t>
            </w:r>
            <w:r>
              <w:rPr/>
              <w:t xml:space="preserve"> </w:t>
            </w:r>
          </w:p>
        </w:tc>
        <w:tc>
          <w:tcPr>
            <w:tcW w:w="162"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29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48"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634" w:type="dxa"/>
            <w:gridSpan w:val="16"/>
            <w:tcBorders>
              <w:bottom w:val="single" w:sz="2" w:space="0" w:color="1F2668"/>
            </w:tcBorders>
            <w:tcMar>
              <w:bottom w:w="70" w:type="dxa"/>
            </w:tcMar>
            <w:vAlign w:val="center"/>
          </w:tcPr>
          <w:p>
            <w:pPr>
              <w:pStyle w:val="TableContents"/>
              <w:bidi w:val="0"/>
              <w:spacing w:before="0" w:after="0"/>
              <w:jc w:val="center"/>
              <w:rPr>
                <w:spacing w:val="-2"/>
              </w:rPr>
            </w:pPr>
            <w:r>
              <w:rPr>
                <w:spacing w:val="-2"/>
              </w:rPr>
              <w:t xml:space="preserve">As a % of Base Salary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60" w:type="dxa"/>
            <w:gridSpan w:val="6"/>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229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48"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03" w:type="dxa"/>
            <w:gridSpan w:val="4"/>
            <w:tcBorders>
              <w:bottom w:val="single" w:sz="2" w:space="0" w:color="1F2668"/>
            </w:tcBorders>
            <w:tcMar>
              <w:bottom w:w="70" w:type="dxa"/>
            </w:tcMar>
            <w:vAlign w:val="center"/>
          </w:tcPr>
          <w:p>
            <w:pPr>
              <w:pStyle w:val="TableContents"/>
              <w:bidi w:val="0"/>
              <w:spacing w:before="0" w:after="0"/>
              <w:jc w:val="right"/>
              <w:rPr/>
            </w:pPr>
            <w:r>
              <w:rPr>
                <w:spacing w:val="-2"/>
              </w:rPr>
              <w:t>Threshold</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75" w:type="dxa"/>
            <w:gridSpan w:val="4"/>
            <w:tcBorders>
              <w:bottom w:val="single" w:sz="2" w:space="0" w:color="1F2668"/>
            </w:tcBorders>
            <w:tcMar>
              <w:bottom w:w="70" w:type="dxa"/>
            </w:tcMar>
            <w:vAlign w:val="center"/>
          </w:tcPr>
          <w:p>
            <w:pPr>
              <w:pStyle w:val="TableContents"/>
              <w:bidi w:val="0"/>
              <w:spacing w:before="0" w:after="0"/>
              <w:jc w:val="right"/>
              <w:rPr/>
            </w:pPr>
            <w:r>
              <w:rPr>
                <w:spacing w:val="-2"/>
              </w:rPr>
              <w:t>Target</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0" w:type="dxa"/>
            <w:gridSpan w:val="4"/>
            <w:tcBorders>
              <w:bottom w:val="single" w:sz="2" w:space="0" w:color="1F2668"/>
            </w:tcBorders>
            <w:tcMar>
              <w:bottom w:w="70" w:type="dxa"/>
            </w:tcMar>
            <w:vAlign w:val="center"/>
          </w:tcPr>
          <w:p>
            <w:pPr>
              <w:pStyle w:val="TableContents"/>
              <w:bidi w:val="0"/>
              <w:spacing w:before="0" w:after="0"/>
              <w:jc w:val="right"/>
              <w:rPr/>
            </w:pPr>
            <w:r>
              <w:rPr>
                <w:spacing w:val="-2"/>
              </w:rPr>
              <w:t>Maximum</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60" w:type="dxa"/>
            <w:gridSpan w:val="6"/>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2291" w:type="dxa"/>
            <w:tcBorders>
              <w:bottom w:val="single" w:sz="2" w:space="0" w:color="4B5088"/>
            </w:tcBorders>
            <w:tcMar>
              <w:bottom w:w="70" w:type="dxa"/>
            </w:tcMar>
            <w:vAlign w:val="center"/>
          </w:tcPr>
          <w:p>
            <w:pPr>
              <w:pStyle w:val="TableContents"/>
              <w:bidi w:val="0"/>
              <w:spacing w:before="0" w:after="0"/>
              <w:jc w:val="left"/>
              <w:rPr>
                <w:b/>
              </w:rPr>
            </w:pPr>
            <w:r>
              <w:rPr>
                <w:b/>
                <w:spacing w:val="-2"/>
              </w:rPr>
              <w:t>Marc Holliday</w:t>
            </w:r>
            <w:r>
              <w:rPr>
                <w:b/>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648" w:type="dxa"/>
            <w:tcBorders>
              <w:bottom w:val="single" w:sz="2" w:space="0" w:color="4B5088"/>
            </w:tcBorders>
            <w:tcMar>
              <w:bottom w:w="70" w:type="dxa"/>
            </w:tcMar>
            <w:vAlign w:val="center"/>
          </w:tcPr>
          <w:p>
            <w:pPr>
              <w:pStyle w:val="TableContents"/>
              <w:bidi w:val="0"/>
              <w:spacing w:before="0" w:after="283"/>
              <w:jc w:val="right"/>
              <w:rPr/>
            </w:pPr>
            <w:r>
              <w:rPr/>
              <w:t>100%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78" w:type="dxa"/>
            <w:tcBorders>
              <w:bottom w:val="single" w:sz="2" w:space="0" w:color="4B5088"/>
            </w:tcBorders>
            <w:tcMar>
              <w:bottom w:w="28" w:type="dxa"/>
            </w:tcMar>
            <w:vAlign w:val="center"/>
          </w:tcPr>
          <w:p>
            <w:pPr>
              <w:pStyle w:val="TableContents"/>
              <w:bidi w:val="0"/>
              <w:spacing w:before="0" w:after="283"/>
              <w:jc w:val="left"/>
              <w:rPr/>
            </w:pPr>
            <w:r>
              <w:rPr/>
              <w:t>​</w:t>
            </w:r>
          </w:p>
        </w:tc>
        <w:tc>
          <w:tcPr>
            <w:tcW w:w="178" w:type="dxa"/>
            <w:tcBorders>
              <w:bottom w:val="single" w:sz="2" w:space="0" w:color="4B5088"/>
            </w:tcBorders>
            <w:tcMar>
              <w:bottom w:w="70" w:type="dxa"/>
            </w:tcMar>
            <w:vAlign w:val="center"/>
          </w:tcPr>
          <w:p>
            <w:pPr>
              <w:pStyle w:val="TableContents"/>
              <w:bidi w:val="0"/>
              <w:spacing w:before="0" w:after="283"/>
              <w:jc w:val="right"/>
              <w:rPr/>
            </w:pPr>
            <w:r>
              <w:rPr/>
              <w:t>​</w:t>
            </w:r>
          </w:p>
        </w:tc>
        <w:tc>
          <w:tcPr>
            <w:tcW w:w="568" w:type="dxa"/>
            <w:tcBorders>
              <w:bottom w:val="single" w:sz="2" w:space="0" w:color="4B5088"/>
            </w:tcBorders>
            <w:tcMar>
              <w:bottom w:w="70" w:type="dxa"/>
            </w:tcMar>
            <w:vAlign w:val="center"/>
          </w:tcPr>
          <w:p>
            <w:pPr>
              <w:pStyle w:val="TableContents"/>
              <w:bidi w:val="0"/>
              <w:spacing w:before="0" w:after="283"/>
              <w:jc w:val="right"/>
              <w:rPr/>
            </w:pPr>
            <w:r>
              <w:rPr/>
              <w:t>50%</w:t>
            </w:r>
          </w:p>
        </w:tc>
        <w:tc>
          <w:tcPr>
            <w:tcW w:w="17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648" w:type="dxa"/>
            <w:tcBorders>
              <w:bottom w:val="single" w:sz="2" w:space="0" w:color="4B5088"/>
            </w:tcBorders>
            <w:tcMar>
              <w:bottom w:w="70" w:type="dxa"/>
            </w:tcMar>
            <w:vAlign w:val="center"/>
          </w:tcPr>
          <w:p>
            <w:pPr>
              <w:pStyle w:val="TableContents"/>
              <w:bidi w:val="0"/>
              <w:spacing w:before="0" w:after="283"/>
              <w:jc w:val="right"/>
              <w:rPr/>
            </w:pPr>
            <w:r>
              <w:rPr/>
              <w:t>200%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8" w:type="dxa"/>
            <w:tcBorders>
              <w:bottom w:val="single" w:sz="2" w:space="0" w:color="4B5088"/>
            </w:tcBorders>
            <w:tcMar>
              <w:bottom w:w="28" w:type="dxa"/>
            </w:tcMar>
            <w:vAlign w:val="center"/>
          </w:tcPr>
          <w:p>
            <w:pPr>
              <w:pStyle w:val="TableContents"/>
              <w:bidi w:val="0"/>
              <w:spacing w:before="0" w:after="283"/>
              <w:jc w:val="left"/>
              <w:rPr/>
            </w:pPr>
            <w:r>
              <w:rPr/>
              <w:t>​</w:t>
            </w:r>
          </w:p>
        </w:tc>
        <w:tc>
          <w:tcPr>
            <w:tcW w:w="148" w:type="dxa"/>
            <w:tcBorders>
              <w:bottom w:val="single" w:sz="2" w:space="0" w:color="4B5088"/>
            </w:tcBorders>
            <w:tcMar>
              <w:bottom w:w="70" w:type="dxa"/>
            </w:tcMar>
            <w:vAlign w:val="center"/>
          </w:tcPr>
          <w:p>
            <w:pPr>
              <w:pStyle w:val="TableContents"/>
              <w:bidi w:val="0"/>
              <w:spacing w:before="0" w:after="283"/>
              <w:jc w:val="right"/>
              <w:rPr/>
            </w:pPr>
            <w:r>
              <w:rPr/>
              <w:t>​</w:t>
            </w:r>
          </w:p>
        </w:tc>
        <w:tc>
          <w:tcPr>
            <w:tcW w:w="673" w:type="dxa"/>
            <w:tcBorders>
              <w:bottom w:val="single" w:sz="2" w:space="0" w:color="4B5088"/>
            </w:tcBorders>
            <w:tcMar>
              <w:bottom w:w="70" w:type="dxa"/>
            </w:tcMar>
            <w:vAlign w:val="center"/>
          </w:tcPr>
          <w:p>
            <w:pPr>
              <w:pStyle w:val="TableContents"/>
              <w:bidi w:val="0"/>
              <w:spacing w:before="0" w:after="283"/>
              <w:jc w:val="right"/>
              <w:rPr/>
            </w:pPr>
            <w:r>
              <w:rPr/>
              <w:t>400%</w:t>
            </w:r>
          </w:p>
        </w:tc>
        <w:tc>
          <w:tcPr>
            <w:tcW w:w="151"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56" w:type="dxa"/>
            <w:tcBorders>
              <w:bottom w:val="single" w:sz="2" w:space="0" w:color="4B5088"/>
            </w:tcBorders>
            <w:tcMar>
              <w:bottom w:w="28" w:type="dxa"/>
            </w:tcMar>
            <w:vAlign w:val="center"/>
          </w:tcPr>
          <w:p>
            <w:pPr>
              <w:pStyle w:val="TableContents"/>
              <w:bidi w:val="0"/>
              <w:spacing w:before="0" w:after="283"/>
              <w:jc w:val="left"/>
              <w:rPr/>
            </w:pPr>
            <w:r>
              <w:rPr/>
              <w:t>​</w:t>
            </w:r>
          </w:p>
        </w:tc>
        <w:tc>
          <w:tcPr>
            <w:tcW w:w="256" w:type="dxa"/>
            <w:tcBorders>
              <w:bottom w:val="single" w:sz="2" w:space="0" w:color="4B5088"/>
            </w:tcBorders>
            <w:tcMar>
              <w:bottom w:w="70" w:type="dxa"/>
            </w:tcMar>
            <w:vAlign w:val="center"/>
          </w:tcPr>
          <w:p>
            <w:pPr>
              <w:pStyle w:val="TableContents"/>
              <w:bidi w:val="0"/>
              <w:spacing w:before="0" w:after="283"/>
              <w:jc w:val="right"/>
              <w:rPr/>
            </w:pPr>
            <w:r>
              <w:rPr/>
              <w:t>​</w:t>
            </w:r>
          </w:p>
        </w:tc>
        <w:tc>
          <w:tcPr>
            <w:tcW w:w="818" w:type="dxa"/>
            <w:tcBorders>
              <w:bottom w:val="single" w:sz="2" w:space="0" w:color="4B5088"/>
            </w:tcBorders>
            <w:tcMar>
              <w:bottom w:w="70" w:type="dxa"/>
            </w:tcMar>
            <w:vAlign w:val="center"/>
          </w:tcPr>
          <w:p>
            <w:pPr>
              <w:pStyle w:val="TableContents"/>
              <w:bidi w:val="0"/>
              <w:spacing w:before="0" w:after="283"/>
              <w:jc w:val="right"/>
              <w:rPr/>
            </w:pPr>
            <w:r>
              <w:rPr/>
              <w:t>—</w:t>
            </w:r>
          </w:p>
        </w:tc>
        <w:tc>
          <w:tcPr>
            <w:tcW w:w="259" w:type="dxa"/>
            <w:tcBorders>
              <w:bottom w:val="single" w:sz="2" w:space="0" w:color="4B5088"/>
            </w:tcBorders>
            <w:tcMar>
              <w:bottom w:w="28" w:type="dxa"/>
            </w:tcMar>
            <w:vAlign w:val="center"/>
          </w:tcPr>
          <w:p>
            <w:pPr>
              <w:pStyle w:val="TableContents"/>
              <w:bidi w:val="0"/>
              <w:spacing w:before="0" w:after="283"/>
              <w:jc w:val="left"/>
              <w:rPr/>
            </w:pPr>
            <w:r>
              <w:rPr/>
              <w:t>​</w:t>
            </w:r>
          </w:p>
        </w:tc>
        <w:tc>
          <w:tcPr>
            <w:tcW w:w="162"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291" w:type="dxa"/>
            <w:tcBorders>
              <w:bottom w:val="single" w:sz="2" w:space="0" w:color="4B5088"/>
            </w:tcBorders>
            <w:tcMar>
              <w:bottom w:w="70" w:type="dxa"/>
            </w:tcMar>
            <w:vAlign w:val="center"/>
          </w:tcPr>
          <w:p>
            <w:pPr>
              <w:pStyle w:val="TableContents"/>
              <w:bidi w:val="0"/>
              <w:spacing w:before="0" w:after="0"/>
              <w:jc w:val="left"/>
              <w:rPr>
                <w:b/>
              </w:rPr>
            </w:pPr>
            <w:r>
              <w:rPr>
                <w:b/>
                <w:spacing w:val="-2"/>
              </w:rPr>
              <w:t>Matthew J. DiLiberto</w:t>
            </w:r>
            <w:r>
              <w:rPr>
                <w:b/>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648" w:type="dxa"/>
            <w:tcBorders>
              <w:bottom w:val="single" w:sz="2" w:space="0" w:color="4B5088"/>
            </w:tcBorders>
            <w:tcMar>
              <w:bottom w:w="70" w:type="dxa"/>
            </w:tcMar>
            <w:vAlign w:val="center"/>
          </w:tcPr>
          <w:p>
            <w:pPr>
              <w:pStyle w:val="TableContents"/>
              <w:bidi w:val="0"/>
              <w:spacing w:before="0" w:after="283"/>
              <w:jc w:val="right"/>
              <w:rPr/>
            </w:pPr>
            <w:r>
              <w:rPr/>
              <w:t>60%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78" w:type="dxa"/>
            <w:tcBorders>
              <w:bottom w:val="single" w:sz="2" w:space="0" w:color="4B5088"/>
            </w:tcBorders>
            <w:tcMar>
              <w:bottom w:w="28" w:type="dxa"/>
            </w:tcMar>
            <w:vAlign w:val="center"/>
          </w:tcPr>
          <w:p>
            <w:pPr>
              <w:pStyle w:val="TableContents"/>
              <w:bidi w:val="0"/>
              <w:spacing w:before="0" w:after="283"/>
              <w:jc w:val="left"/>
              <w:rPr/>
            </w:pPr>
            <w:r>
              <w:rPr/>
              <w:t>​</w:t>
            </w:r>
          </w:p>
        </w:tc>
        <w:tc>
          <w:tcPr>
            <w:tcW w:w="178" w:type="dxa"/>
            <w:tcBorders>
              <w:bottom w:val="single" w:sz="2" w:space="0" w:color="4B5088"/>
            </w:tcBorders>
            <w:tcMar>
              <w:bottom w:w="70" w:type="dxa"/>
            </w:tcMar>
            <w:vAlign w:val="center"/>
          </w:tcPr>
          <w:p>
            <w:pPr>
              <w:pStyle w:val="TableContents"/>
              <w:bidi w:val="0"/>
              <w:spacing w:before="0" w:after="283"/>
              <w:jc w:val="right"/>
              <w:rPr/>
            </w:pPr>
            <w:r>
              <w:rPr/>
              <w:t>​</w:t>
            </w:r>
          </w:p>
        </w:tc>
        <w:tc>
          <w:tcPr>
            <w:tcW w:w="568" w:type="dxa"/>
            <w:tcBorders>
              <w:bottom w:val="single" w:sz="2" w:space="0" w:color="4B5088"/>
            </w:tcBorders>
            <w:tcMar>
              <w:bottom w:w="70" w:type="dxa"/>
            </w:tcMar>
            <w:vAlign w:val="center"/>
          </w:tcPr>
          <w:p>
            <w:pPr>
              <w:pStyle w:val="TableContents"/>
              <w:bidi w:val="0"/>
              <w:spacing w:before="0" w:after="283"/>
              <w:jc w:val="right"/>
              <w:rPr/>
            </w:pPr>
            <w:r>
              <w:rPr/>
              <w:t>50%</w:t>
            </w:r>
          </w:p>
        </w:tc>
        <w:tc>
          <w:tcPr>
            <w:tcW w:w="17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648" w:type="dxa"/>
            <w:tcBorders>
              <w:bottom w:val="single" w:sz="2" w:space="0" w:color="4B5088"/>
            </w:tcBorders>
            <w:tcMar>
              <w:bottom w:w="70" w:type="dxa"/>
            </w:tcMar>
            <w:vAlign w:val="center"/>
          </w:tcPr>
          <w:p>
            <w:pPr>
              <w:pStyle w:val="TableContents"/>
              <w:bidi w:val="0"/>
              <w:spacing w:before="0" w:after="283"/>
              <w:jc w:val="right"/>
              <w:rPr/>
            </w:pPr>
            <w:r>
              <w:rPr/>
              <w:t>175%</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8" w:type="dxa"/>
            <w:tcBorders>
              <w:bottom w:val="single" w:sz="2" w:space="0" w:color="4B5088"/>
            </w:tcBorders>
            <w:tcMar>
              <w:bottom w:w="28" w:type="dxa"/>
            </w:tcMar>
            <w:vAlign w:val="center"/>
          </w:tcPr>
          <w:p>
            <w:pPr>
              <w:pStyle w:val="TableContents"/>
              <w:bidi w:val="0"/>
              <w:spacing w:before="0" w:after="283"/>
              <w:jc w:val="left"/>
              <w:rPr/>
            </w:pPr>
            <w:r>
              <w:rPr/>
              <w:t>​</w:t>
            </w:r>
          </w:p>
        </w:tc>
        <w:tc>
          <w:tcPr>
            <w:tcW w:w="148" w:type="dxa"/>
            <w:tcBorders>
              <w:bottom w:val="single" w:sz="2" w:space="0" w:color="4B5088"/>
            </w:tcBorders>
            <w:tcMar>
              <w:bottom w:w="70" w:type="dxa"/>
            </w:tcMar>
            <w:vAlign w:val="center"/>
          </w:tcPr>
          <w:p>
            <w:pPr>
              <w:pStyle w:val="TableContents"/>
              <w:bidi w:val="0"/>
              <w:spacing w:before="0" w:after="283"/>
              <w:jc w:val="right"/>
              <w:rPr/>
            </w:pPr>
            <w:r>
              <w:rPr/>
              <w:t>​</w:t>
            </w:r>
          </w:p>
        </w:tc>
        <w:tc>
          <w:tcPr>
            <w:tcW w:w="673" w:type="dxa"/>
            <w:tcBorders>
              <w:bottom w:val="single" w:sz="2" w:space="0" w:color="4B5088"/>
            </w:tcBorders>
            <w:tcMar>
              <w:bottom w:w="70" w:type="dxa"/>
            </w:tcMar>
            <w:vAlign w:val="center"/>
          </w:tcPr>
          <w:p>
            <w:pPr>
              <w:pStyle w:val="TableContents"/>
              <w:bidi w:val="0"/>
              <w:spacing w:before="0" w:after="283"/>
              <w:jc w:val="right"/>
              <w:rPr/>
            </w:pPr>
            <w:r>
              <w:rPr/>
              <w:t>250%</w:t>
            </w:r>
          </w:p>
        </w:tc>
        <w:tc>
          <w:tcPr>
            <w:tcW w:w="151"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56" w:type="dxa"/>
            <w:tcBorders>
              <w:bottom w:val="single" w:sz="2" w:space="0" w:color="4B5088"/>
            </w:tcBorders>
            <w:tcMar>
              <w:bottom w:w="28" w:type="dxa"/>
            </w:tcMar>
            <w:vAlign w:val="center"/>
          </w:tcPr>
          <w:p>
            <w:pPr>
              <w:pStyle w:val="TableContents"/>
              <w:bidi w:val="0"/>
              <w:spacing w:before="0" w:after="283"/>
              <w:jc w:val="left"/>
              <w:rPr/>
            </w:pPr>
            <w:r>
              <w:rPr/>
              <w:t>​</w:t>
            </w:r>
          </w:p>
        </w:tc>
        <w:tc>
          <w:tcPr>
            <w:tcW w:w="256" w:type="dxa"/>
            <w:tcBorders>
              <w:bottom w:val="single" w:sz="2" w:space="0" w:color="4B5088"/>
            </w:tcBorders>
            <w:tcMar>
              <w:bottom w:w="70" w:type="dxa"/>
            </w:tcMar>
            <w:vAlign w:val="center"/>
          </w:tcPr>
          <w:p>
            <w:pPr>
              <w:pStyle w:val="TableContents"/>
              <w:bidi w:val="0"/>
              <w:spacing w:before="0" w:after="283"/>
              <w:jc w:val="right"/>
              <w:rPr/>
            </w:pPr>
            <w:r>
              <w:rPr/>
              <w:t>​</w:t>
            </w:r>
          </w:p>
        </w:tc>
        <w:tc>
          <w:tcPr>
            <w:tcW w:w="818" w:type="dxa"/>
            <w:tcBorders>
              <w:bottom w:val="single" w:sz="2" w:space="0" w:color="4B5088"/>
            </w:tcBorders>
            <w:tcMar>
              <w:bottom w:w="70" w:type="dxa"/>
            </w:tcMar>
            <w:vAlign w:val="center"/>
          </w:tcPr>
          <w:p>
            <w:pPr>
              <w:pStyle w:val="TableContents"/>
              <w:bidi w:val="0"/>
              <w:spacing w:before="0" w:after="283"/>
              <w:jc w:val="right"/>
              <w:rPr/>
            </w:pPr>
            <w:r>
              <w:rPr/>
              <w:t>40%</w:t>
            </w:r>
          </w:p>
        </w:tc>
        <w:tc>
          <w:tcPr>
            <w:tcW w:w="259" w:type="dxa"/>
            <w:tcBorders>
              <w:bottom w:val="single" w:sz="2" w:space="0" w:color="4B5088"/>
            </w:tcBorders>
            <w:tcMar>
              <w:bottom w:w="28" w:type="dxa"/>
            </w:tcMar>
            <w:vAlign w:val="center"/>
          </w:tcPr>
          <w:p>
            <w:pPr>
              <w:pStyle w:val="TableContents"/>
              <w:bidi w:val="0"/>
              <w:spacing w:before="0" w:after="283"/>
              <w:jc w:val="left"/>
              <w:rPr/>
            </w:pPr>
            <w:r>
              <w:rPr/>
              <w:t>​</w:t>
            </w:r>
          </w:p>
        </w:tc>
        <w:tc>
          <w:tcPr>
            <w:tcW w:w="162"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291" w:type="dxa"/>
            <w:tcBorders>
              <w:bottom w:val="single" w:sz="2" w:space="0" w:color="1F2668"/>
            </w:tcBorders>
            <w:tcMar>
              <w:bottom w:w="70" w:type="dxa"/>
            </w:tcMar>
            <w:vAlign w:val="center"/>
          </w:tcPr>
          <w:p>
            <w:pPr>
              <w:pStyle w:val="TableContents"/>
              <w:bidi w:val="0"/>
              <w:spacing w:before="0" w:after="0"/>
              <w:jc w:val="left"/>
              <w:rPr>
                <w:b/>
              </w:rPr>
            </w:pPr>
            <w:r>
              <w:rPr>
                <w:b/>
                <w:spacing w:val="-2"/>
              </w:rPr>
              <w:t>Andrew S. Levine</w:t>
            </w:r>
            <w:r>
              <w:rPr>
                <w:b/>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70" w:type="dxa"/>
            </w:tcMar>
            <w:vAlign w:val="center"/>
          </w:tcPr>
          <w:p>
            <w:pPr>
              <w:pStyle w:val="TableContents"/>
              <w:bidi w:val="0"/>
              <w:spacing w:before="0" w:after="283"/>
              <w:jc w:val="right"/>
              <w:rPr/>
            </w:pPr>
            <w:r>
              <w:rPr/>
              <w:t>​</w:t>
            </w:r>
          </w:p>
        </w:tc>
        <w:tc>
          <w:tcPr>
            <w:tcW w:w="648" w:type="dxa"/>
            <w:tcBorders>
              <w:bottom w:val="single" w:sz="2" w:space="0" w:color="1F2668"/>
            </w:tcBorders>
            <w:tcMar>
              <w:bottom w:w="70" w:type="dxa"/>
            </w:tcMar>
            <w:vAlign w:val="center"/>
          </w:tcPr>
          <w:p>
            <w:pPr>
              <w:pStyle w:val="TableContents"/>
              <w:bidi w:val="0"/>
              <w:spacing w:before="0" w:after="283"/>
              <w:jc w:val="right"/>
              <w:rPr/>
            </w:pPr>
            <w:r>
              <w:rPr/>
              <w:t>50%</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78" w:type="dxa"/>
            <w:tcBorders>
              <w:bottom w:val="single" w:sz="2" w:space="0" w:color="1F2668"/>
            </w:tcBorders>
            <w:tcMar>
              <w:bottom w:w="28" w:type="dxa"/>
            </w:tcMar>
            <w:vAlign w:val="center"/>
          </w:tcPr>
          <w:p>
            <w:pPr>
              <w:pStyle w:val="TableContents"/>
              <w:bidi w:val="0"/>
              <w:spacing w:before="0" w:after="283"/>
              <w:jc w:val="left"/>
              <w:rPr/>
            </w:pPr>
            <w:r>
              <w:rPr/>
              <w:t>​</w:t>
            </w:r>
          </w:p>
        </w:tc>
        <w:tc>
          <w:tcPr>
            <w:tcW w:w="178" w:type="dxa"/>
            <w:tcBorders>
              <w:bottom w:val="single" w:sz="2" w:space="0" w:color="1F2668"/>
            </w:tcBorders>
            <w:tcMar>
              <w:bottom w:w="70" w:type="dxa"/>
            </w:tcMar>
            <w:vAlign w:val="center"/>
          </w:tcPr>
          <w:p>
            <w:pPr>
              <w:pStyle w:val="TableContents"/>
              <w:bidi w:val="0"/>
              <w:spacing w:before="0" w:after="283"/>
              <w:jc w:val="right"/>
              <w:rPr/>
            </w:pPr>
            <w:r>
              <w:rPr/>
              <w:t>​</w:t>
            </w:r>
          </w:p>
        </w:tc>
        <w:tc>
          <w:tcPr>
            <w:tcW w:w="568" w:type="dxa"/>
            <w:tcBorders>
              <w:bottom w:val="single" w:sz="2" w:space="0" w:color="1F2668"/>
            </w:tcBorders>
            <w:tcMar>
              <w:bottom w:w="70" w:type="dxa"/>
            </w:tcMar>
            <w:vAlign w:val="center"/>
          </w:tcPr>
          <w:p>
            <w:pPr>
              <w:pStyle w:val="TableContents"/>
              <w:bidi w:val="0"/>
              <w:spacing w:before="0" w:after="283"/>
              <w:jc w:val="right"/>
              <w:rPr/>
            </w:pPr>
            <w:r>
              <w:rPr/>
              <w:t>50%</w:t>
            </w:r>
          </w:p>
        </w:tc>
        <w:tc>
          <w:tcPr>
            <w:tcW w:w="17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70" w:type="dxa"/>
            </w:tcMar>
            <w:vAlign w:val="center"/>
          </w:tcPr>
          <w:p>
            <w:pPr>
              <w:pStyle w:val="TableContents"/>
              <w:bidi w:val="0"/>
              <w:spacing w:before="0" w:after="283"/>
              <w:jc w:val="right"/>
              <w:rPr/>
            </w:pPr>
            <w:r>
              <w:rPr/>
              <w:t>​</w:t>
            </w:r>
          </w:p>
        </w:tc>
        <w:tc>
          <w:tcPr>
            <w:tcW w:w="648" w:type="dxa"/>
            <w:tcBorders>
              <w:bottom w:val="single" w:sz="2" w:space="0" w:color="1F2668"/>
            </w:tcBorders>
            <w:tcMar>
              <w:bottom w:w="70" w:type="dxa"/>
            </w:tcMar>
            <w:vAlign w:val="center"/>
          </w:tcPr>
          <w:p>
            <w:pPr>
              <w:pStyle w:val="TableContents"/>
              <w:bidi w:val="0"/>
              <w:spacing w:before="0" w:after="283"/>
              <w:jc w:val="right"/>
              <w:rPr/>
            </w:pPr>
            <w:r>
              <w:rPr/>
              <w:t>100%</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8" w:type="dxa"/>
            <w:tcBorders>
              <w:bottom w:val="single" w:sz="2" w:space="0" w:color="1F2668"/>
            </w:tcBorders>
            <w:tcMar>
              <w:bottom w:w="28" w:type="dxa"/>
            </w:tcMar>
            <w:vAlign w:val="center"/>
          </w:tcPr>
          <w:p>
            <w:pPr>
              <w:pStyle w:val="TableContents"/>
              <w:bidi w:val="0"/>
              <w:spacing w:before="0" w:after="283"/>
              <w:jc w:val="left"/>
              <w:rPr/>
            </w:pPr>
            <w:r>
              <w:rPr/>
              <w:t>​</w:t>
            </w:r>
          </w:p>
        </w:tc>
        <w:tc>
          <w:tcPr>
            <w:tcW w:w="148" w:type="dxa"/>
            <w:tcBorders>
              <w:bottom w:val="single" w:sz="2" w:space="0" w:color="1F2668"/>
            </w:tcBorders>
            <w:tcMar>
              <w:bottom w:w="70" w:type="dxa"/>
            </w:tcMar>
            <w:vAlign w:val="center"/>
          </w:tcPr>
          <w:p>
            <w:pPr>
              <w:pStyle w:val="TableContents"/>
              <w:bidi w:val="0"/>
              <w:spacing w:before="0" w:after="283"/>
              <w:jc w:val="right"/>
              <w:rPr/>
            </w:pPr>
            <w:r>
              <w:rPr/>
              <w:t>​</w:t>
            </w:r>
          </w:p>
        </w:tc>
        <w:tc>
          <w:tcPr>
            <w:tcW w:w="673" w:type="dxa"/>
            <w:tcBorders>
              <w:bottom w:val="single" w:sz="2" w:space="0" w:color="1F2668"/>
            </w:tcBorders>
            <w:tcMar>
              <w:bottom w:w="70" w:type="dxa"/>
            </w:tcMar>
            <w:vAlign w:val="center"/>
          </w:tcPr>
          <w:p>
            <w:pPr>
              <w:pStyle w:val="TableContents"/>
              <w:bidi w:val="0"/>
              <w:spacing w:before="0" w:after="283"/>
              <w:jc w:val="right"/>
              <w:rPr/>
            </w:pPr>
            <w:r>
              <w:rPr/>
              <w:t>150%</w:t>
            </w:r>
          </w:p>
        </w:tc>
        <w:tc>
          <w:tcPr>
            <w:tcW w:w="151"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56" w:type="dxa"/>
            <w:tcBorders>
              <w:bottom w:val="single" w:sz="2" w:space="0" w:color="1F2668"/>
            </w:tcBorders>
            <w:tcMar>
              <w:bottom w:w="28" w:type="dxa"/>
            </w:tcMar>
            <w:vAlign w:val="center"/>
          </w:tcPr>
          <w:p>
            <w:pPr>
              <w:pStyle w:val="TableContents"/>
              <w:bidi w:val="0"/>
              <w:spacing w:before="0" w:after="283"/>
              <w:jc w:val="left"/>
              <w:rPr/>
            </w:pPr>
            <w:r>
              <w:rPr/>
              <w:t>​</w:t>
            </w:r>
          </w:p>
        </w:tc>
        <w:tc>
          <w:tcPr>
            <w:tcW w:w="256" w:type="dxa"/>
            <w:tcBorders>
              <w:bottom w:val="single" w:sz="2" w:space="0" w:color="1F2668"/>
            </w:tcBorders>
            <w:tcMar>
              <w:bottom w:w="70" w:type="dxa"/>
            </w:tcMar>
            <w:vAlign w:val="center"/>
          </w:tcPr>
          <w:p>
            <w:pPr>
              <w:pStyle w:val="TableContents"/>
              <w:bidi w:val="0"/>
              <w:spacing w:before="0" w:after="283"/>
              <w:jc w:val="right"/>
              <w:rPr/>
            </w:pPr>
            <w:r>
              <w:rPr/>
              <w:t>​</w:t>
            </w:r>
          </w:p>
        </w:tc>
        <w:tc>
          <w:tcPr>
            <w:tcW w:w="818" w:type="dxa"/>
            <w:tcBorders>
              <w:bottom w:val="single" w:sz="2" w:space="0" w:color="1F2668"/>
            </w:tcBorders>
            <w:tcMar>
              <w:bottom w:w="70" w:type="dxa"/>
            </w:tcMar>
            <w:vAlign w:val="center"/>
          </w:tcPr>
          <w:p>
            <w:pPr>
              <w:pStyle w:val="TableContents"/>
              <w:bidi w:val="0"/>
              <w:spacing w:before="0" w:after="283"/>
              <w:jc w:val="right"/>
              <w:rPr/>
            </w:pPr>
            <w:r>
              <w:rPr/>
              <w:t>50%</w:t>
            </w:r>
          </w:p>
        </w:tc>
        <w:tc>
          <w:tcPr>
            <w:tcW w:w="259" w:type="dxa"/>
            <w:tcBorders>
              <w:bottom w:val="single" w:sz="2" w:space="0" w:color="1F2668"/>
            </w:tcBorders>
            <w:tcMar>
              <w:bottom w:w="28" w:type="dxa"/>
            </w:tcMar>
            <w:vAlign w:val="center"/>
          </w:tcPr>
          <w:p>
            <w:pPr>
              <w:pStyle w:val="TableContents"/>
              <w:bidi w:val="0"/>
              <w:spacing w:before="0" w:after="283"/>
              <w:jc w:val="left"/>
              <w:rPr/>
            </w:pPr>
            <w:r>
              <w:rPr/>
              <w:t>​</w:t>
            </w:r>
          </w:p>
        </w:tc>
        <w:tc>
          <w:tcPr>
            <w:tcW w:w="162"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240"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Discretionary component is capped based on the calculation of the formulaic component and may be earned between 0% and 100% of the non-formulaic component as determined in the discretion of the Committee.</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52400" distB="0" distL="0" distR="0" simplePos="0" locked="0" layoutInCell="1" allowOverlap="1" relativeHeight="616">
                <wp:simplePos x="0" y="0"/>
                <wp:positionH relativeFrom="column">
                  <wp:align>left</wp:align>
                </wp:positionH>
                <wp:positionV relativeFrom="line">
                  <wp:align>top</wp:align>
                </wp:positionV>
                <wp:extent cx="254000" cy="254000"/>
                <wp:effectExtent l="0" t="0" r="0" b="0"/>
                <wp:wrapSquare wrapText="right"/>
                <wp:docPr id="670" name="Frame353"/>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2"/>
                                <w:sz w:val="16"/>
                              </w:rPr>
                              <w:t>*</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2"/>
                          <w:sz w:val="16"/>
                        </w:rPr>
                        <w:t>*</w:t>
                      </w:r>
                      <w:r>
                        <w:rPr>
                          <w:sz w:val="16"/>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i w:val="false"/>
          <w:caps w:val="false"/>
          <w:smallCaps w:val="false"/>
          <w:color w:val="83AD40"/>
          <w:spacing w:val="-2"/>
          <w:sz w:val="18"/>
        </w:rPr>
        <w:t>Annual Bonus Goals and Performance.</w:t>
      </w:r>
      <w:r>
        <w:rPr>
          <w:rFonts w:ascii="Arial;Helvetica;sans-serif" w:hAnsi="Arial;Helvetica;sans-serif"/>
          <w:b w:val="false"/>
          <w:i w:val="false"/>
          <w:caps w:val="false"/>
          <w:smallCaps w:val="false"/>
          <w:color w:val="000000"/>
          <w:spacing w:val="-2"/>
          <w:sz w:val="18"/>
        </w:rPr>
        <w:t xml:space="preserve"> For the formulaic component of our 2025 annual cash bonus program, we replaced the Debt Refinancings and the NYC Opportunity Fund Size goals used in 2024 with a goal relating to the generation of third party fee income to further align our incentives with our evolving business strategy for long-term value creation.</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The table below sets forth our 2025 performance relative to 2025 performance criteria.</w:t>
      </w:r>
      <w:r>
        <w:rPr>
          <w:rFonts w:ascii="Arial;Helvetica;sans-serif" w:hAnsi="Arial;Helvetica;sans-serif"/>
          <w:b w:val="false"/>
          <w:i w:val="false"/>
          <w:caps w:val="false"/>
          <w:smallCaps w:val="false"/>
          <w:color w:val="000000"/>
          <w:spacing w:val="4"/>
          <w:sz w:val="18"/>
        </w:rPr>
        <w:t xml:space="preserve"> </w:t>
      </w:r>
    </w:p>
    <w:tbl>
      <w:tblPr>
        <w:tblW w:w="10142" w:type="dxa"/>
        <w:jc w:val="left"/>
        <w:tblInd w:w="900" w:type="dxa"/>
        <w:tblLayout w:type="fixed"/>
        <w:tblCellMar>
          <w:top w:w="0" w:type="dxa"/>
          <w:left w:w="0" w:type="dxa"/>
          <w:bottom w:w="63" w:type="dxa"/>
          <w:right w:w="0" w:type="dxa"/>
        </w:tblCellMar>
      </w:tblPr>
      <w:tblGrid>
        <w:gridCol w:w="1700"/>
        <w:gridCol w:w="109"/>
        <w:gridCol w:w="109"/>
        <w:gridCol w:w="109"/>
        <w:gridCol w:w="109"/>
        <w:gridCol w:w="753"/>
        <w:gridCol w:w="109"/>
        <w:gridCol w:w="109"/>
        <w:gridCol w:w="109"/>
        <w:gridCol w:w="109"/>
        <w:gridCol w:w="226"/>
        <w:gridCol w:w="736"/>
        <w:gridCol w:w="109"/>
        <w:gridCol w:w="109"/>
        <w:gridCol w:w="109"/>
        <w:gridCol w:w="109"/>
        <w:gridCol w:w="226"/>
        <w:gridCol w:w="736"/>
        <w:gridCol w:w="109"/>
        <w:gridCol w:w="109"/>
        <w:gridCol w:w="109"/>
        <w:gridCol w:w="109"/>
        <w:gridCol w:w="226"/>
        <w:gridCol w:w="736"/>
        <w:gridCol w:w="109"/>
        <w:gridCol w:w="109"/>
        <w:gridCol w:w="109"/>
        <w:gridCol w:w="109"/>
        <w:gridCol w:w="226"/>
        <w:gridCol w:w="736"/>
        <w:gridCol w:w="109"/>
        <w:gridCol w:w="109"/>
        <w:gridCol w:w="109"/>
        <w:gridCol w:w="109"/>
        <w:gridCol w:w="226"/>
        <w:gridCol w:w="736"/>
        <w:gridCol w:w="109"/>
        <w:gridCol w:w="154"/>
      </w:tblGrid>
      <w:tr>
        <w:trPr/>
        <w:tc>
          <w:tcPr>
            <w:tcW w:w="1700" w:type="dxa"/>
            <w:tcBorders>
              <w:bottom w:val="single" w:sz="2" w:space="0" w:color="1F2668"/>
            </w:tcBorders>
            <w:vAlign w:val="center"/>
          </w:tcPr>
          <w:p>
            <w:pPr>
              <w:pStyle w:val="TableContents"/>
              <w:bidi w:val="0"/>
              <w:spacing w:before="0" w:after="0"/>
              <w:jc w:val="left"/>
              <w:rPr>
                <w:spacing w:val="-2"/>
              </w:rPr>
            </w:pPr>
            <w:r>
              <w:rPr>
                <w:spacing w:val="-2"/>
              </w:rPr>
              <w:t xml:space="preserve">Performance Criteria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80" w:type="dxa"/>
            <w:gridSpan w:val="4"/>
            <w:tcBorders>
              <w:bottom w:val="single" w:sz="2" w:space="0" w:color="1F2668"/>
            </w:tcBorders>
            <w:vAlign w:val="center"/>
          </w:tcPr>
          <w:p>
            <w:pPr>
              <w:pStyle w:val="TableContents"/>
              <w:bidi w:val="0"/>
              <w:spacing w:before="0" w:after="0"/>
              <w:jc w:val="center"/>
              <w:rPr>
                <w:spacing w:val="-2"/>
              </w:rPr>
            </w:pPr>
            <w:r>
              <w:rPr>
                <w:spacing w:val="-2"/>
              </w:rPr>
              <w:t xml:space="preserve">Weighting </w:t>
              <w:br/>
              <w:t xml:space="preserve">(CEO / CFO &amp; GC)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80" w:type="dxa"/>
            <w:gridSpan w:val="4"/>
            <w:tcBorders>
              <w:bottom w:val="single" w:sz="2" w:space="0" w:color="1F2668"/>
            </w:tcBorders>
            <w:vAlign w:val="center"/>
          </w:tcPr>
          <w:p>
            <w:pPr>
              <w:pStyle w:val="TableContents"/>
              <w:bidi w:val="0"/>
              <w:spacing w:before="0" w:after="0"/>
              <w:jc w:val="center"/>
              <w:rPr/>
            </w:pPr>
            <w:r>
              <w:rPr>
                <w:spacing w:val="-2"/>
              </w:rPr>
              <w:t>Guidance/</w:t>
            </w:r>
            <w:r>
              <w:rPr/>
              <w:t>​</w:t>
              <w:br/>
            </w:r>
            <w:r>
              <w:rPr>
                <w:spacing w:val="-2"/>
              </w:rPr>
              <w:t xml:space="preserve">Stretch Goal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80" w:type="dxa"/>
            <w:gridSpan w:val="4"/>
            <w:tcBorders>
              <w:bottom w:val="single" w:sz="2" w:space="0" w:color="1F2668"/>
            </w:tcBorders>
            <w:vAlign w:val="center"/>
          </w:tcPr>
          <w:p>
            <w:pPr>
              <w:pStyle w:val="TableContents"/>
              <w:bidi w:val="0"/>
              <w:spacing w:before="0" w:after="0"/>
              <w:jc w:val="center"/>
              <w:rPr>
                <w:spacing w:val="-2"/>
              </w:rPr>
            </w:pPr>
            <w:r>
              <w:rPr>
                <w:spacing w:val="-2"/>
              </w:rPr>
              <w:t xml:space="preserve">Threshold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80" w:type="dxa"/>
            <w:gridSpan w:val="4"/>
            <w:tcBorders>
              <w:bottom w:val="single" w:sz="2" w:space="0" w:color="1F2668"/>
            </w:tcBorders>
            <w:vAlign w:val="center"/>
          </w:tcPr>
          <w:p>
            <w:pPr>
              <w:pStyle w:val="TableContents"/>
              <w:bidi w:val="0"/>
              <w:spacing w:before="0" w:after="0"/>
              <w:jc w:val="center"/>
              <w:rPr>
                <w:spacing w:val="-2"/>
              </w:rPr>
            </w:pPr>
            <w:r>
              <w:rPr>
                <w:spacing w:val="-2"/>
              </w:rPr>
              <w:t xml:space="preserve">Target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80" w:type="dxa"/>
            <w:gridSpan w:val="4"/>
            <w:tcBorders>
              <w:bottom w:val="single" w:sz="2" w:space="0" w:color="1F2668"/>
            </w:tcBorders>
            <w:vAlign w:val="center"/>
          </w:tcPr>
          <w:p>
            <w:pPr>
              <w:pStyle w:val="TableContents"/>
              <w:bidi w:val="0"/>
              <w:spacing w:before="0" w:after="0"/>
              <w:jc w:val="center"/>
              <w:rPr>
                <w:spacing w:val="-2"/>
              </w:rPr>
            </w:pPr>
            <w:r>
              <w:rPr>
                <w:spacing w:val="-2"/>
              </w:rPr>
              <w:t xml:space="preserve">Max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80" w:type="dxa"/>
            <w:gridSpan w:val="4"/>
            <w:tcBorders>
              <w:bottom w:val="single" w:sz="2" w:space="0" w:color="1F2668"/>
            </w:tcBorders>
            <w:vAlign w:val="center"/>
          </w:tcPr>
          <w:p>
            <w:pPr>
              <w:pStyle w:val="TableContents"/>
              <w:bidi w:val="0"/>
              <w:spacing w:lineRule="atLeast" w:line="142" w:before="0" w:after="0"/>
              <w:jc w:val="center"/>
              <w:rPr/>
            </w:pPr>
            <w:r>
              <w:rPr>
                <w:spacing w:val="-2"/>
              </w:rPr>
              <w:t>Achieved</w:t>
            </w:r>
            <w:r>
              <w:rPr>
                <w:b/>
                <w:spacing w:val="-1"/>
                <w:sz w:val="10"/>
              </w:rPr>
              <w:t>(1)</w:t>
            </w:r>
            <w:r>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700" w:type="dxa"/>
            <w:tcBorders>
              <w:bottom w:val="single" w:sz="2" w:space="0" w:color="4B5088"/>
            </w:tcBorders>
            <w:tcMar>
              <w:bottom w:w="70" w:type="dxa"/>
            </w:tcMar>
            <w:vAlign w:val="center"/>
          </w:tcPr>
          <w:p>
            <w:pPr>
              <w:pStyle w:val="TableContents"/>
              <w:bidi w:val="0"/>
              <w:spacing w:before="0" w:after="283"/>
              <w:jc w:val="left"/>
              <w:rPr/>
            </w:pPr>
            <w:r>
              <w:rPr>
                <w:b/>
                <w:spacing w:val="-2"/>
              </w:rPr>
              <w:t>Normalized FFO per Share</w:t>
            </w:r>
            <w:r>
              <w:rPr>
                <w:spacing w:val="-1"/>
                <w:sz w:val="11"/>
              </w:rPr>
              <w:t>(2)</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753" w:type="dxa"/>
            <w:tcBorders>
              <w:bottom w:val="single" w:sz="2" w:space="0" w:color="4B5088"/>
            </w:tcBorders>
            <w:tcMar>
              <w:bottom w:w="70" w:type="dxa"/>
            </w:tcMar>
            <w:vAlign w:val="center"/>
          </w:tcPr>
          <w:p>
            <w:pPr>
              <w:pStyle w:val="TableContents"/>
              <w:bidi w:val="0"/>
              <w:spacing w:before="0" w:after="283"/>
              <w:jc w:val="right"/>
              <w:rPr/>
            </w:pPr>
            <w:r>
              <w:rPr/>
              <w:t>25%/30%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w:t>
            </w:r>
          </w:p>
        </w:tc>
        <w:tc>
          <w:tcPr>
            <w:tcW w:w="736" w:type="dxa"/>
            <w:tcBorders>
              <w:bottom w:val="single" w:sz="2" w:space="0" w:color="4B5088"/>
            </w:tcBorders>
            <w:tcMar>
              <w:bottom w:w="70" w:type="dxa"/>
            </w:tcMar>
            <w:vAlign w:val="center"/>
          </w:tcPr>
          <w:p>
            <w:pPr>
              <w:pStyle w:val="TableContents"/>
              <w:bidi w:val="0"/>
              <w:spacing w:before="0" w:after="283"/>
              <w:jc w:val="right"/>
              <w:rPr/>
            </w:pPr>
            <w:r>
              <w:rPr/>
              <w:t>5.40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w:t>
            </w:r>
          </w:p>
        </w:tc>
        <w:tc>
          <w:tcPr>
            <w:tcW w:w="736" w:type="dxa"/>
            <w:tcBorders>
              <w:bottom w:val="single" w:sz="2" w:space="0" w:color="4B5088"/>
            </w:tcBorders>
            <w:tcMar>
              <w:bottom w:w="70" w:type="dxa"/>
            </w:tcMar>
            <w:vAlign w:val="center"/>
          </w:tcPr>
          <w:p>
            <w:pPr>
              <w:pStyle w:val="TableContents"/>
              <w:bidi w:val="0"/>
              <w:spacing w:before="0" w:after="283"/>
              <w:jc w:val="right"/>
              <w:rPr/>
            </w:pPr>
            <w:r>
              <w:rPr/>
              <w:t>5.15</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w:t>
            </w:r>
          </w:p>
        </w:tc>
        <w:tc>
          <w:tcPr>
            <w:tcW w:w="736" w:type="dxa"/>
            <w:tcBorders>
              <w:bottom w:val="single" w:sz="2" w:space="0" w:color="4B5088"/>
            </w:tcBorders>
            <w:tcMar>
              <w:bottom w:w="70" w:type="dxa"/>
            </w:tcMar>
            <w:vAlign w:val="center"/>
          </w:tcPr>
          <w:p>
            <w:pPr>
              <w:pStyle w:val="TableContents"/>
              <w:bidi w:val="0"/>
              <w:spacing w:before="0" w:after="283"/>
              <w:jc w:val="right"/>
              <w:rPr/>
            </w:pPr>
            <w:r>
              <w:rPr/>
              <w:t>5.35</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w:t>
            </w:r>
          </w:p>
        </w:tc>
        <w:tc>
          <w:tcPr>
            <w:tcW w:w="736" w:type="dxa"/>
            <w:tcBorders>
              <w:bottom w:val="single" w:sz="2" w:space="0" w:color="4B5088"/>
            </w:tcBorders>
            <w:tcMar>
              <w:bottom w:w="70" w:type="dxa"/>
            </w:tcMar>
            <w:vAlign w:val="center"/>
          </w:tcPr>
          <w:p>
            <w:pPr>
              <w:pStyle w:val="TableContents"/>
              <w:bidi w:val="0"/>
              <w:spacing w:before="0" w:after="283"/>
              <w:jc w:val="right"/>
              <w:rPr/>
            </w:pPr>
            <w:r>
              <w:rPr/>
              <w:t>5.55</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      </w:t>
            </w:r>
            <w:r>
              <w:rPr/>
              <w:t>$</w:t>
            </w:r>
          </w:p>
        </w:tc>
        <w:tc>
          <w:tcPr>
            <w:tcW w:w="736" w:type="dxa"/>
            <w:tcBorders>
              <w:bottom w:val="single" w:sz="2" w:space="0" w:color="4B5088"/>
            </w:tcBorders>
            <w:tcMar>
              <w:bottom w:w="70" w:type="dxa"/>
            </w:tcMar>
            <w:vAlign w:val="center"/>
          </w:tcPr>
          <w:p>
            <w:pPr>
              <w:pStyle w:val="TableContents"/>
              <w:bidi w:val="0"/>
              <w:spacing w:before="0" w:after="283"/>
              <w:jc w:val="right"/>
              <w:rPr/>
            </w:pPr>
            <w:r>
              <w:rPr/>
              <w:t>5.49</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700" w:type="dxa"/>
            <w:tcBorders>
              <w:bottom w:val="single" w:sz="2" w:space="0" w:color="4B5088"/>
            </w:tcBorders>
            <w:tcMar>
              <w:bottom w:w="70" w:type="dxa"/>
            </w:tcMar>
            <w:vAlign w:val="center"/>
          </w:tcPr>
          <w:p>
            <w:pPr>
              <w:pStyle w:val="TableContents"/>
              <w:bidi w:val="0"/>
              <w:spacing w:before="0" w:after="0"/>
              <w:jc w:val="left"/>
              <w:rPr>
                <w:b/>
              </w:rPr>
            </w:pPr>
            <w:r>
              <w:rPr>
                <w:b/>
                <w:spacing w:val="-2"/>
              </w:rPr>
              <w:t>Discounted Debt Extinguishment Gains</w:t>
            </w:r>
            <w:r>
              <w:rPr>
                <w:b/>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753" w:type="dxa"/>
            <w:tcBorders>
              <w:bottom w:val="single" w:sz="2" w:space="0" w:color="4B5088"/>
            </w:tcBorders>
            <w:tcMar>
              <w:bottom w:w="70" w:type="dxa"/>
            </w:tcMar>
            <w:vAlign w:val="center"/>
          </w:tcPr>
          <w:p>
            <w:pPr>
              <w:pStyle w:val="TableContents"/>
              <w:bidi w:val="0"/>
              <w:spacing w:before="0" w:after="283"/>
              <w:jc w:val="right"/>
              <w:rPr/>
            </w:pPr>
            <w:r>
              <w:rPr/>
              <w:t>25%/25%</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w:t>
            </w:r>
          </w:p>
        </w:tc>
        <w:tc>
          <w:tcPr>
            <w:tcW w:w="736" w:type="dxa"/>
            <w:tcBorders>
              <w:bottom w:val="single" w:sz="2" w:space="0" w:color="4B5088"/>
            </w:tcBorders>
            <w:tcMar>
              <w:bottom w:w="70" w:type="dxa"/>
            </w:tcMar>
            <w:vAlign w:val="center"/>
          </w:tcPr>
          <w:p>
            <w:pPr>
              <w:pStyle w:val="TableContents"/>
              <w:bidi w:val="0"/>
              <w:spacing w:before="0" w:after="283"/>
              <w:jc w:val="right"/>
              <w:rPr/>
            </w:pPr>
            <w:r>
              <w:rPr/>
              <w:t>50.0M</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w:t>
            </w:r>
          </w:p>
        </w:tc>
        <w:tc>
          <w:tcPr>
            <w:tcW w:w="736" w:type="dxa"/>
            <w:tcBorders>
              <w:bottom w:val="single" w:sz="2" w:space="0" w:color="4B5088"/>
            </w:tcBorders>
            <w:tcMar>
              <w:bottom w:w="70" w:type="dxa"/>
            </w:tcMar>
            <w:vAlign w:val="center"/>
          </w:tcPr>
          <w:p>
            <w:pPr>
              <w:pStyle w:val="TableContents"/>
              <w:bidi w:val="0"/>
              <w:spacing w:before="0" w:after="283"/>
              <w:jc w:val="right"/>
              <w:rPr/>
            </w:pPr>
            <w:r>
              <w:rPr/>
              <w:t>20.0M</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w:t>
            </w:r>
          </w:p>
        </w:tc>
        <w:tc>
          <w:tcPr>
            <w:tcW w:w="736" w:type="dxa"/>
            <w:tcBorders>
              <w:bottom w:val="single" w:sz="2" w:space="0" w:color="4B5088"/>
            </w:tcBorders>
            <w:tcMar>
              <w:bottom w:w="70" w:type="dxa"/>
            </w:tcMar>
            <w:vAlign w:val="center"/>
          </w:tcPr>
          <w:p>
            <w:pPr>
              <w:pStyle w:val="TableContents"/>
              <w:bidi w:val="0"/>
              <w:spacing w:before="0" w:after="283"/>
              <w:jc w:val="right"/>
              <w:rPr/>
            </w:pPr>
            <w:r>
              <w:rPr/>
              <w:t>50.0M</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w:t>
            </w:r>
          </w:p>
        </w:tc>
        <w:tc>
          <w:tcPr>
            <w:tcW w:w="736" w:type="dxa"/>
            <w:tcBorders>
              <w:bottom w:val="single" w:sz="2" w:space="0" w:color="4B5088"/>
            </w:tcBorders>
            <w:tcMar>
              <w:bottom w:w="70" w:type="dxa"/>
            </w:tcMar>
            <w:vAlign w:val="center"/>
          </w:tcPr>
          <w:p>
            <w:pPr>
              <w:pStyle w:val="TableContents"/>
              <w:bidi w:val="0"/>
              <w:spacing w:before="0" w:after="283"/>
              <w:jc w:val="right"/>
              <w:rPr/>
            </w:pPr>
            <w:r>
              <w:rPr/>
              <w:t>80.0M</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w:t>
            </w:r>
          </w:p>
        </w:tc>
        <w:tc>
          <w:tcPr>
            <w:tcW w:w="736" w:type="dxa"/>
            <w:tcBorders>
              <w:bottom w:val="single" w:sz="2" w:space="0" w:color="4B5088"/>
            </w:tcBorders>
            <w:tcMar>
              <w:bottom w:w="70" w:type="dxa"/>
            </w:tcMar>
            <w:vAlign w:val="center"/>
          </w:tcPr>
          <w:p>
            <w:pPr>
              <w:pStyle w:val="TableContents"/>
              <w:bidi w:val="0"/>
              <w:spacing w:before="0" w:after="283"/>
              <w:jc w:val="right"/>
              <w:rPr/>
            </w:pPr>
            <w:r>
              <w:rPr/>
              <w:t>80.3M</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700" w:type="dxa"/>
            <w:tcBorders>
              <w:bottom w:val="single" w:sz="2" w:space="0" w:color="4B5088"/>
            </w:tcBorders>
            <w:tcMar>
              <w:bottom w:w="70" w:type="dxa"/>
            </w:tcMar>
            <w:vAlign w:val="center"/>
          </w:tcPr>
          <w:p>
            <w:pPr>
              <w:pStyle w:val="TableContents"/>
              <w:bidi w:val="0"/>
              <w:spacing w:before="0" w:after="0"/>
              <w:jc w:val="left"/>
              <w:rPr>
                <w:b/>
              </w:rPr>
            </w:pPr>
            <w:r>
              <w:rPr>
                <w:b/>
                <w:spacing w:val="-2"/>
              </w:rPr>
              <w:t>Third Party Fee Income</w:t>
            </w:r>
            <w:r>
              <w:rPr>
                <w:b/>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753" w:type="dxa"/>
            <w:tcBorders>
              <w:bottom w:val="single" w:sz="2" w:space="0" w:color="4B5088"/>
            </w:tcBorders>
            <w:tcMar>
              <w:bottom w:w="70" w:type="dxa"/>
            </w:tcMar>
            <w:vAlign w:val="center"/>
          </w:tcPr>
          <w:p>
            <w:pPr>
              <w:pStyle w:val="TableContents"/>
              <w:bidi w:val="0"/>
              <w:spacing w:before="0" w:after="283"/>
              <w:jc w:val="right"/>
              <w:rPr/>
            </w:pPr>
            <w:r>
              <w:rPr/>
              <w:t>25%/25%</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w:t>
            </w:r>
          </w:p>
        </w:tc>
        <w:tc>
          <w:tcPr>
            <w:tcW w:w="736" w:type="dxa"/>
            <w:tcBorders>
              <w:bottom w:val="single" w:sz="2" w:space="0" w:color="4B5088"/>
            </w:tcBorders>
            <w:tcMar>
              <w:bottom w:w="70" w:type="dxa"/>
            </w:tcMar>
            <w:vAlign w:val="center"/>
          </w:tcPr>
          <w:p>
            <w:pPr>
              <w:pStyle w:val="TableContents"/>
              <w:bidi w:val="0"/>
              <w:spacing w:before="0" w:after="283"/>
              <w:jc w:val="right"/>
              <w:rPr/>
            </w:pPr>
            <w:r>
              <w:rPr/>
              <w:t>80.2M</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w:t>
            </w:r>
          </w:p>
        </w:tc>
        <w:tc>
          <w:tcPr>
            <w:tcW w:w="736" w:type="dxa"/>
            <w:tcBorders>
              <w:bottom w:val="single" w:sz="2" w:space="0" w:color="4B5088"/>
            </w:tcBorders>
            <w:tcMar>
              <w:bottom w:w="70" w:type="dxa"/>
            </w:tcMar>
            <w:vAlign w:val="center"/>
          </w:tcPr>
          <w:p>
            <w:pPr>
              <w:pStyle w:val="TableContents"/>
              <w:bidi w:val="0"/>
              <w:spacing w:before="0" w:after="283"/>
              <w:jc w:val="right"/>
              <w:rPr/>
            </w:pPr>
            <w:r>
              <w:rPr/>
              <w:t>72.0M</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w:t>
            </w:r>
          </w:p>
        </w:tc>
        <w:tc>
          <w:tcPr>
            <w:tcW w:w="736" w:type="dxa"/>
            <w:tcBorders>
              <w:bottom w:val="single" w:sz="2" w:space="0" w:color="4B5088"/>
            </w:tcBorders>
            <w:tcMar>
              <w:bottom w:w="70" w:type="dxa"/>
            </w:tcMar>
            <w:vAlign w:val="center"/>
          </w:tcPr>
          <w:p>
            <w:pPr>
              <w:pStyle w:val="TableContents"/>
              <w:bidi w:val="0"/>
              <w:spacing w:before="0" w:after="283"/>
              <w:jc w:val="right"/>
              <w:rPr/>
            </w:pPr>
            <w:r>
              <w:rPr/>
              <w:t>80.0M</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w:t>
            </w:r>
          </w:p>
        </w:tc>
        <w:tc>
          <w:tcPr>
            <w:tcW w:w="736" w:type="dxa"/>
            <w:tcBorders>
              <w:bottom w:val="single" w:sz="2" w:space="0" w:color="4B5088"/>
            </w:tcBorders>
            <w:tcMar>
              <w:bottom w:w="70" w:type="dxa"/>
            </w:tcMar>
            <w:vAlign w:val="center"/>
          </w:tcPr>
          <w:p>
            <w:pPr>
              <w:pStyle w:val="TableContents"/>
              <w:bidi w:val="0"/>
              <w:spacing w:before="0" w:after="283"/>
              <w:jc w:val="right"/>
              <w:rPr/>
            </w:pPr>
            <w:r>
              <w:rPr/>
              <w:t>88.0M</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w:t>
            </w:r>
          </w:p>
        </w:tc>
        <w:tc>
          <w:tcPr>
            <w:tcW w:w="736" w:type="dxa"/>
            <w:tcBorders>
              <w:bottom w:val="single" w:sz="2" w:space="0" w:color="4B5088"/>
            </w:tcBorders>
            <w:tcMar>
              <w:bottom w:w="70" w:type="dxa"/>
            </w:tcMar>
            <w:vAlign w:val="center"/>
          </w:tcPr>
          <w:p>
            <w:pPr>
              <w:pStyle w:val="TableContents"/>
              <w:bidi w:val="0"/>
              <w:spacing w:before="0" w:after="283"/>
              <w:jc w:val="right"/>
              <w:rPr/>
            </w:pPr>
            <w:r>
              <w:rPr/>
              <w:t>56.8M</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700" w:type="dxa"/>
            <w:tcBorders>
              <w:bottom w:val="single" w:sz="2" w:space="0" w:color="1F2668"/>
            </w:tcBorders>
            <w:tcMar>
              <w:bottom w:w="70" w:type="dxa"/>
            </w:tcMar>
            <w:vAlign w:val="center"/>
          </w:tcPr>
          <w:p>
            <w:pPr>
              <w:pStyle w:val="TableContents"/>
              <w:bidi w:val="0"/>
              <w:spacing w:before="0" w:after="283"/>
              <w:jc w:val="left"/>
              <w:rPr/>
            </w:pPr>
            <w:r>
              <w:rPr>
                <w:b/>
                <w:spacing w:val="-2"/>
              </w:rPr>
              <w:t>G&amp;A Expense</w:t>
            </w:r>
            <w:r>
              <w:rPr>
                <w:spacing w:val="-1"/>
                <w:sz w:val="11"/>
              </w:rPr>
              <w:t>(3)</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70" w:type="dxa"/>
            </w:tcMar>
            <w:vAlign w:val="center"/>
          </w:tcPr>
          <w:p>
            <w:pPr>
              <w:pStyle w:val="TableContents"/>
              <w:bidi w:val="0"/>
              <w:spacing w:before="0" w:after="283"/>
              <w:jc w:val="right"/>
              <w:rPr/>
            </w:pPr>
            <w:r>
              <w:rPr/>
              <w:t>​</w:t>
            </w:r>
          </w:p>
        </w:tc>
        <w:tc>
          <w:tcPr>
            <w:tcW w:w="753" w:type="dxa"/>
            <w:tcBorders>
              <w:bottom w:val="single" w:sz="2" w:space="0" w:color="1F2668"/>
            </w:tcBorders>
            <w:tcMar>
              <w:bottom w:w="70" w:type="dxa"/>
            </w:tcMar>
            <w:vAlign w:val="center"/>
          </w:tcPr>
          <w:p>
            <w:pPr>
              <w:pStyle w:val="TableContents"/>
              <w:bidi w:val="0"/>
              <w:spacing w:before="0" w:after="283"/>
              <w:jc w:val="right"/>
              <w:rPr/>
            </w:pPr>
            <w:r>
              <w:rPr/>
              <w:t>25%/20%</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226" w:type="dxa"/>
            <w:tcBorders>
              <w:bottom w:val="single" w:sz="2" w:space="0" w:color="1F2668"/>
            </w:tcBorders>
            <w:tcMar>
              <w:bottom w:w="70" w:type="dxa"/>
            </w:tcMar>
            <w:vAlign w:val="center"/>
          </w:tcPr>
          <w:p>
            <w:pPr>
              <w:pStyle w:val="TableContents"/>
              <w:bidi w:val="0"/>
              <w:spacing w:before="0" w:after="283"/>
              <w:jc w:val="right"/>
              <w:rPr/>
            </w:pPr>
            <w:r>
              <w:rPr/>
              <w:t>$</w:t>
            </w:r>
          </w:p>
        </w:tc>
        <w:tc>
          <w:tcPr>
            <w:tcW w:w="736" w:type="dxa"/>
            <w:tcBorders>
              <w:bottom w:val="single" w:sz="2" w:space="0" w:color="1F2668"/>
            </w:tcBorders>
            <w:tcMar>
              <w:bottom w:w="70" w:type="dxa"/>
            </w:tcMar>
            <w:vAlign w:val="center"/>
          </w:tcPr>
          <w:p>
            <w:pPr>
              <w:pStyle w:val="TableContents"/>
              <w:bidi w:val="0"/>
              <w:spacing w:before="0" w:after="283"/>
              <w:jc w:val="right"/>
              <w:rPr/>
            </w:pPr>
            <w:r>
              <w:rPr/>
              <w:t>88.7M</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226" w:type="dxa"/>
            <w:tcBorders>
              <w:bottom w:val="single" w:sz="2" w:space="0" w:color="1F2668"/>
            </w:tcBorders>
            <w:tcMar>
              <w:bottom w:w="70" w:type="dxa"/>
            </w:tcMar>
            <w:vAlign w:val="center"/>
          </w:tcPr>
          <w:p>
            <w:pPr>
              <w:pStyle w:val="TableContents"/>
              <w:bidi w:val="0"/>
              <w:spacing w:before="0" w:after="283"/>
              <w:jc w:val="right"/>
              <w:rPr/>
            </w:pPr>
            <w:r>
              <w:rPr/>
              <w:t>$</w:t>
            </w:r>
          </w:p>
        </w:tc>
        <w:tc>
          <w:tcPr>
            <w:tcW w:w="736" w:type="dxa"/>
            <w:tcBorders>
              <w:bottom w:val="single" w:sz="2" w:space="0" w:color="1F2668"/>
            </w:tcBorders>
            <w:tcMar>
              <w:bottom w:w="70" w:type="dxa"/>
            </w:tcMar>
            <w:vAlign w:val="center"/>
          </w:tcPr>
          <w:p>
            <w:pPr>
              <w:pStyle w:val="TableContents"/>
              <w:bidi w:val="0"/>
              <w:spacing w:before="0" w:after="283"/>
              <w:jc w:val="right"/>
              <w:rPr/>
            </w:pPr>
            <w:r>
              <w:rPr/>
              <w:t>94.0M</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226" w:type="dxa"/>
            <w:tcBorders>
              <w:bottom w:val="single" w:sz="2" w:space="0" w:color="1F2668"/>
            </w:tcBorders>
            <w:tcMar>
              <w:bottom w:w="70" w:type="dxa"/>
            </w:tcMar>
            <w:vAlign w:val="center"/>
          </w:tcPr>
          <w:p>
            <w:pPr>
              <w:pStyle w:val="TableContents"/>
              <w:bidi w:val="0"/>
              <w:spacing w:before="0" w:after="283"/>
              <w:jc w:val="right"/>
              <w:rPr/>
            </w:pPr>
            <w:r>
              <w:rPr/>
              <w:t>$</w:t>
            </w:r>
          </w:p>
        </w:tc>
        <w:tc>
          <w:tcPr>
            <w:tcW w:w="736" w:type="dxa"/>
            <w:tcBorders>
              <w:bottom w:val="single" w:sz="2" w:space="0" w:color="1F2668"/>
            </w:tcBorders>
            <w:tcMar>
              <w:bottom w:w="70" w:type="dxa"/>
            </w:tcMar>
            <w:vAlign w:val="center"/>
          </w:tcPr>
          <w:p>
            <w:pPr>
              <w:pStyle w:val="TableContents"/>
              <w:bidi w:val="0"/>
              <w:spacing w:before="0" w:after="283"/>
              <w:jc w:val="right"/>
              <w:rPr/>
            </w:pPr>
            <w:r>
              <w:rPr/>
              <w:t>91.0M</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226" w:type="dxa"/>
            <w:tcBorders>
              <w:bottom w:val="single" w:sz="2" w:space="0" w:color="1F2668"/>
            </w:tcBorders>
            <w:tcMar>
              <w:bottom w:w="70" w:type="dxa"/>
            </w:tcMar>
            <w:vAlign w:val="center"/>
          </w:tcPr>
          <w:p>
            <w:pPr>
              <w:pStyle w:val="TableContents"/>
              <w:bidi w:val="0"/>
              <w:spacing w:before="0" w:after="283"/>
              <w:jc w:val="right"/>
              <w:rPr/>
            </w:pPr>
            <w:r>
              <w:rPr/>
              <w:t>$</w:t>
            </w:r>
          </w:p>
        </w:tc>
        <w:tc>
          <w:tcPr>
            <w:tcW w:w="736" w:type="dxa"/>
            <w:tcBorders>
              <w:bottom w:val="single" w:sz="2" w:space="0" w:color="1F2668"/>
            </w:tcBorders>
            <w:tcMar>
              <w:bottom w:w="70" w:type="dxa"/>
            </w:tcMar>
            <w:vAlign w:val="center"/>
          </w:tcPr>
          <w:p>
            <w:pPr>
              <w:pStyle w:val="TableContents"/>
              <w:bidi w:val="0"/>
              <w:spacing w:before="0" w:after="283"/>
              <w:jc w:val="right"/>
              <w:rPr/>
            </w:pPr>
            <w:r>
              <w:rPr/>
              <w:t>88.0M</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226" w:type="dxa"/>
            <w:tcBorders>
              <w:bottom w:val="single" w:sz="2" w:space="0" w:color="1F2668"/>
            </w:tcBorders>
            <w:tcMar>
              <w:bottom w:w="70" w:type="dxa"/>
            </w:tcMar>
            <w:vAlign w:val="center"/>
          </w:tcPr>
          <w:p>
            <w:pPr>
              <w:pStyle w:val="TableContents"/>
              <w:bidi w:val="0"/>
              <w:spacing w:before="0" w:after="283"/>
              <w:jc w:val="right"/>
              <w:rPr/>
            </w:pPr>
            <w:r>
              <w:rPr/>
              <w:t>$</w:t>
            </w:r>
          </w:p>
        </w:tc>
        <w:tc>
          <w:tcPr>
            <w:tcW w:w="736" w:type="dxa"/>
            <w:tcBorders>
              <w:bottom w:val="single" w:sz="2" w:space="0" w:color="1F2668"/>
            </w:tcBorders>
            <w:tcMar>
              <w:bottom w:w="70" w:type="dxa"/>
            </w:tcMar>
            <w:vAlign w:val="center"/>
          </w:tcPr>
          <w:p>
            <w:pPr>
              <w:pStyle w:val="TableContents"/>
              <w:bidi w:val="0"/>
              <w:spacing w:before="0" w:after="283"/>
              <w:jc w:val="right"/>
              <w:rPr/>
            </w:pPr>
            <w:r>
              <w:rPr/>
              <w:t>90.7M</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282"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Determined in December 2025 based on a combination of actual results and estimates.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79070" distB="0" distL="0" distR="0" simplePos="0" locked="0" layoutInCell="1" allowOverlap="1" relativeHeight="617">
                <wp:simplePos x="0" y="0"/>
                <wp:positionH relativeFrom="column">
                  <wp:align>left</wp:align>
                </wp:positionH>
                <wp:positionV relativeFrom="line">
                  <wp:align>top</wp:align>
                </wp:positionV>
                <wp:extent cx="254000" cy="254000"/>
                <wp:effectExtent l="0" t="0" r="0" b="0"/>
                <wp:wrapSquare wrapText="right"/>
                <wp:docPr id="671" name="Frame354"/>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2"/>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14.1pt;mso-wrap-distance-bottom:0pt;margin-top:14.1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2"/>
                          <w:sz w:val="16"/>
                        </w:rPr>
                        <w:t>(1)</w:t>
                      </w:r>
                      <w:r>
                        <w:rPr>
                          <w:sz w:val="16"/>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82"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Includes Gain on Discounted Debt Extinguishment of $20.0M. Gains on Discounted Debt Extinguishment in excess of $20.0M are excluded from the final calculation.</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2070" distB="0" distL="0" distR="0" simplePos="0" locked="0" layoutInCell="1" allowOverlap="1" relativeHeight="618">
                <wp:simplePos x="0" y="0"/>
                <wp:positionH relativeFrom="column">
                  <wp:align>left</wp:align>
                </wp:positionH>
                <wp:positionV relativeFrom="line">
                  <wp:align>top</wp:align>
                </wp:positionV>
                <wp:extent cx="254000" cy="254000"/>
                <wp:effectExtent l="0" t="0" r="0" b="0"/>
                <wp:wrapSquare wrapText="right"/>
                <wp:docPr id="672" name="Frame355"/>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2"/>
                                <w:sz w:val="16"/>
                              </w:rPr>
                              <w:t>(2)</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4.1pt;mso-wrap-distance-bottom:0pt;margin-top:4.1pt;mso-position-vertical:top;mso-position-vertical-relative:text;margin-left:20pt;mso-position-horizontal:left;mso-position-horizontal-relative:text">
                <v:textbox>
                  <w:txbxContent>
                    <w:p>
                      <w:pPr>
                        <w:pStyle w:val="TextBody"/>
                        <w:bidi w:val="0"/>
                        <w:spacing w:lineRule="atLeast" w:line="200" w:before="0" w:after="283"/>
                        <w:jc w:val="left"/>
                        <w:rPr>
                          <w:sz w:val="16"/>
                        </w:rPr>
                      </w:pPr>
                      <w:r>
                        <w:rPr>
                          <w:spacing w:val="-2"/>
                          <w:sz w:val="16"/>
                        </w:rPr>
                        <w:t>(2)</w:t>
                      </w:r>
                      <w:r>
                        <w:rPr>
                          <w:sz w:val="16"/>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82"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Excludes accounting for internal lease costs, one-time severance costs and relocation expenses.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2070" distB="0" distL="0" distR="0" simplePos="0" locked="0" layoutInCell="1" allowOverlap="1" relativeHeight="619">
                <wp:simplePos x="0" y="0"/>
                <wp:positionH relativeFrom="column">
                  <wp:align>left</wp:align>
                </wp:positionH>
                <wp:positionV relativeFrom="line">
                  <wp:align>top</wp:align>
                </wp:positionV>
                <wp:extent cx="254000" cy="254000"/>
                <wp:effectExtent l="0" t="0" r="0" b="0"/>
                <wp:wrapSquare wrapText="right"/>
                <wp:docPr id="673" name="Frame356"/>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2"/>
                                <w:sz w:val="16"/>
                              </w:rPr>
                              <w:t>(3)</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2"/>
                          <w:sz w:val="16"/>
                        </w:rPr>
                        <w:t>(3)</w:t>
                      </w:r>
                      <w:r>
                        <w:rPr>
                          <w:sz w:val="16"/>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i w:val="false"/>
          <w:caps w:val="false"/>
          <w:smallCaps w:val="false"/>
          <w:color w:val="83AD40"/>
          <w:spacing w:val="-2"/>
          <w:sz w:val="18"/>
        </w:rPr>
        <w:t>Annual Bonus Payout.</w:t>
      </w:r>
      <w:r>
        <w:rPr>
          <w:rFonts w:ascii="Arial;Helvetica;sans-serif" w:hAnsi="Arial;Helvetica;sans-serif"/>
          <w:b w:val="false"/>
          <w:i w:val="false"/>
          <w:caps w:val="false"/>
          <w:smallCaps w:val="false"/>
          <w:color w:val="000000"/>
          <w:spacing w:val="-2"/>
          <w:sz w:val="18"/>
        </w:rPr>
        <w:t xml:space="preserve"> Based on our performance relative to the </w:t>
      </w:r>
      <w:r>
        <w:rPr>
          <w:rFonts w:ascii="Arial;Helvetica;sans-serif" w:hAnsi="Arial;Helvetica;sans-serif"/>
          <w:b/>
          <w:i w:val="false"/>
          <w:caps w:val="false"/>
          <w:smallCaps w:val="false"/>
          <w:color w:val="000000"/>
          <w:spacing w:val="-2"/>
          <w:sz w:val="18"/>
        </w:rPr>
        <w:t>preset bonus criteria</w:t>
      </w:r>
      <w:r>
        <w:rPr>
          <w:rFonts w:ascii="Arial;Helvetica;sans-serif" w:hAnsi="Arial;Helvetica;sans-serif"/>
          <w:b w:val="false"/>
          <w:i w:val="false"/>
          <w:caps w:val="false"/>
          <w:smallCaps w:val="false"/>
          <w:color w:val="000000"/>
          <w:spacing w:val="-2"/>
          <w:sz w:val="18"/>
        </w:rPr>
        <w:t xml:space="preserve"> established in January 2025, Mr. Holliday, Mr. DiLiberto, and Mr. Levine earned approximately </w:t>
      </w:r>
      <w:r>
        <w:rPr>
          <w:rFonts w:ascii="Arial;Helvetica;sans-serif" w:hAnsi="Arial;Helvetica;sans-serif"/>
          <w:b/>
          <w:i w:val="false"/>
          <w:caps w:val="false"/>
          <w:smallCaps w:val="false"/>
          <w:color w:val="000000"/>
          <w:spacing w:val="-2"/>
          <w:sz w:val="18"/>
        </w:rPr>
        <w:t>120.0%, 95.6% and 99.0%</w:t>
      </w:r>
      <w:r>
        <w:rPr>
          <w:rFonts w:ascii="Arial;Helvetica;sans-serif" w:hAnsi="Arial;Helvetica;sans-serif"/>
          <w:b w:val="false"/>
          <w:i w:val="false"/>
          <w:caps w:val="false"/>
          <w:smallCaps w:val="false"/>
          <w:color w:val="000000"/>
          <w:spacing w:val="-2"/>
          <w:sz w:val="18"/>
        </w:rPr>
        <w:t>, respectively</w:t>
      </w:r>
      <w:r>
        <w:rPr>
          <w:rFonts w:ascii="Arial;Helvetica;sans-serif" w:hAnsi="Arial;Helvetica;sans-serif"/>
          <w:b/>
          <w:i w:val="false"/>
          <w:caps w:val="false"/>
          <w:smallCaps w:val="false"/>
          <w:color w:val="000000"/>
          <w:spacing w:val="-2"/>
          <w:sz w:val="18"/>
        </w:rPr>
        <w:t>,</w:t>
      </w:r>
      <w:r>
        <w:rPr>
          <w:rFonts w:ascii="Arial;Helvetica;sans-serif" w:hAnsi="Arial;Helvetica;sans-serif"/>
          <w:b w:val="false"/>
          <w:i w:val="false"/>
          <w:caps w:val="false"/>
          <w:smallCaps w:val="false"/>
          <w:color w:val="000000"/>
          <w:spacing w:val="-2"/>
          <w:sz w:val="18"/>
        </w:rPr>
        <w:t xml:space="preserve"> of the formulaic component of their respective 2025 target bonus. Each year, we determine the formulaic component of annual cash bonuses in December based on projected results, which may result in adjustments if actual results differ from our projections. The table below summarizes the aggregate bonus amounts received by our named executive officers for 2025 on a formulaic, discretionary and aggregate basis.</w:t>
      </w:r>
      <w:r>
        <w:rPr>
          <w:rFonts w:ascii="Arial;Helvetica;sans-serif" w:hAnsi="Arial;Helvetica;sans-serif"/>
          <w:b w:val="false"/>
          <w:i w:val="false"/>
          <w:caps w:val="false"/>
          <w:smallCaps w:val="false"/>
          <w:color w:val="000000"/>
          <w:spacing w:val="4"/>
          <w:sz w:val="18"/>
        </w:rPr>
        <w:t xml:space="preserve"> </w:t>
      </w:r>
    </w:p>
    <w:tbl>
      <w:tblPr>
        <w:tblW w:w="9305" w:type="dxa"/>
        <w:jc w:val="left"/>
        <w:tblInd w:w="900" w:type="dxa"/>
        <w:tblLayout w:type="fixed"/>
        <w:tblCellMar>
          <w:top w:w="0" w:type="dxa"/>
          <w:left w:w="0" w:type="dxa"/>
          <w:bottom w:w="70" w:type="dxa"/>
          <w:right w:w="0" w:type="dxa"/>
        </w:tblCellMar>
      </w:tblPr>
      <w:tblGrid>
        <w:gridCol w:w="2309"/>
        <w:gridCol w:w="109"/>
        <w:gridCol w:w="109"/>
        <w:gridCol w:w="109"/>
        <w:gridCol w:w="226"/>
        <w:gridCol w:w="1066"/>
        <w:gridCol w:w="109"/>
        <w:gridCol w:w="109"/>
        <w:gridCol w:w="109"/>
        <w:gridCol w:w="128"/>
        <w:gridCol w:w="270"/>
        <w:gridCol w:w="1060"/>
        <w:gridCol w:w="131"/>
        <w:gridCol w:w="109"/>
        <w:gridCol w:w="109"/>
        <w:gridCol w:w="109"/>
        <w:gridCol w:w="226"/>
        <w:gridCol w:w="914"/>
        <w:gridCol w:w="109"/>
        <w:gridCol w:w="109"/>
        <w:gridCol w:w="109"/>
        <w:gridCol w:w="109"/>
        <w:gridCol w:w="226"/>
        <w:gridCol w:w="1066"/>
        <w:gridCol w:w="109"/>
        <w:gridCol w:w="157"/>
      </w:tblGrid>
      <w:tr>
        <w:trPr/>
        <w:tc>
          <w:tcPr>
            <w:tcW w:w="2309" w:type="dxa"/>
            <w:tcBorders>
              <w:bottom w:val="single" w:sz="2" w:space="0" w:color="1F2668"/>
            </w:tcBorders>
            <w:vAlign w:val="center"/>
          </w:tcPr>
          <w:p>
            <w:pPr>
              <w:pStyle w:val="TableContents"/>
              <w:bidi w:val="0"/>
              <w:spacing w:before="0" w:after="0"/>
              <w:jc w:val="left"/>
              <w:rPr>
                <w:spacing w:val="-2"/>
              </w:rPr>
            </w:pPr>
            <w:r>
              <w:rPr>
                <w:spacing w:val="-2"/>
              </w:rPr>
              <w:t xml:space="preserve">Executive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1F2668"/>
            </w:tcBorders>
            <w:vAlign w:val="center"/>
          </w:tcPr>
          <w:p>
            <w:pPr>
              <w:pStyle w:val="TableContents"/>
              <w:bidi w:val="0"/>
              <w:spacing w:before="0" w:after="0"/>
              <w:jc w:val="center"/>
              <w:rPr>
                <w:spacing w:val="-2"/>
              </w:rPr>
            </w:pPr>
            <w:r>
              <w:rPr>
                <w:spacing w:val="-2"/>
              </w:rPr>
              <w:t xml:space="preserve">Formulaic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89" w:type="dxa"/>
            <w:gridSpan w:val="4"/>
            <w:tcBorders>
              <w:bottom w:val="single" w:sz="2" w:space="0" w:color="1F2668"/>
            </w:tcBorders>
            <w:vAlign w:val="center"/>
          </w:tcPr>
          <w:p>
            <w:pPr>
              <w:pStyle w:val="TableContents"/>
              <w:bidi w:val="0"/>
              <w:spacing w:before="0" w:after="0"/>
              <w:jc w:val="center"/>
              <w:rPr>
                <w:spacing w:val="-2"/>
              </w:rPr>
            </w:pPr>
            <w:r>
              <w:rPr>
                <w:spacing w:val="-2"/>
              </w:rPr>
              <w:t xml:space="preserve">Non-Formulaic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58" w:type="dxa"/>
            <w:gridSpan w:val="4"/>
            <w:tcBorders>
              <w:bottom w:val="single" w:sz="2" w:space="0" w:color="1F2668"/>
            </w:tcBorders>
            <w:vAlign w:val="center"/>
          </w:tcPr>
          <w:p>
            <w:pPr>
              <w:pStyle w:val="TableContents"/>
              <w:bidi w:val="0"/>
              <w:spacing w:lineRule="atLeast" w:line="142" w:before="0" w:after="0"/>
              <w:jc w:val="center"/>
              <w:rPr/>
            </w:pPr>
            <w:r>
              <w:rPr>
                <w:spacing w:val="-2"/>
              </w:rPr>
              <w:t>Adjustment</w:t>
            </w:r>
            <w:r>
              <w:rPr>
                <w:b/>
                <w:spacing w:val="-1"/>
                <w:sz w:val="10"/>
              </w:rPr>
              <w:t>(1)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1F2668"/>
            </w:tcBorders>
            <w:vAlign w:val="center"/>
          </w:tcPr>
          <w:p>
            <w:pPr>
              <w:pStyle w:val="TableContents"/>
              <w:bidi w:val="0"/>
              <w:spacing w:lineRule="atLeast" w:line="142" w:before="0" w:after="0"/>
              <w:jc w:val="center"/>
              <w:rPr/>
            </w:pPr>
            <w:r>
              <w:rPr>
                <w:spacing w:val="-2"/>
              </w:rPr>
              <w:t>Total Bonus</w:t>
            </w:r>
            <w:r>
              <w:rPr>
                <w:b/>
                <w:spacing w:val="-1"/>
                <w:sz w:val="10"/>
              </w:rPr>
              <w:t>(2)</w:t>
            </w:r>
            <w:r>
              <w:rPr/>
              <w:t xml:space="preserve"> </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309" w:type="dxa"/>
            <w:tcBorders>
              <w:bottom w:val="single" w:sz="2" w:space="0" w:color="4B5088"/>
            </w:tcBorders>
            <w:vAlign w:val="center"/>
          </w:tcPr>
          <w:p>
            <w:pPr>
              <w:pStyle w:val="TableContents"/>
              <w:bidi w:val="0"/>
              <w:spacing w:before="0" w:after="0"/>
              <w:jc w:val="left"/>
              <w:rPr>
                <w:b/>
              </w:rPr>
            </w:pPr>
            <w:r>
              <w:rPr>
                <w:b/>
                <w:spacing w:val="-2"/>
              </w:rPr>
              <w:t>Marc Holliday</w:t>
            </w:r>
            <w:r>
              <w:rPr>
                <w:b/>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vAlign w:val="center"/>
          </w:tcPr>
          <w:p>
            <w:pPr>
              <w:pStyle w:val="TableContents"/>
              <w:bidi w:val="0"/>
              <w:spacing w:before="0" w:after="283"/>
              <w:jc w:val="right"/>
              <w:rPr/>
            </w:pPr>
            <w:r>
              <w:rPr/>
              <w:t>$</w:t>
            </w:r>
          </w:p>
        </w:tc>
        <w:tc>
          <w:tcPr>
            <w:tcW w:w="1066" w:type="dxa"/>
            <w:tcBorders>
              <w:bottom w:val="single" w:sz="2" w:space="0" w:color="4B5088"/>
            </w:tcBorders>
            <w:vAlign w:val="center"/>
          </w:tcPr>
          <w:p>
            <w:pPr>
              <w:pStyle w:val="TableContents"/>
              <w:bidi w:val="0"/>
              <w:spacing w:before="0" w:after="283"/>
              <w:jc w:val="right"/>
              <w:rPr/>
            </w:pPr>
            <w:r>
              <w:rPr/>
              <w:t>3,360,000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8" w:type="dxa"/>
            <w:tcBorders>
              <w:bottom w:val="single" w:sz="2" w:space="0" w:color="4B5088"/>
            </w:tcBorders>
            <w:tcMar>
              <w:bottom w:w="28" w:type="dxa"/>
            </w:tcMar>
            <w:vAlign w:val="center"/>
          </w:tcPr>
          <w:p>
            <w:pPr>
              <w:pStyle w:val="TableContents"/>
              <w:bidi w:val="0"/>
              <w:spacing w:before="0" w:after="283"/>
              <w:jc w:val="left"/>
              <w:rPr/>
            </w:pPr>
            <w:r>
              <w:rPr/>
              <w:t>​</w:t>
            </w:r>
          </w:p>
        </w:tc>
        <w:tc>
          <w:tcPr>
            <w:tcW w:w="270" w:type="dxa"/>
            <w:tcBorders>
              <w:bottom w:val="single" w:sz="2" w:space="0" w:color="4B5088"/>
            </w:tcBorders>
            <w:vAlign w:val="center"/>
          </w:tcPr>
          <w:p>
            <w:pPr>
              <w:pStyle w:val="TableContents"/>
              <w:bidi w:val="0"/>
              <w:spacing w:before="0" w:after="283"/>
              <w:jc w:val="right"/>
              <w:rPr/>
            </w:pPr>
            <w:r>
              <w:rPr/>
              <w:t>​</w:t>
            </w:r>
          </w:p>
        </w:tc>
        <w:tc>
          <w:tcPr>
            <w:tcW w:w="1060" w:type="dxa"/>
            <w:tcBorders>
              <w:bottom w:val="single" w:sz="2" w:space="0" w:color="4B5088"/>
            </w:tcBorders>
            <w:vAlign w:val="center"/>
          </w:tcPr>
          <w:p>
            <w:pPr>
              <w:pStyle w:val="TableContents"/>
              <w:bidi w:val="0"/>
              <w:spacing w:before="0" w:after="283"/>
              <w:jc w:val="right"/>
              <w:rPr/>
            </w:pPr>
            <w:r>
              <w:rPr/>
              <w:t>—</w:t>
            </w:r>
          </w:p>
        </w:tc>
        <w:tc>
          <w:tcPr>
            <w:tcW w:w="131"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vAlign w:val="center"/>
          </w:tcPr>
          <w:p>
            <w:pPr>
              <w:pStyle w:val="TableContents"/>
              <w:bidi w:val="0"/>
              <w:spacing w:before="0" w:after="283"/>
              <w:jc w:val="right"/>
              <w:rPr/>
            </w:pPr>
            <w:r>
              <w:rPr/>
              <w:t>$</w:t>
            </w:r>
          </w:p>
        </w:tc>
        <w:tc>
          <w:tcPr>
            <w:tcW w:w="914" w:type="dxa"/>
            <w:tcBorders>
              <w:bottom w:val="single" w:sz="2" w:space="0" w:color="4B5088"/>
            </w:tcBorders>
            <w:vAlign w:val="center"/>
          </w:tcPr>
          <w:p>
            <w:pPr>
              <w:pStyle w:val="TableContents"/>
              <w:bidi w:val="0"/>
              <w:spacing w:before="0" w:after="283"/>
              <w:jc w:val="right"/>
              <w:rPr/>
            </w:pPr>
            <w:r>
              <w:rPr/>
              <w:t>(81,250)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vAlign w:val="center"/>
          </w:tcPr>
          <w:p>
            <w:pPr>
              <w:pStyle w:val="TableContents"/>
              <w:bidi w:val="0"/>
              <w:spacing w:before="0" w:after="283"/>
              <w:jc w:val="right"/>
              <w:rPr/>
            </w:pPr>
            <w:r>
              <w:rPr/>
              <w:t>$</w:t>
            </w:r>
          </w:p>
        </w:tc>
        <w:tc>
          <w:tcPr>
            <w:tcW w:w="1066" w:type="dxa"/>
            <w:tcBorders>
              <w:bottom w:val="single" w:sz="2" w:space="0" w:color="4B5088"/>
            </w:tcBorders>
            <w:vAlign w:val="center"/>
          </w:tcPr>
          <w:p>
            <w:pPr>
              <w:pStyle w:val="TableContents"/>
              <w:bidi w:val="0"/>
              <w:spacing w:before="0" w:after="283"/>
              <w:jc w:val="right"/>
              <w:rPr/>
            </w:pPr>
            <w:r>
              <w:rPr/>
              <w:t>3,278,750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309" w:type="dxa"/>
            <w:tcBorders>
              <w:bottom w:val="single" w:sz="2" w:space="0" w:color="4B5088"/>
            </w:tcBorders>
            <w:vAlign w:val="center"/>
          </w:tcPr>
          <w:p>
            <w:pPr>
              <w:pStyle w:val="TableContents"/>
              <w:bidi w:val="0"/>
              <w:spacing w:before="0" w:after="0"/>
              <w:jc w:val="left"/>
              <w:rPr>
                <w:b/>
              </w:rPr>
            </w:pPr>
            <w:r>
              <w:rPr>
                <w:b/>
                <w:spacing w:val="-2"/>
              </w:rPr>
              <w:t>Matthew J. DiLiberto</w:t>
            </w:r>
            <w:r>
              <w:rPr>
                <w:b/>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vAlign w:val="center"/>
          </w:tcPr>
          <w:p>
            <w:pPr>
              <w:pStyle w:val="TableContents"/>
              <w:bidi w:val="0"/>
              <w:spacing w:before="0" w:after="283"/>
              <w:jc w:val="right"/>
              <w:rPr/>
            </w:pPr>
            <w:r>
              <w:rPr/>
              <w:t>$</w:t>
            </w:r>
          </w:p>
        </w:tc>
        <w:tc>
          <w:tcPr>
            <w:tcW w:w="1066" w:type="dxa"/>
            <w:tcBorders>
              <w:bottom w:val="single" w:sz="2" w:space="0" w:color="4B5088"/>
            </w:tcBorders>
            <w:vAlign w:val="center"/>
          </w:tcPr>
          <w:p>
            <w:pPr>
              <w:pStyle w:val="TableContents"/>
              <w:bidi w:val="0"/>
              <w:spacing w:before="0" w:after="283"/>
              <w:jc w:val="right"/>
              <w:rPr/>
            </w:pPr>
            <w:r>
              <w:rPr/>
              <w:t>1,003,500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8" w:type="dxa"/>
            <w:tcBorders>
              <w:bottom w:val="single" w:sz="2" w:space="0" w:color="4B5088"/>
            </w:tcBorders>
            <w:tcMar>
              <w:bottom w:w="28" w:type="dxa"/>
            </w:tcMar>
            <w:vAlign w:val="center"/>
          </w:tcPr>
          <w:p>
            <w:pPr>
              <w:pStyle w:val="TableContents"/>
              <w:bidi w:val="0"/>
              <w:spacing w:before="0" w:after="283"/>
              <w:jc w:val="left"/>
              <w:rPr/>
            </w:pPr>
            <w:r>
              <w:rPr/>
              <w:t>​</w:t>
            </w:r>
          </w:p>
        </w:tc>
        <w:tc>
          <w:tcPr>
            <w:tcW w:w="270" w:type="dxa"/>
            <w:tcBorders>
              <w:bottom w:val="single" w:sz="2" w:space="0" w:color="4B5088"/>
            </w:tcBorders>
            <w:vAlign w:val="center"/>
          </w:tcPr>
          <w:p>
            <w:pPr>
              <w:pStyle w:val="TableContents"/>
              <w:bidi w:val="0"/>
              <w:spacing w:before="0" w:after="283"/>
              <w:jc w:val="right"/>
              <w:rPr/>
            </w:pPr>
            <w:r>
              <w:rPr/>
              <w:t>$</w:t>
            </w:r>
          </w:p>
        </w:tc>
        <w:tc>
          <w:tcPr>
            <w:tcW w:w="1060" w:type="dxa"/>
            <w:tcBorders>
              <w:bottom w:val="single" w:sz="2" w:space="0" w:color="4B5088"/>
            </w:tcBorders>
            <w:vAlign w:val="center"/>
          </w:tcPr>
          <w:p>
            <w:pPr>
              <w:pStyle w:val="TableContents"/>
              <w:bidi w:val="0"/>
              <w:spacing w:before="0" w:after="283"/>
              <w:jc w:val="right"/>
              <w:rPr/>
            </w:pPr>
            <w:r>
              <w:rPr/>
              <w:t>669,000</w:t>
            </w:r>
          </w:p>
        </w:tc>
        <w:tc>
          <w:tcPr>
            <w:tcW w:w="131"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vAlign w:val="center"/>
          </w:tcPr>
          <w:p>
            <w:pPr>
              <w:pStyle w:val="TableContents"/>
              <w:bidi w:val="0"/>
              <w:spacing w:before="0" w:after="283"/>
              <w:jc w:val="right"/>
              <w:rPr/>
            </w:pPr>
            <w:r>
              <w:rPr/>
              <w:t>$</w:t>
            </w:r>
          </w:p>
        </w:tc>
        <w:tc>
          <w:tcPr>
            <w:tcW w:w="914" w:type="dxa"/>
            <w:tcBorders>
              <w:bottom w:val="single" w:sz="2" w:space="0" w:color="4B5088"/>
            </w:tcBorders>
            <w:vAlign w:val="center"/>
          </w:tcPr>
          <w:p>
            <w:pPr>
              <w:pStyle w:val="TableContents"/>
              <w:bidi w:val="0"/>
              <w:spacing w:before="0" w:after="283"/>
              <w:jc w:val="right"/>
              <w:rPr/>
            </w:pPr>
            <w:r>
              <w:rPr/>
              <w:t>(50,000)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vAlign w:val="center"/>
          </w:tcPr>
          <w:p>
            <w:pPr>
              <w:pStyle w:val="TableContents"/>
              <w:bidi w:val="0"/>
              <w:spacing w:before="0" w:after="283"/>
              <w:jc w:val="right"/>
              <w:rPr/>
            </w:pPr>
            <w:r>
              <w:rPr/>
              <w:t>$</w:t>
            </w:r>
          </w:p>
        </w:tc>
        <w:tc>
          <w:tcPr>
            <w:tcW w:w="1066" w:type="dxa"/>
            <w:tcBorders>
              <w:bottom w:val="single" w:sz="2" w:space="0" w:color="4B5088"/>
            </w:tcBorders>
            <w:vAlign w:val="center"/>
          </w:tcPr>
          <w:p>
            <w:pPr>
              <w:pStyle w:val="TableContents"/>
              <w:bidi w:val="0"/>
              <w:spacing w:before="0" w:after="283"/>
              <w:jc w:val="right"/>
              <w:rPr/>
            </w:pPr>
            <w:r>
              <w:rPr/>
              <w:t>1,622,500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309" w:type="dxa"/>
            <w:tcBorders>
              <w:bottom w:val="single" w:sz="2" w:space="0" w:color="4B5088"/>
            </w:tcBorders>
            <w:vAlign w:val="center"/>
          </w:tcPr>
          <w:p>
            <w:pPr>
              <w:pStyle w:val="TableContents"/>
              <w:bidi w:val="0"/>
              <w:spacing w:before="0" w:after="0"/>
              <w:jc w:val="left"/>
              <w:rPr>
                <w:b/>
              </w:rPr>
            </w:pPr>
            <w:r>
              <w:rPr>
                <w:b/>
                <w:spacing w:val="-2"/>
              </w:rPr>
              <w:t>Andrew S. Levine</w:t>
            </w:r>
            <w:r>
              <w:rPr>
                <w:b/>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vAlign w:val="center"/>
          </w:tcPr>
          <w:p>
            <w:pPr>
              <w:pStyle w:val="TableContents"/>
              <w:bidi w:val="0"/>
              <w:spacing w:before="0" w:after="283"/>
              <w:jc w:val="right"/>
              <w:rPr/>
            </w:pPr>
            <w:r>
              <w:rPr/>
              <w:t>$</w:t>
            </w:r>
          </w:p>
        </w:tc>
        <w:tc>
          <w:tcPr>
            <w:tcW w:w="1066" w:type="dxa"/>
            <w:tcBorders>
              <w:bottom w:val="single" w:sz="2" w:space="0" w:color="4B5088"/>
            </w:tcBorders>
            <w:vAlign w:val="center"/>
          </w:tcPr>
          <w:p>
            <w:pPr>
              <w:pStyle w:val="TableContents"/>
              <w:bidi w:val="0"/>
              <w:spacing w:before="0" w:after="283"/>
              <w:jc w:val="right"/>
              <w:rPr/>
            </w:pPr>
            <w:r>
              <w:rPr/>
              <w:t>594,000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8" w:type="dxa"/>
            <w:tcBorders>
              <w:bottom w:val="single" w:sz="2" w:space="0" w:color="4B5088"/>
            </w:tcBorders>
            <w:tcMar>
              <w:bottom w:w="28" w:type="dxa"/>
            </w:tcMar>
            <w:vAlign w:val="center"/>
          </w:tcPr>
          <w:p>
            <w:pPr>
              <w:pStyle w:val="TableContents"/>
              <w:bidi w:val="0"/>
              <w:spacing w:before="0" w:after="283"/>
              <w:jc w:val="left"/>
              <w:rPr/>
            </w:pPr>
            <w:r>
              <w:rPr/>
              <w:t>​</w:t>
            </w:r>
          </w:p>
        </w:tc>
        <w:tc>
          <w:tcPr>
            <w:tcW w:w="270" w:type="dxa"/>
            <w:tcBorders>
              <w:bottom w:val="single" w:sz="2" w:space="0" w:color="4B5088"/>
            </w:tcBorders>
            <w:vAlign w:val="center"/>
          </w:tcPr>
          <w:p>
            <w:pPr>
              <w:pStyle w:val="TableContents"/>
              <w:bidi w:val="0"/>
              <w:spacing w:before="0" w:after="283"/>
              <w:jc w:val="right"/>
              <w:rPr/>
            </w:pPr>
            <w:r>
              <w:rPr/>
              <w:t>$</w:t>
            </w:r>
          </w:p>
        </w:tc>
        <w:tc>
          <w:tcPr>
            <w:tcW w:w="1060" w:type="dxa"/>
            <w:tcBorders>
              <w:bottom w:val="single" w:sz="2" w:space="0" w:color="4B5088"/>
            </w:tcBorders>
            <w:vAlign w:val="center"/>
          </w:tcPr>
          <w:p>
            <w:pPr>
              <w:pStyle w:val="TableContents"/>
              <w:bidi w:val="0"/>
              <w:spacing w:before="0" w:after="283"/>
              <w:jc w:val="right"/>
              <w:rPr/>
            </w:pPr>
            <w:r>
              <w:rPr/>
              <w:t>506,000</w:t>
            </w:r>
          </w:p>
        </w:tc>
        <w:tc>
          <w:tcPr>
            <w:tcW w:w="131"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vAlign w:val="center"/>
          </w:tcPr>
          <w:p>
            <w:pPr>
              <w:pStyle w:val="TableContents"/>
              <w:bidi w:val="0"/>
              <w:spacing w:before="0" w:after="283"/>
              <w:jc w:val="right"/>
              <w:rPr/>
            </w:pPr>
            <w:r>
              <w:rPr/>
              <w:t>​</w:t>
            </w:r>
          </w:p>
        </w:tc>
        <w:tc>
          <w:tcPr>
            <w:tcW w:w="914" w:type="dxa"/>
            <w:tcBorders>
              <w:bottom w:val="single" w:sz="2" w:space="0" w:color="4B5088"/>
            </w:tcBorders>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vAlign w:val="center"/>
          </w:tcPr>
          <w:p>
            <w:pPr>
              <w:pStyle w:val="TableContents"/>
              <w:bidi w:val="0"/>
              <w:spacing w:before="0" w:after="283"/>
              <w:jc w:val="right"/>
              <w:rPr/>
            </w:pPr>
            <w:r>
              <w:rPr/>
              <w:t>$</w:t>
            </w:r>
          </w:p>
        </w:tc>
        <w:tc>
          <w:tcPr>
            <w:tcW w:w="1066" w:type="dxa"/>
            <w:tcBorders>
              <w:bottom w:val="single" w:sz="2" w:space="0" w:color="4B5088"/>
            </w:tcBorders>
            <w:vAlign w:val="center"/>
          </w:tcPr>
          <w:p>
            <w:pPr>
              <w:pStyle w:val="TableContents"/>
              <w:bidi w:val="0"/>
              <w:spacing w:before="0" w:after="283"/>
              <w:jc w:val="right"/>
              <w:rPr/>
            </w:pPr>
            <w:r>
              <w:rPr/>
              <w:t>1,100,000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240"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Represents an adjustment to 2025 cash bonus amounts earned based on actual 2024 performance. Each year, we determine the formulaic component of annual cash bonuses in December based on projected results, which may result in adjustments if actual results differ from our projections. Because 2025 was the first year in which Mr. Levine participated in our formulaic cash bonus program, adjustments were made only for Mr. Holliday and Mr. DiLiberto based on actual 2024 performance.</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52400" distB="0" distL="0" distR="0" simplePos="0" locked="0" layoutInCell="1" allowOverlap="1" relativeHeight="620">
                <wp:simplePos x="0" y="0"/>
                <wp:positionH relativeFrom="column">
                  <wp:align>left</wp:align>
                </wp:positionH>
                <wp:positionV relativeFrom="line">
                  <wp:align>top</wp:align>
                </wp:positionV>
                <wp:extent cx="254000" cy="254000"/>
                <wp:effectExtent l="0" t="0" r="0" b="0"/>
                <wp:wrapSquare wrapText="right"/>
                <wp:docPr id="674" name="Frame357"/>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2"/>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2"/>
                          <w:sz w:val="16"/>
                        </w:rPr>
                        <w:t>(1)</w:t>
                      </w:r>
                      <w:r>
                        <w:rPr>
                          <w:sz w:val="16"/>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Mr. Holliday elected to receive 50% of his bonus in the form of LTIP units and Mr. DiLiberto and Mr. Levine received 100% of their bonuses in the form of LTIP units based upon the discretion of the Committee.</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621">
                <wp:simplePos x="0" y="0"/>
                <wp:positionH relativeFrom="column">
                  <wp:align>left</wp:align>
                </wp:positionH>
                <wp:positionV relativeFrom="line">
                  <wp:align>top</wp:align>
                </wp:positionV>
                <wp:extent cx="254000" cy="254000"/>
                <wp:effectExtent l="0" t="0" r="0" b="0"/>
                <wp:wrapSquare wrapText="right"/>
                <wp:docPr id="675" name="Frame358"/>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2"/>
                                <w:sz w:val="16"/>
                              </w:rPr>
                              <w:t>(2)</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2"/>
                          <w:sz w:val="16"/>
                        </w:rPr>
                        <w:t>(2)</w:t>
                      </w:r>
                      <w:r>
                        <w:rPr>
                          <w:sz w:val="16"/>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4330" w:type="dxa"/>
        <w:jc w:val="left"/>
        <w:tblInd w:w="900" w:type="dxa"/>
        <w:tblLayout w:type="fixed"/>
        <w:tblCellMar>
          <w:top w:w="0" w:type="dxa"/>
          <w:left w:w="0" w:type="dxa"/>
          <w:bottom w:w="0" w:type="dxa"/>
          <w:right w:w="0" w:type="dxa"/>
        </w:tblCellMar>
      </w:tblPr>
      <w:tblGrid>
        <w:gridCol w:w="124"/>
        <w:gridCol w:w="3488"/>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3488" w:type="dxa"/>
            <w:tcBorders/>
            <w:vAlign w:val="center"/>
          </w:tcPr>
          <w:p>
            <w:pPr>
              <w:pStyle w:val="TableContents"/>
              <w:bidi w:val="0"/>
              <w:spacing w:lineRule="atLeast" w:line="200" w:before="0" w:after="0"/>
              <w:jc w:val="left"/>
              <w:rPr/>
            </w:pPr>
            <w:r>
              <w:rPr>
                <w:spacing w:val="-2"/>
              </w:rPr>
              <w:t>EXECUTIVE COMPENSATION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color w:val="1F2668"/>
                <w:sz w:val="24"/>
              </w:rPr>
            </w:pPr>
            <w:r>
              <w:rPr>
                <w:color w:val="1F2668"/>
                <w:sz w:val="24"/>
              </w:rPr>
              <w:t>49</w:t>
            </w:r>
          </w:p>
        </w:tc>
        <w:tc>
          <w:tcPr>
            <w:tcW w:w="154" w:type="dxa"/>
            <w:tcBorders/>
            <w:vAlign w:val="center"/>
          </w:tcPr>
          <w:p>
            <w:pPr>
              <w:pStyle w:val="TableContents"/>
              <w:bidi w:val="0"/>
              <w:spacing w:before="0" w:after="283"/>
              <w:jc w:val="left"/>
              <w:rPr/>
            </w:pPr>
            <w:r>
              <w:rPr/>
              <w:t>​</w:t>
            </w:r>
          </w:p>
        </w:tc>
      </w:tr>
    </w:tbl>
    <w:tbl>
      <w:tblPr>
        <w:tblW w:w="9305" w:type="dxa"/>
        <w:jc w:val="left"/>
        <w:tblInd w:w="900" w:type="dxa"/>
        <w:tblLayout w:type="fixed"/>
        <w:tblCellMar>
          <w:top w:w="0" w:type="dxa"/>
          <w:left w:w="0" w:type="dxa"/>
          <w:bottom w:w="0" w:type="dxa"/>
          <w:right w:w="0" w:type="dxa"/>
        </w:tblCellMar>
      </w:tblPr>
      <w:tblGrid>
        <w:gridCol w:w="124"/>
        <w:gridCol w:w="9027"/>
        <w:gridCol w:w="154"/>
      </w:tblGrid>
      <w:tr>
        <w:trPr/>
        <w:tc>
          <w:tcPr>
            <w:tcW w:w="124" w:type="dxa"/>
            <w:tcBorders/>
            <w:shd w:fill="E9F9D8" w:val="clear"/>
            <w:vAlign w:val="center"/>
          </w:tcPr>
          <w:p>
            <w:pPr>
              <w:pStyle w:val="TableContents"/>
              <w:bidi w:val="0"/>
              <w:spacing w:before="0" w:after="283"/>
              <w:jc w:val="left"/>
              <w:rPr/>
            </w:pPr>
            <w:r>
              <w:rPr/>
              <w:t>​</w:t>
            </w:r>
          </w:p>
        </w:tc>
        <w:tc>
          <w:tcPr>
            <w:tcW w:w="9027" w:type="dxa"/>
            <w:tcBorders/>
            <w:shd w:fill="E9F9D8" w:val="clear"/>
            <w:vAlign w:val="center"/>
          </w:tcPr>
          <w:p>
            <w:pPr>
              <w:pStyle w:val="TableContents"/>
              <w:bidi w:val="0"/>
              <w:spacing w:lineRule="atLeast" w:line="220" w:before="0" w:after="0"/>
              <w:jc w:val="left"/>
              <w:rPr/>
            </w:pPr>
            <w:r>
              <w:rPr>
                <w:spacing w:val="-2"/>
              </w:rPr>
              <w:t xml:space="preserve">The </w:t>
            </w:r>
            <w:r>
              <w:rPr>
                <w:b/>
                <w:spacing w:val="-2"/>
              </w:rPr>
              <w:t>specific performance criteria and respective preset goals</w:t>
            </w:r>
            <w:r>
              <w:rPr>
                <w:spacing w:val="-2"/>
              </w:rPr>
              <w:t xml:space="preserve"> that underpin our formulaic annual bonus program are established in January of each year by the Committee. These criteria and goals are </w:t>
            </w:r>
            <w:r>
              <w:rPr>
                <w:b/>
                <w:spacing w:val="-2"/>
              </w:rPr>
              <w:t>in line with guidance presented at our annual investor conference</w:t>
            </w:r>
            <w:r>
              <w:rPr>
                <w:spacing w:val="-2"/>
              </w:rPr>
              <w:t xml:space="preserve"> and are set forth below under “2025 Performance Summary.”</w:t>
            </w:r>
            <w:r>
              <w:rPr/>
              <w:t xml:space="preserve"> </w:t>
            </w:r>
          </w:p>
        </w:tc>
        <w:tc>
          <w:tcPr>
            <w:tcW w:w="154" w:type="dxa"/>
            <w:tcBorders/>
            <w:shd w:fill="E9F9D8" w:val="clear"/>
            <w:vAlign w:val="center"/>
          </w:tcPr>
          <w:p>
            <w:pPr>
              <w:pStyle w:val="TableContents"/>
              <w:bidi w:val="0"/>
              <w:spacing w:before="0" w:after="283"/>
              <w:jc w:val="left"/>
              <w:rPr/>
            </w:pPr>
            <w:r>
              <w:rPr/>
              <w:t>​</w:t>
            </w:r>
          </w:p>
        </w:tc>
      </w:tr>
    </w:tbl>
    <w:p>
      <w:pPr>
        <w:pStyle w:val="TextBody"/>
        <w:bidi w:val="0"/>
        <w:spacing w:lineRule="atLeast" w:line="250" w:before="184" w:after="283"/>
        <w:ind w:left="9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i w:val="false"/>
          <w:caps w:val="false"/>
          <w:smallCaps w:val="false"/>
          <w:color w:val="83AD40"/>
          <w:spacing w:val="-2"/>
          <w:sz w:val="18"/>
        </w:rPr>
        <w:t>Committee Evaluation for Non-Formulaic Component of Annual Bonus-CFO and General Counsel.</w:t>
      </w:r>
      <w:r>
        <w:rPr>
          <w:rFonts w:ascii="Arial;Helvetica;sans-serif" w:hAnsi="Arial;Helvetica;sans-serif"/>
          <w:b w:val="false"/>
          <w:i w:val="false"/>
          <w:caps w:val="false"/>
          <w:smallCaps w:val="false"/>
          <w:color w:val="000000"/>
          <w:spacing w:val="-2"/>
          <w:sz w:val="18"/>
        </w:rPr>
        <w:t xml:space="preserve"> The employment agreements in effect with our CFO and General Counsel provide for a non-formulaic component of annual bonus equal to 40% and 50%, respectively, of their total bonus opportunity. After calculating the formulaic component described above, such formulaic amount is then divided by 0.6 (for Mr. DiLiberto) and by 0.5 (for Mr. Levine), less, in each case, the amount of the as-calculated formulaic component, to establish a non-formulaic bonus opportunity. Each of our CFO and General Counsel may then earn between 0% and 100% of the non-formulaic component as determined in the discretion of the Committee. For 2025, the Committee awarded Mr. DiLiberto and Mr. Levine $669,000 and $506,000, respectively, as the discretionary bonus. </w:t>
      </w:r>
      <w:r>
        <w:rPr>
          <w:rFonts w:ascii="Arial;Helvetica;sans-serif" w:hAnsi="Arial;Helvetica;sans-serif"/>
          <w:b/>
          <w:i w:val="false"/>
          <w:caps w:val="false"/>
          <w:smallCaps w:val="false"/>
          <w:color w:val="000000"/>
          <w:spacing w:val="-2"/>
          <w:sz w:val="18"/>
        </w:rPr>
        <w:t>Prior to 2025, the annual cash bonus for our General Counsel was 100% discretionary.</w:t>
      </w:r>
      <w:r>
        <w:rPr>
          <w:rFonts w:ascii="Arial;Helvetica;sans-serif" w:hAnsi="Arial;Helvetica;sans-serif"/>
          <w:b w:val="false"/>
          <w:i w:val="false"/>
          <w:caps w:val="false"/>
          <w:smallCaps w:val="false"/>
          <w:color w:val="000000"/>
          <w:spacing w:val="4"/>
          <w:sz w:val="18"/>
        </w:rPr>
        <w:t xml:space="preserve"> </w:t>
      </w:r>
    </w:p>
    <w:tbl>
      <w:tblPr>
        <w:tblW w:w="9305" w:type="dxa"/>
        <w:jc w:val="left"/>
        <w:tblInd w:w="900" w:type="dxa"/>
        <w:tblLayout w:type="fixed"/>
        <w:tblCellMar>
          <w:top w:w="0" w:type="dxa"/>
          <w:left w:w="0" w:type="dxa"/>
          <w:bottom w:w="0" w:type="dxa"/>
          <w:right w:w="0" w:type="dxa"/>
        </w:tblCellMar>
      </w:tblPr>
      <w:tblGrid>
        <w:gridCol w:w="124"/>
        <w:gridCol w:w="9027"/>
        <w:gridCol w:w="154"/>
      </w:tblGrid>
      <w:tr>
        <w:trPr/>
        <w:tc>
          <w:tcPr>
            <w:tcW w:w="124" w:type="dxa"/>
            <w:tcBorders/>
            <w:shd w:fill="E9F9D8" w:val="clear"/>
            <w:vAlign w:val="center"/>
          </w:tcPr>
          <w:p>
            <w:pPr>
              <w:pStyle w:val="TableContents"/>
              <w:bidi w:val="0"/>
              <w:spacing w:before="0" w:after="283"/>
              <w:jc w:val="left"/>
              <w:rPr/>
            </w:pPr>
            <w:r>
              <w:rPr/>
              <w:t>​</w:t>
            </w:r>
          </w:p>
        </w:tc>
        <w:tc>
          <w:tcPr>
            <w:tcW w:w="9027" w:type="dxa"/>
            <w:tcBorders/>
            <w:shd w:fill="E9F9D8" w:val="clear"/>
            <w:vAlign w:val="center"/>
          </w:tcPr>
          <w:p>
            <w:pPr>
              <w:pStyle w:val="TableContents"/>
              <w:bidi w:val="0"/>
              <w:spacing w:lineRule="atLeast" w:line="220" w:before="0" w:after="0"/>
              <w:jc w:val="left"/>
              <w:rPr/>
            </w:pPr>
            <w:r>
              <w:rPr>
                <w:spacing w:val="-2"/>
              </w:rPr>
              <w:t xml:space="preserve">For 2025, our CFO and General Counsel received the non-formulaic portions of their respective bonuses based on the </w:t>
            </w:r>
            <w:r>
              <w:rPr>
                <w:b/>
                <w:spacing w:val="-2"/>
              </w:rPr>
              <w:t>same performance criteria that were used for our formulaic annual bonus program</w:t>
            </w:r>
            <w:r>
              <w:rPr>
                <w:spacing w:val="-2"/>
              </w:rPr>
              <w:t xml:space="preserve">, as well as </w:t>
            </w:r>
            <w:r>
              <w:rPr>
                <w:b/>
                <w:spacing w:val="-2"/>
              </w:rPr>
              <w:t>specific company goals and objectives for 2025</w:t>
            </w:r>
            <w:r>
              <w:rPr>
                <w:spacing w:val="-2"/>
              </w:rPr>
              <w:t xml:space="preserve"> that were presented at our </w:t>
            </w:r>
            <w:r>
              <w:rPr>
                <w:b/>
                <w:spacing w:val="-2"/>
              </w:rPr>
              <w:t>annual investor conference</w:t>
            </w:r>
            <w:r>
              <w:rPr>
                <w:spacing w:val="-2"/>
              </w:rPr>
              <w:t xml:space="preserve"> in December 2024 (summarized above).</w:t>
            </w:r>
            <w:r>
              <w:rPr/>
              <w:t xml:space="preserve"> </w:t>
            </w:r>
          </w:p>
        </w:tc>
        <w:tc>
          <w:tcPr>
            <w:tcW w:w="154" w:type="dxa"/>
            <w:tcBorders/>
            <w:shd w:fill="E9F9D8" w:val="clear"/>
            <w:vAlign w:val="center"/>
          </w:tcPr>
          <w:p>
            <w:pPr>
              <w:pStyle w:val="TableContents"/>
              <w:bidi w:val="0"/>
              <w:spacing w:before="0" w:after="283"/>
              <w:jc w:val="left"/>
              <w:rPr/>
            </w:pPr>
            <w:r>
              <w:rPr/>
              <w:t>​</w:t>
            </w:r>
          </w:p>
        </w:tc>
      </w:tr>
    </w:tbl>
    <w:p>
      <w:pPr>
        <w:pStyle w:val="TextBody"/>
        <w:bidi w:val="0"/>
        <w:spacing w:lineRule="atLeast" w:line="250" w:before="264" w:after="283"/>
        <w:ind w:left="9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 xml:space="preserve">The Committee considered that, </w:t>
      </w:r>
      <w:r>
        <w:rPr>
          <w:rFonts w:ascii="Arial;Helvetica;sans-serif" w:hAnsi="Arial;Helvetica;sans-serif"/>
          <w:b/>
          <w:i w:val="false"/>
          <w:caps w:val="false"/>
          <w:smallCaps w:val="false"/>
          <w:color w:val="000000"/>
          <w:spacing w:val="-2"/>
          <w:sz w:val="18"/>
        </w:rPr>
        <w:t>on a formulaic basis, we achieved performance levels of target or above for a majority of the components of the formulaic bonus program</w:t>
      </w:r>
      <w:r>
        <w:rPr>
          <w:rFonts w:ascii="Arial;Helvetica;sans-serif" w:hAnsi="Arial;Helvetica;sans-serif"/>
          <w:b w:val="false"/>
          <w:i w:val="false"/>
          <w:caps w:val="false"/>
          <w:smallCaps w:val="false"/>
          <w:color w:val="000000"/>
          <w:spacing w:val="-2"/>
          <w:sz w:val="18"/>
        </w:rPr>
        <w:t>. In addition, the Committee evaluated the contribution of our NEOs to the full scope of our business, including financial goals, operational goals and other corporate goals and initiatives, many of which are key drivers of stockholder value.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5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 xml:space="preserve">We successfully executed many aspects of our strategic vision against the backdrop of a New York City commercial real estate market and office REIT sector that saw many peers struggle. In particular, in addition to the formulaic goals and other goals summarized earlier, </w:t>
      </w:r>
      <w:r>
        <w:rPr>
          <w:rFonts w:ascii="Arial;Helvetica;sans-serif" w:hAnsi="Arial;Helvetica;sans-serif"/>
          <w:b/>
          <w:i w:val="false"/>
          <w:caps w:val="false"/>
          <w:smallCaps w:val="false"/>
          <w:color w:val="000000"/>
          <w:spacing w:val="-2"/>
          <w:sz w:val="18"/>
        </w:rPr>
        <w:t>the Committee considered performance within three primary categories and specifically recognized</w:t>
      </w:r>
      <w:r>
        <w:rPr>
          <w:rFonts w:ascii="Arial;Helvetica;sans-serif" w:hAnsi="Arial;Helvetica;sans-serif"/>
          <w:b w:val="false"/>
          <w:i w:val="false"/>
          <w:caps w:val="false"/>
          <w:smallCaps w:val="false"/>
          <w:color w:val="000000"/>
          <w:spacing w:val="-2"/>
          <w:sz w:val="18"/>
        </w:rPr>
        <w:t>:</w:t>
      </w:r>
      <w:r>
        <w:rPr>
          <w:rFonts w:ascii="Arial;Helvetica;sans-serif" w:hAnsi="Arial;Helvetica;sans-serif"/>
          <w:b w:val="false"/>
          <w:i w:val="false"/>
          <w:caps w:val="false"/>
          <w:smallCaps w:val="false"/>
          <w:color w:val="000000"/>
          <w:spacing w:val="4"/>
          <w:sz w:val="18"/>
        </w:rPr>
        <w:t xml:space="preserve"> </w:t>
      </w:r>
    </w:p>
    <w:tbl>
      <w:tblPr>
        <w:tblW w:w="9305" w:type="dxa"/>
        <w:jc w:val="left"/>
        <w:tblInd w:w="900" w:type="dxa"/>
        <w:tblLayout w:type="fixed"/>
        <w:tblCellMar>
          <w:top w:w="0" w:type="dxa"/>
          <w:left w:w="0" w:type="dxa"/>
          <w:bottom w:w="28" w:type="dxa"/>
          <w:right w:w="0" w:type="dxa"/>
        </w:tblCellMar>
      </w:tblPr>
      <w:tblGrid>
        <w:gridCol w:w="124"/>
        <w:gridCol w:w="3054"/>
        <w:gridCol w:w="109"/>
        <w:gridCol w:w="109"/>
        <w:gridCol w:w="109"/>
        <w:gridCol w:w="2272"/>
        <w:gridCol w:w="109"/>
        <w:gridCol w:w="109"/>
        <w:gridCol w:w="109"/>
        <w:gridCol w:w="3046"/>
        <w:gridCol w:w="155"/>
      </w:tblGrid>
      <w:tr>
        <w:trPr/>
        <w:tc>
          <w:tcPr>
            <w:tcW w:w="124" w:type="dxa"/>
            <w:tcBorders>
              <w:bottom w:val="single" w:sz="2" w:space="0" w:color="83AD40"/>
            </w:tcBorders>
            <w:vAlign w:val="center"/>
          </w:tcPr>
          <w:p>
            <w:pPr>
              <w:pStyle w:val="TableContents"/>
              <w:bidi w:val="0"/>
              <w:spacing w:before="0" w:after="283"/>
              <w:jc w:val="left"/>
              <w:rPr/>
            </w:pPr>
            <w:r>
              <w:rPr/>
              <w:t>​</w:t>
            </w:r>
          </w:p>
        </w:tc>
        <w:tc>
          <w:tcPr>
            <w:tcW w:w="3054" w:type="dxa"/>
            <w:tcBorders>
              <w:bottom w:val="single" w:sz="2" w:space="0" w:color="83AD40"/>
            </w:tcBorders>
            <w:tcMar>
              <w:bottom w:w="50" w:type="dxa"/>
            </w:tcMar>
            <w:vAlign w:val="center"/>
          </w:tcPr>
          <w:p>
            <w:pPr>
              <w:pStyle w:val="TableContents"/>
              <w:bidi w:val="0"/>
              <w:spacing w:before="0" w:after="0"/>
              <w:jc w:val="center"/>
              <w:rPr>
                <w:spacing w:val="-2"/>
              </w:rPr>
            </w:pPr>
            <w:r>
              <w:rPr>
                <w:spacing w:val="-2"/>
              </w:rPr>
              <w:t xml:space="preserve">Financial Goals </w:t>
            </w:r>
          </w:p>
        </w:tc>
        <w:tc>
          <w:tcPr>
            <w:tcW w:w="109" w:type="dxa"/>
            <w:tcBorders>
              <w:bottom w:val="single" w:sz="2" w:space="0" w:color="83AD40"/>
            </w:tcBorders>
            <w:vAlign w:val="center"/>
          </w:tcPr>
          <w:p>
            <w:pPr>
              <w:pStyle w:val="TableContents"/>
              <w:bidi w:val="0"/>
              <w:spacing w:before="0" w:after="283"/>
              <w:jc w:val="left"/>
              <w:rPr/>
            </w:pPr>
            <w:r>
              <w:rPr/>
              <w:t>​</w:t>
            </w:r>
          </w:p>
        </w:tc>
        <w:tc>
          <w:tcPr>
            <w:tcW w:w="109" w:type="dxa"/>
            <w:tcBorders>
              <w:bottom w:val="single" w:sz="2" w:space="0" w:color="83AD40"/>
            </w:tcBorders>
            <w:shd w:fill="83AD40" w:val="clear"/>
            <w:vAlign w:val="center"/>
          </w:tcPr>
          <w:p>
            <w:pPr>
              <w:pStyle w:val="TableContents"/>
              <w:bidi w:val="0"/>
              <w:spacing w:before="0" w:after="283"/>
              <w:jc w:val="left"/>
              <w:rPr/>
            </w:pPr>
            <w:r>
              <w:rPr/>
              <w:t>​</w:t>
            </w:r>
          </w:p>
        </w:tc>
        <w:tc>
          <w:tcPr>
            <w:tcW w:w="109" w:type="dxa"/>
            <w:tcBorders>
              <w:bottom w:val="single" w:sz="2" w:space="0" w:color="83AD40"/>
            </w:tcBorders>
            <w:vAlign w:val="center"/>
          </w:tcPr>
          <w:p>
            <w:pPr>
              <w:pStyle w:val="TableContents"/>
              <w:bidi w:val="0"/>
              <w:spacing w:before="0" w:after="283"/>
              <w:jc w:val="left"/>
              <w:rPr/>
            </w:pPr>
            <w:r>
              <w:rPr/>
              <w:t>​</w:t>
            </w:r>
          </w:p>
        </w:tc>
        <w:tc>
          <w:tcPr>
            <w:tcW w:w="2272" w:type="dxa"/>
            <w:tcBorders>
              <w:bottom w:val="single" w:sz="2" w:space="0" w:color="83AD40"/>
            </w:tcBorders>
            <w:tcMar>
              <w:bottom w:w="50" w:type="dxa"/>
            </w:tcMar>
            <w:vAlign w:val="center"/>
          </w:tcPr>
          <w:p>
            <w:pPr>
              <w:pStyle w:val="TableContents"/>
              <w:bidi w:val="0"/>
              <w:spacing w:before="0" w:after="0"/>
              <w:jc w:val="center"/>
              <w:rPr>
                <w:spacing w:val="-2"/>
              </w:rPr>
            </w:pPr>
            <w:r>
              <w:rPr>
                <w:spacing w:val="-2"/>
              </w:rPr>
              <w:t xml:space="preserve">Operational Goals </w:t>
            </w:r>
          </w:p>
        </w:tc>
        <w:tc>
          <w:tcPr>
            <w:tcW w:w="109" w:type="dxa"/>
            <w:tcBorders>
              <w:bottom w:val="single" w:sz="2" w:space="0" w:color="83AD40"/>
            </w:tcBorders>
            <w:vAlign w:val="center"/>
          </w:tcPr>
          <w:p>
            <w:pPr>
              <w:pStyle w:val="TableContents"/>
              <w:bidi w:val="0"/>
              <w:spacing w:before="0" w:after="283"/>
              <w:jc w:val="left"/>
              <w:rPr/>
            </w:pPr>
            <w:r>
              <w:rPr/>
              <w:t>​</w:t>
            </w:r>
          </w:p>
        </w:tc>
        <w:tc>
          <w:tcPr>
            <w:tcW w:w="109" w:type="dxa"/>
            <w:tcBorders>
              <w:bottom w:val="single" w:sz="2" w:space="0" w:color="83AD40"/>
            </w:tcBorders>
            <w:shd w:fill="83AD40" w:val="clear"/>
            <w:vAlign w:val="center"/>
          </w:tcPr>
          <w:p>
            <w:pPr>
              <w:pStyle w:val="TableContents"/>
              <w:bidi w:val="0"/>
              <w:spacing w:before="0" w:after="283"/>
              <w:jc w:val="left"/>
              <w:rPr/>
            </w:pPr>
            <w:r>
              <w:rPr/>
              <w:t>​</w:t>
            </w:r>
          </w:p>
        </w:tc>
        <w:tc>
          <w:tcPr>
            <w:tcW w:w="109" w:type="dxa"/>
            <w:tcBorders>
              <w:bottom w:val="single" w:sz="2" w:space="0" w:color="83AD40"/>
            </w:tcBorders>
            <w:vAlign w:val="center"/>
          </w:tcPr>
          <w:p>
            <w:pPr>
              <w:pStyle w:val="TableContents"/>
              <w:bidi w:val="0"/>
              <w:spacing w:before="0" w:after="283"/>
              <w:jc w:val="left"/>
              <w:rPr/>
            </w:pPr>
            <w:r>
              <w:rPr/>
              <w:t>​</w:t>
            </w:r>
          </w:p>
        </w:tc>
        <w:tc>
          <w:tcPr>
            <w:tcW w:w="3046" w:type="dxa"/>
            <w:tcBorders>
              <w:bottom w:val="single" w:sz="2" w:space="0" w:color="83AD40"/>
            </w:tcBorders>
            <w:tcMar>
              <w:bottom w:w="50" w:type="dxa"/>
            </w:tcMar>
            <w:vAlign w:val="center"/>
          </w:tcPr>
          <w:p>
            <w:pPr>
              <w:pStyle w:val="TableContents"/>
              <w:bidi w:val="0"/>
              <w:spacing w:before="0" w:after="0"/>
              <w:jc w:val="center"/>
              <w:rPr>
                <w:spacing w:val="-2"/>
              </w:rPr>
            </w:pPr>
            <w:r>
              <w:rPr>
                <w:spacing w:val="-2"/>
              </w:rPr>
              <w:t xml:space="preserve">Other Goals </w:t>
            </w:r>
          </w:p>
        </w:tc>
        <w:tc>
          <w:tcPr>
            <w:tcW w:w="155" w:type="dxa"/>
            <w:tcBorders>
              <w:bottom w:val="single" w:sz="2" w:space="0" w:color="83AD40"/>
            </w:tcBorders>
            <w:vAlign w:val="center"/>
          </w:tcPr>
          <w:p>
            <w:pPr>
              <w:pStyle w:val="TableContents"/>
              <w:bidi w:val="0"/>
              <w:spacing w:before="0" w:after="283"/>
              <w:jc w:val="left"/>
              <w:rPr/>
            </w:pPr>
            <w:r>
              <w:rPr/>
              <w:t>​</w:t>
            </w:r>
          </w:p>
        </w:tc>
      </w:tr>
      <w:tr>
        <w:trPr/>
        <w:tc>
          <w:tcPr>
            <w:tcW w:w="124" w:type="dxa"/>
            <w:tcBorders>
              <w:bottom w:val="single" w:sz="6" w:space="0" w:color="83AD40"/>
            </w:tcBorders>
            <w:vAlign w:val="center"/>
          </w:tcPr>
          <w:p>
            <w:pPr>
              <w:pStyle w:val="TableContents"/>
              <w:bidi w:val="0"/>
              <w:spacing w:before="0" w:after="283"/>
              <w:jc w:val="left"/>
              <w:rPr/>
            </w:pPr>
            <w:r>
              <w:rPr/>
              <w:t>​</w:t>
            </w:r>
          </w:p>
        </w:tc>
        <w:tc>
          <w:tcPr>
            <w:tcW w:w="3054" w:type="dxa"/>
            <w:tcBorders>
              <w:bottom w:val="single" w:sz="6" w:space="0" w:color="83AD40"/>
            </w:tcBorders>
            <w:tcMar>
              <w:bottom w:w="130" w:type="dxa"/>
            </w:tcMar>
            <w:vAlign w:val="center"/>
          </w:tcPr>
          <w:p>
            <w:pPr>
              <w:pStyle w:val="TableContents"/>
              <w:bidi w:val="0"/>
              <w:spacing w:lineRule="atLeast" w:line="220" w:before="0" w:after="0"/>
              <w:ind w:left="180" w:right="0" w:hanging="0"/>
              <w:jc w:val="left"/>
              <w:rPr/>
            </w:pPr>
            <w:r>
              <w:rPr>
                <w:spacing w:val="-2"/>
              </w:rPr>
              <w:t>The continued performance of our platform, where we delivered:</w:t>
            </w:r>
            <w:r>
              <w:rPr/>
              <w:t xml:space="preserve"> </w:t>
            </w:r>
            <w:r>
              <mc:AlternateContent>
                <mc:Choice Requires="wps">
                  <w:drawing>
                    <wp:anchor behindDoc="0" distT="0" distB="0" distL="0" distR="0" simplePos="0" locked="0" layoutInCell="1" allowOverlap="1" relativeHeight="622">
                      <wp:simplePos x="0" y="0"/>
                      <wp:positionH relativeFrom="column">
                        <wp:align>left</wp:align>
                      </wp:positionH>
                      <wp:positionV relativeFrom="line">
                        <wp:posOffset>635</wp:posOffset>
                      </wp:positionV>
                      <wp:extent cx="114300" cy="350520"/>
                      <wp:effectExtent l="0" t="0" r="0" b="0"/>
                      <wp:wrapSquare wrapText="right"/>
                      <wp:docPr id="676" name="Frame359"/>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60" w:after="0"/>
              <w:ind w:left="360" w:right="0" w:hanging="0"/>
              <w:jc w:val="left"/>
              <w:rPr/>
            </w:pPr>
            <w:r>
              <w:rPr>
                <w:b/>
                <w:spacing w:val="-2"/>
              </w:rPr>
              <w:t>$57.2 million</w:t>
            </w:r>
            <w:r>
              <w:rPr>
                <w:spacing w:val="-2"/>
              </w:rPr>
              <w:t xml:space="preserve"> ($0.75 per share) of gains from discounted debt extinguishments (exceeded our stated goal of $50 million)</w:t>
            </w:r>
            <w:r>
              <w:rPr/>
              <w:t xml:space="preserve"> </w:t>
            </w:r>
            <w:r>
              <mc:AlternateContent>
                <mc:Choice Requires="wps">
                  <w:drawing>
                    <wp:anchor behindDoc="0" distT="101600" distB="0" distL="114300" distR="0" simplePos="0" locked="0" layoutInCell="1" allowOverlap="1" relativeHeight="623">
                      <wp:simplePos x="0" y="0"/>
                      <wp:positionH relativeFrom="column">
                        <wp:align>left</wp:align>
                      </wp:positionH>
                      <wp:positionV relativeFrom="line">
                        <wp:align>top</wp:align>
                      </wp:positionV>
                      <wp:extent cx="114300" cy="350520"/>
                      <wp:effectExtent l="0" t="0" r="0" b="0"/>
                      <wp:wrapSquare wrapText="right"/>
                      <wp:docPr id="677" name="Frame360"/>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8pt;mso-wrap-distance-bottom:0pt;margin-top:8pt;mso-position-vertical:top;mso-position-vertical-relative:text;margin-left:9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60" w:after="0"/>
              <w:ind w:left="360" w:right="0" w:hanging="0"/>
              <w:jc w:val="left"/>
              <w:rPr/>
            </w:pPr>
            <w:r>
              <w:rPr>
                <w:spacing w:val="-2"/>
              </w:rPr>
              <w:t xml:space="preserve">FFO of </w:t>
            </w:r>
            <w:r>
              <w:rPr>
                <w:b/>
                <w:spacing w:val="-2"/>
              </w:rPr>
              <w:t>$5.72</w:t>
            </w:r>
            <w:r>
              <w:rPr>
                <w:spacing w:val="-1"/>
                <w:szCs w:val="11"/>
              </w:rPr>
              <w:t>﻿</w:t>
            </w:r>
            <w:r>
              <w:rPr>
                <w:spacing w:val="-1"/>
                <w:sz w:val="11"/>
              </w:rPr>
              <w:t>(1)</w:t>
            </w:r>
            <w:r>
              <w:rPr/>
              <w:t xml:space="preserve"> </w:t>
            </w:r>
            <w:r>
              <mc:AlternateContent>
                <mc:Choice Requires="wps">
                  <w:drawing>
                    <wp:anchor behindDoc="0" distT="101600" distB="0" distL="114300" distR="0" simplePos="0" locked="0" layoutInCell="1" allowOverlap="1" relativeHeight="624">
                      <wp:simplePos x="0" y="0"/>
                      <wp:positionH relativeFrom="column">
                        <wp:align>left</wp:align>
                      </wp:positionH>
                      <wp:positionV relativeFrom="line">
                        <wp:align>top</wp:align>
                      </wp:positionV>
                      <wp:extent cx="114300" cy="350520"/>
                      <wp:effectExtent l="0" t="0" r="0" b="0"/>
                      <wp:wrapSquare wrapText="right"/>
                      <wp:docPr id="678" name="Frame361"/>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8pt;mso-wrap-distance-bottom:0pt;margin-top:8pt;mso-position-vertical:top;mso-position-vertical-relative:text;margin-left:9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60" w:after="0"/>
              <w:ind w:left="360" w:right="0" w:hanging="0"/>
              <w:jc w:val="left"/>
              <w:rPr/>
            </w:pPr>
            <w:r>
              <w:rPr>
                <w:spacing w:val="-2"/>
              </w:rPr>
              <w:t xml:space="preserve">Funds Available for Distribution of </w:t>
            </w:r>
            <w:r>
              <w:rPr>
                <w:b/>
                <w:spacing w:val="-2"/>
              </w:rPr>
              <w:t>$237 million</w:t>
            </w:r>
            <w:r>
              <w:rPr>
                <w:spacing w:val="-1"/>
                <w:szCs w:val="11"/>
              </w:rPr>
              <w:t>﻿</w:t>
            </w:r>
            <w:r>
              <w:rPr>
                <w:spacing w:val="-1"/>
                <w:sz w:val="11"/>
              </w:rPr>
              <w:t>(1)</w:t>
            </w:r>
            <w:r>
              <w:rPr/>
              <w:t xml:space="preserve"> </w:t>
            </w:r>
            <w:r>
              <mc:AlternateContent>
                <mc:Choice Requires="wps">
                  <w:drawing>
                    <wp:anchor behindDoc="0" distT="101600" distB="0" distL="114300" distR="0" simplePos="0" locked="0" layoutInCell="1" allowOverlap="1" relativeHeight="625">
                      <wp:simplePos x="0" y="0"/>
                      <wp:positionH relativeFrom="column">
                        <wp:align>left</wp:align>
                      </wp:positionH>
                      <wp:positionV relativeFrom="line">
                        <wp:align>top</wp:align>
                      </wp:positionV>
                      <wp:extent cx="114300" cy="350520"/>
                      <wp:effectExtent l="0" t="0" r="0" b="0"/>
                      <wp:wrapSquare wrapText="right"/>
                      <wp:docPr id="679" name="Frame362"/>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8pt;mso-wrap-distance-bottom:0pt;margin-top:8pt;mso-position-vertical:top;mso-position-vertical-relative:text;margin-left:9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60" w:after="0"/>
              <w:ind w:left="360" w:right="0" w:hanging="0"/>
              <w:jc w:val="left"/>
              <w:rPr/>
            </w:pPr>
            <w:r>
              <w:rPr>
                <w:spacing w:val="-2"/>
              </w:rPr>
              <w:t>Expanded Special Servicing business to $</w:t>
            </w:r>
            <w:r>
              <w:rPr>
                <w:b/>
                <w:spacing w:val="-2"/>
              </w:rPr>
              <w:t>20.9 billion in AUM</w:t>
            </w:r>
            <w:r>
              <w:rPr>
                <w:spacing w:val="-2"/>
              </w:rPr>
              <w:t xml:space="preserve"> (exceeded our stated goal of $17.5 billion in AUM)</w:t>
            </w:r>
            <w:r>
              <w:rPr/>
              <w:t xml:space="preserve"> </w:t>
            </w:r>
            <w:r>
              <mc:AlternateContent>
                <mc:Choice Requires="wps">
                  <w:drawing>
                    <wp:anchor behindDoc="0" distT="101600" distB="0" distL="114300" distR="0" simplePos="0" locked="0" layoutInCell="1" allowOverlap="1" relativeHeight="626">
                      <wp:simplePos x="0" y="0"/>
                      <wp:positionH relativeFrom="column">
                        <wp:align>left</wp:align>
                      </wp:positionH>
                      <wp:positionV relativeFrom="line">
                        <wp:align>top</wp:align>
                      </wp:positionV>
                      <wp:extent cx="114300" cy="350520"/>
                      <wp:effectExtent l="0" t="0" r="0" b="0"/>
                      <wp:wrapSquare wrapText="right"/>
                      <wp:docPr id="680" name="Frame363"/>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8pt;mso-wrap-distance-bottom:0pt;margin-top:8pt;mso-position-vertical:top;mso-position-vertical-relative:text;margin-left:9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60" w:after="0"/>
              <w:ind w:left="360" w:right="0" w:hanging="0"/>
              <w:jc w:val="left"/>
              <w:rPr/>
            </w:pPr>
            <w:r>
              <w:rPr>
                <w:b/>
                <w:spacing w:val="-2"/>
              </w:rPr>
              <w:t>Strategic capital deployment of $0.9 billion</w:t>
            </w:r>
            <w:r>
              <w:rPr>
                <w:spacing w:val="-2"/>
              </w:rPr>
              <w:t xml:space="preserve"> into assets expanding our presence in high-value Park Avenue and premium midtown corridors (significantly exceeded our stated goal of $250 million of acquisitions) </w:t>
            </w:r>
            <w:r>
              <mc:AlternateContent>
                <mc:Choice Requires="wps">
                  <w:drawing>
                    <wp:anchor behindDoc="0" distT="101600" distB="0" distL="114300" distR="0" simplePos="0" locked="0" layoutInCell="1" allowOverlap="1" relativeHeight="627">
                      <wp:simplePos x="0" y="0"/>
                      <wp:positionH relativeFrom="column">
                        <wp:align>left</wp:align>
                      </wp:positionH>
                      <wp:positionV relativeFrom="line">
                        <wp:align>top</wp:align>
                      </wp:positionV>
                      <wp:extent cx="114300" cy="350520"/>
                      <wp:effectExtent l="0" t="0" r="0" b="0"/>
                      <wp:wrapSquare wrapText="right"/>
                      <wp:docPr id="681" name="Frame364"/>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8pt;mso-wrap-distance-bottom:0pt;margin-top:8pt;mso-position-vertical:top;mso-position-vertical-relative:text;margin-left:9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83AD40"/>
            </w:tcBorders>
            <w:vAlign w:val="center"/>
          </w:tcPr>
          <w:p>
            <w:pPr>
              <w:pStyle w:val="TableContents"/>
              <w:bidi w:val="0"/>
              <w:spacing w:before="0" w:after="283"/>
              <w:jc w:val="left"/>
              <w:rPr/>
            </w:pPr>
            <w:r>
              <w:rPr/>
              <w:t>​</w:t>
            </w:r>
          </w:p>
        </w:tc>
        <w:tc>
          <w:tcPr>
            <w:tcW w:w="109" w:type="dxa"/>
            <w:tcBorders>
              <w:bottom w:val="single" w:sz="2" w:space="0" w:color="83AD40"/>
            </w:tcBorders>
            <w:shd w:fill="83AD40" w:val="clear"/>
            <w:vAlign w:val="center"/>
          </w:tcPr>
          <w:p>
            <w:pPr>
              <w:pStyle w:val="TableContents"/>
              <w:bidi w:val="0"/>
              <w:spacing w:before="0" w:after="283"/>
              <w:jc w:val="left"/>
              <w:rPr/>
            </w:pPr>
            <w:r>
              <w:rPr/>
              <w:t>​</w:t>
            </w:r>
          </w:p>
        </w:tc>
        <w:tc>
          <w:tcPr>
            <w:tcW w:w="109" w:type="dxa"/>
            <w:tcBorders>
              <w:bottom w:val="single" w:sz="6" w:space="0" w:color="83AD40"/>
            </w:tcBorders>
            <w:vAlign w:val="center"/>
          </w:tcPr>
          <w:p>
            <w:pPr>
              <w:pStyle w:val="TableContents"/>
              <w:bidi w:val="0"/>
              <w:spacing w:before="0" w:after="283"/>
              <w:jc w:val="left"/>
              <w:rPr/>
            </w:pPr>
            <w:r>
              <w:rPr/>
              <w:t>​</w:t>
            </w:r>
          </w:p>
        </w:tc>
        <w:tc>
          <w:tcPr>
            <w:tcW w:w="2272" w:type="dxa"/>
            <w:tcBorders>
              <w:bottom w:val="single" w:sz="6" w:space="0" w:color="83AD40"/>
            </w:tcBorders>
            <w:tcMar>
              <w:bottom w:w="130" w:type="dxa"/>
            </w:tcMar>
            <w:vAlign w:val="center"/>
          </w:tcPr>
          <w:p>
            <w:pPr>
              <w:pStyle w:val="TableContents"/>
              <w:bidi w:val="0"/>
              <w:spacing w:lineRule="atLeast" w:line="220" w:before="0" w:after="0"/>
              <w:ind w:left="180" w:right="0" w:hanging="0"/>
              <w:jc w:val="left"/>
              <w:rPr/>
            </w:pPr>
            <w:r>
              <w:rPr>
                <w:spacing w:val="-2"/>
              </w:rPr>
              <w:t>Exceeded or met our leasing objectives, where we achieved:</w:t>
            </w:r>
            <w:r>
              <w:rPr/>
              <w:t xml:space="preserve"> </w:t>
            </w:r>
            <w:r>
              <mc:AlternateContent>
                <mc:Choice Requires="wps">
                  <w:drawing>
                    <wp:anchor behindDoc="0" distT="0" distB="0" distL="0" distR="0" simplePos="0" locked="0" layoutInCell="1" allowOverlap="1" relativeHeight="628">
                      <wp:simplePos x="0" y="0"/>
                      <wp:positionH relativeFrom="column">
                        <wp:align>left</wp:align>
                      </wp:positionH>
                      <wp:positionV relativeFrom="line">
                        <wp:posOffset>635</wp:posOffset>
                      </wp:positionV>
                      <wp:extent cx="114300" cy="350520"/>
                      <wp:effectExtent l="0" t="0" r="0" b="0"/>
                      <wp:wrapSquare wrapText="right"/>
                      <wp:docPr id="682" name="Frame365"/>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60" w:after="0"/>
              <w:ind w:left="360" w:right="0" w:hanging="0"/>
              <w:jc w:val="left"/>
              <w:rPr/>
            </w:pPr>
            <w:r>
              <w:rPr>
                <w:b/>
                <w:spacing w:val="-2"/>
              </w:rPr>
              <w:t>Over 2.5M square feet of signed</w:t>
            </w:r>
            <w:r>
              <w:rPr>
                <w:spacing w:val="-2"/>
              </w:rPr>
              <w:t xml:space="preserve"> leases (materially exceed our stated goal of 2.0M square feet)</w:t>
            </w:r>
            <w:r>
              <w:rPr/>
              <w:t xml:space="preserve"> </w:t>
            </w:r>
            <w:r>
              <mc:AlternateContent>
                <mc:Choice Requires="wps">
                  <w:drawing>
                    <wp:anchor behindDoc="0" distT="101600" distB="0" distL="114300" distR="0" simplePos="0" locked="0" layoutInCell="1" allowOverlap="1" relativeHeight="629">
                      <wp:simplePos x="0" y="0"/>
                      <wp:positionH relativeFrom="column">
                        <wp:align>left</wp:align>
                      </wp:positionH>
                      <wp:positionV relativeFrom="line">
                        <wp:align>top</wp:align>
                      </wp:positionV>
                      <wp:extent cx="114300" cy="350520"/>
                      <wp:effectExtent l="0" t="0" r="0" b="0"/>
                      <wp:wrapSquare wrapText="right"/>
                      <wp:docPr id="683" name="Frame366"/>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8pt;mso-wrap-distance-bottom:0pt;margin-top:8pt;mso-position-vertical:top;mso-position-vertical-relative:text;margin-left:9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60" w:after="0"/>
              <w:ind w:left="360" w:right="0" w:hanging="0"/>
              <w:jc w:val="left"/>
              <w:rPr/>
            </w:pPr>
            <w:r>
              <w:rPr>
                <w:b/>
                <w:spacing w:val="-2"/>
              </w:rPr>
              <w:t>1.2% mark-to-market</w:t>
            </w:r>
            <w:r>
              <w:rPr>
                <w:spacing w:val="-2"/>
              </w:rPr>
              <w:t xml:space="preserve"> (met our stated goal)</w:t>
            </w:r>
            <w:r>
              <w:rPr/>
              <w:t xml:space="preserve"> </w:t>
            </w:r>
            <w:r>
              <mc:AlternateContent>
                <mc:Choice Requires="wps">
                  <w:drawing>
                    <wp:anchor behindDoc="0" distT="101600" distB="0" distL="114300" distR="0" simplePos="0" locked="0" layoutInCell="1" allowOverlap="1" relativeHeight="630">
                      <wp:simplePos x="0" y="0"/>
                      <wp:positionH relativeFrom="column">
                        <wp:align>left</wp:align>
                      </wp:positionH>
                      <wp:positionV relativeFrom="line">
                        <wp:align>top</wp:align>
                      </wp:positionV>
                      <wp:extent cx="114300" cy="350520"/>
                      <wp:effectExtent l="0" t="0" r="0" b="0"/>
                      <wp:wrapSquare wrapText="right"/>
                      <wp:docPr id="684" name="Frame367"/>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8pt;mso-wrap-distance-bottom:0pt;margin-top:8pt;mso-position-vertical:top;mso-position-vertical-relative:text;margin-left:9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60" w:after="0"/>
              <w:ind w:left="360" w:right="0" w:hanging="0"/>
              <w:jc w:val="left"/>
              <w:rPr/>
            </w:pPr>
            <w:r>
              <w:rPr>
                <w:spacing w:val="-2"/>
              </w:rPr>
              <w:t xml:space="preserve">Capitalized on recent cutting edge Class A development </w:t>
            </w:r>
            <w:r>
              <w:rPr>
                <w:b/>
                <w:spacing w:val="-2"/>
              </w:rPr>
              <w:t>with 93.3% lease-up of One Madison Avenue</w:t>
            </w:r>
            <w:r>
              <w:rPr>
                <w:spacing w:val="-2"/>
              </w:rPr>
              <w:t xml:space="preserve"> at year end</w:t>
            </w:r>
            <w:r>
              <w:rPr/>
              <w:t xml:space="preserve"> </w:t>
            </w:r>
            <w:r>
              <mc:AlternateContent>
                <mc:Choice Requires="wps">
                  <w:drawing>
                    <wp:anchor behindDoc="0" distT="101600" distB="0" distL="114300" distR="0" simplePos="0" locked="0" layoutInCell="1" allowOverlap="1" relativeHeight="631">
                      <wp:simplePos x="0" y="0"/>
                      <wp:positionH relativeFrom="column">
                        <wp:align>left</wp:align>
                      </wp:positionH>
                      <wp:positionV relativeFrom="line">
                        <wp:align>top</wp:align>
                      </wp:positionV>
                      <wp:extent cx="114300" cy="350520"/>
                      <wp:effectExtent l="0" t="0" r="0" b="0"/>
                      <wp:wrapSquare wrapText="right"/>
                      <wp:docPr id="685" name="Frame368"/>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8pt;mso-wrap-distance-bottom:0pt;margin-top:8pt;mso-position-vertical:top;mso-position-vertical-relative:text;margin-left:9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60" w:after="0"/>
              <w:ind w:left="360" w:right="0" w:hanging="0"/>
              <w:jc w:val="left"/>
              <w:rPr/>
            </w:pPr>
            <w:r>
              <w:rPr>
                <w:b/>
                <w:spacing w:val="-2"/>
              </w:rPr>
              <w:t>93.0% occupancy at year end</w:t>
            </w:r>
            <w:r>
              <w:rPr>
                <w:spacing w:val="-2"/>
              </w:rPr>
              <w:t xml:space="preserve"> (outperforming NYC average; inline with our stated goal) </w:t>
            </w:r>
            <w:r>
              <mc:AlternateContent>
                <mc:Choice Requires="wps">
                  <w:drawing>
                    <wp:anchor behindDoc="0" distT="101600" distB="0" distL="114300" distR="0" simplePos="0" locked="0" layoutInCell="1" allowOverlap="1" relativeHeight="632">
                      <wp:simplePos x="0" y="0"/>
                      <wp:positionH relativeFrom="column">
                        <wp:align>left</wp:align>
                      </wp:positionH>
                      <wp:positionV relativeFrom="line">
                        <wp:align>top</wp:align>
                      </wp:positionV>
                      <wp:extent cx="114300" cy="350520"/>
                      <wp:effectExtent l="0" t="0" r="0" b="0"/>
                      <wp:wrapSquare wrapText="right"/>
                      <wp:docPr id="686" name="Frame369"/>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8pt;mso-wrap-distance-bottom:0pt;margin-top:8pt;mso-position-vertical:top;mso-position-vertical-relative:text;margin-left:9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83AD40"/>
            </w:tcBorders>
            <w:vAlign w:val="center"/>
          </w:tcPr>
          <w:p>
            <w:pPr>
              <w:pStyle w:val="TableContents"/>
              <w:bidi w:val="0"/>
              <w:spacing w:before="0" w:after="283"/>
              <w:jc w:val="left"/>
              <w:rPr/>
            </w:pPr>
            <w:r>
              <w:rPr/>
              <w:t>​</w:t>
            </w:r>
          </w:p>
        </w:tc>
        <w:tc>
          <w:tcPr>
            <w:tcW w:w="109" w:type="dxa"/>
            <w:tcBorders>
              <w:bottom w:val="single" w:sz="2" w:space="0" w:color="83AD40"/>
            </w:tcBorders>
            <w:shd w:fill="83AD40" w:val="clear"/>
            <w:vAlign w:val="center"/>
          </w:tcPr>
          <w:p>
            <w:pPr>
              <w:pStyle w:val="TableContents"/>
              <w:bidi w:val="0"/>
              <w:spacing w:before="0" w:after="283"/>
              <w:jc w:val="left"/>
              <w:rPr/>
            </w:pPr>
            <w:r>
              <w:rPr/>
              <w:t>​</w:t>
            </w:r>
          </w:p>
        </w:tc>
        <w:tc>
          <w:tcPr>
            <w:tcW w:w="109" w:type="dxa"/>
            <w:tcBorders>
              <w:bottom w:val="single" w:sz="6" w:space="0" w:color="83AD40"/>
            </w:tcBorders>
            <w:vAlign w:val="center"/>
          </w:tcPr>
          <w:p>
            <w:pPr>
              <w:pStyle w:val="TableContents"/>
              <w:bidi w:val="0"/>
              <w:spacing w:before="0" w:after="283"/>
              <w:jc w:val="left"/>
              <w:rPr/>
            </w:pPr>
            <w:r>
              <w:rPr/>
              <w:t>​</w:t>
            </w:r>
          </w:p>
        </w:tc>
        <w:tc>
          <w:tcPr>
            <w:tcW w:w="3046" w:type="dxa"/>
            <w:tcBorders>
              <w:bottom w:val="single" w:sz="6" w:space="0" w:color="83AD40"/>
            </w:tcBorders>
            <w:tcMar>
              <w:bottom w:w="130" w:type="dxa"/>
            </w:tcMar>
            <w:vAlign w:val="center"/>
          </w:tcPr>
          <w:p>
            <w:pPr>
              <w:pStyle w:val="TableContents"/>
              <w:bidi w:val="0"/>
              <w:spacing w:lineRule="atLeast" w:line="220" w:before="0" w:after="0"/>
              <w:ind w:left="180" w:right="0" w:hanging="0"/>
              <w:jc w:val="left"/>
              <w:rPr/>
            </w:pPr>
            <w:r>
              <w:rPr>
                <w:spacing w:val="-2"/>
              </w:rPr>
              <w:t xml:space="preserve">Enhancing organizational capabilities through targeted hiring, </w:t>
            </w:r>
            <w:r>
              <w:rPr>
                <w:b/>
                <w:spacing w:val="-2"/>
              </w:rPr>
              <w:t>adding key talent across investments, leasing, and operations to support execution of the Company’s strategic initiatives</w:t>
            </w:r>
            <w:r>
              <w:rPr>
                <w:spacing w:val="-2"/>
              </w:rPr>
              <w:t xml:space="preserve"> and strengthen performance across the portfolio</w:t>
            </w:r>
            <w:r>
              <w:rPr/>
              <w:t xml:space="preserve"> </w:t>
            </w:r>
            <w:r>
              <mc:AlternateContent>
                <mc:Choice Requires="wps">
                  <w:drawing>
                    <wp:anchor behindDoc="0" distT="0" distB="0" distL="0" distR="0" simplePos="0" locked="0" layoutInCell="1" allowOverlap="1" relativeHeight="633">
                      <wp:simplePos x="0" y="0"/>
                      <wp:positionH relativeFrom="column">
                        <wp:align>left</wp:align>
                      </wp:positionH>
                      <wp:positionV relativeFrom="line">
                        <wp:posOffset>635</wp:posOffset>
                      </wp:positionV>
                      <wp:extent cx="114300" cy="350520"/>
                      <wp:effectExtent l="0" t="0" r="0" b="0"/>
                      <wp:wrapSquare wrapText="right"/>
                      <wp:docPr id="687" name="Frame370"/>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bottom w:val="single" w:sz="6" w:space="0" w:color="83AD40"/>
            </w:tcBorders>
            <w:vAlign w:val="center"/>
          </w:tcPr>
          <w:p>
            <w:pPr>
              <w:pStyle w:val="TableContents"/>
              <w:bidi w:val="0"/>
              <w:spacing w:before="0" w:after="283"/>
              <w:jc w:val="left"/>
              <w:rPr/>
            </w:pPr>
            <w:r>
              <w:rPr/>
              <w:t>​</w:t>
            </w:r>
          </w:p>
        </w:tc>
      </w:tr>
    </w:tbl>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214" w:after="0"/>
        <w:ind w:left="1300" w:right="0" w:hanging="0"/>
        <w:jc w:val="left"/>
        <w:rPr>
          <w:rFonts w:ascii="Arial;Helvetica;sans-serif" w:hAnsi="Arial;Helvetica;sans-serif"/>
          <w:b w:val="false"/>
          <w:i w:val="false"/>
          <w:caps w:val="false"/>
          <w:smallCaps w:val="false"/>
          <w:color w:val="404040"/>
          <w:sz w:val="16"/>
        </w:rPr>
      </w:pPr>
      <w:r>
        <w:rPr>
          <w:rFonts w:ascii="Arial;Helvetica;sans-serif" w:hAnsi="Arial;Helvetica;sans-serif"/>
          <w:b w:val="false"/>
          <w:i w:val="false"/>
          <w:caps w:val="false"/>
          <w:smallCaps w:val="false"/>
          <w:color w:val="404040"/>
          <w:spacing w:val="-2"/>
          <w:sz w:val="16"/>
        </w:rPr>
        <w:t>Refer to Appendix A to this proxy statement for reconciliations of FFO Per Share and Funds Available for Distribution</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35890" distB="0" distL="0" distR="0" simplePos="0" locked="0" layoutInCell="1" allowOverlap="1" relativeHeight="634">
                <wp:simplePos x="0" y="0"/>
                <wp:positionH relativeFrom="column">
                  <wp:align>left</wp:align>
                </wp:positionH>
                <wp:positionV relativeFrom="line">
                  <wp:align>top</wp:align>
                </wp:positionV>
                <wp:extent cx="254000" cy="254000"/>
                <wp:effectExtent l="0" t="0" r="0" b="0"/>
                <wp:wrapSquare wrapText="right"/>
                <wp:docPr id="688" name="Frame371"/>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color w:val="404040"/>
                                <w:sz w:val="16"/>
                              </w:rPr>
                            </w:pPr>
                            <w:r>
                              <w:rPr>
                                <w:color w:val="404040"/>
                                <w:spacing w:val="-2"/>
                                <w:sz w:val="16"/>
                              </w:rPr>
                              <w:t>(1)</w:t>
                            </w:r>
                            <w:r>
                              <w:rPr>
                                <w:color w:val="404040"/>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10.7pt;mso-wrap-distance-bottom:0pt;margin-top:10.7pt;mso-position-vertical:top;mso-position-vertical-relative:text;margin-left:0pt;mso-position-horizontal:left;mso-position-horizontal-relative:text">
                <v:textbox>
                  <w:txbxContent>
                    <w:p>
                      <w:pPr>
                        <w:pStyle w:val="TextBody"/>
                        <w:bidi w:val="0"/>
                        <w:spacing w:lineRule="atLeast" w:line="200" w:before="0" w:after="283"/>
                        <w:jc w:val="left"/>
                        <w:rPr>
                          <w:color w:val="404040"/>
                          <w:sz w:val="16"/>
                        </w:rPr>
                      </w:pPr>
                      <w:r>
                        <w:rPr>
                          <w:color w:val="404040"/>
                          <w:spacing w:val="-2"/>
                          <w:sz w:val="16"/>
                        </w:rPr>
                        <w:t>(1)</w:t>
                      </w:r>
                      <w:r>
                        <w:rPr>
                          <w:color w:val="404040"/>
                          <w:sz w:val="16"/>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225" w:type="dxa"/>
        <w:jc w:val="left"/>
        <w:tblInd w:w="900" w:type="dxa"/>
        <w:tblLayout w:type="fixed"/>
        <w:tblCellMar>
          <w:top w:w="0" w:type="dxa"/>
          <w:left w:w="0" w:type="dxa"/>
          <w:bottom w:w="0" w:type="dxa"/>
          <w:right w:w="0" w:type="dxa"/>
        </w:tblCellMar>
      </w:tblPr>
      <w:tblGrid>
        <w:gridCol w:w="124"/>
        <w:gridCol w:w="346"/>
        <w:gridCol w:w="109"/>
        <w:gridCol w:w="109"/>
        <w:gridCol w:w="4383"/>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50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383" w:type="dxa"/>
            <w:tcBorders/>
            <w:vAlign w:val="center"/>
          </w:tcPr>
          <w:p>
            <w:pPr>
              <w:pStyle w:val="TableContents"/>
              <w:bidi w:val="0"/>
              <w:spacing w:lineRule="atLeast" w:line="200" w:before="0" w:after="0"/>
              <w:jc w:val="left"/>
              <w:rPr/>
            </w:pPr>
            <w:r>
              <w:rPr>
                <w:spacing w:val="-2"/>
              </w:rPr>
              <w:t>    </w:t>
            </w:r>
            <w:r>
              <w:rPr>
                <w:spacing w:val="-2"/>
                <w:sz w:val="16"/>
              </w:rPr>
              <w:t>SL GREEN REALTY CORP. 2026 PROXY STATEMENT</w:t>
            </w:r>
            <w:r>
              <w:rPr>
                <w:sz w:val="16"/>
              </w:rPr>
              <w:t xml:space="preserve"> </w:t>
            </w:r>
          </w:p>
        </w:tc>
        <w:tc>
          <w:tcPr>
            <w:tcW w:w="154" w:type="dxa"/>
            <w:tcBorders/>
            <w:vAlign w:val="center"/>
          </w:tcPr>
          <w:p>
            <w:pPr>
              <w:pStyle w:val="TableContents"/>
              <w:bidi w:val="0"/>
              <w:spacing w:before="0" w:after="283"/>
              <w:jc w:val="left"/>
              <w:rPr/>
            </w:pPr>
            <w:r>
              <w:rPr/>
              <w:t>​</w:t>
            </w:r>
          </w:p>
        </w:tc>
      </w:tr>
    </w:tbl>
    <w:tbl>
      <w:tblPr>
        <w:tblW w:w="9305" w:type="dxa"/>
        <w:jc w:val="left"/>
        <w:tblInd w:w="900" w:type="dxa"/>
        <w:tblLayout w:type="fixed"/>
        <w:tblCellMar>
          <w:top w:w="0" w:type="dxa"/>
          <w:left w:w="0" w:type="dxa"/>
          <w:bottom w:w="0" w:type="dxa"/>
          <w:right w:w="0" w:type="dxa"/>
        </w:tblCellMar>
      </w:tblPr>
      <w:tblGrid>
        <w:gridCol w:w="124"/>
        <w:gridCol w:w="9027"/>
        <w:gridCol w:w="154"/>
      </w:tblGrid>
      <w:tr>
        <w:trPr/>
        <w:tc>
          <w:tcPr>
            <w:tcW w:w="124" w:type="dxa"/>
            <w:tcBorders/>
            <w:shd w:fill="E9F9D8" w:val="clear"/>
            <w:vAlign w:val="center"/>
          </w:tcPr>
          <w:p>
            <w:pPr>
              <w:pStyle w:val="TableContents"/>
              <w:bidi w:val="0"/>
              <w:spacing w:before="0" w:after="283"/>
              <w:jc w:val="left"/>
              <w:rPr/>
            </w:pPr>
            <w:r>
              <w:rPr/>
              <w:t>​</w:t>
            </w:r>
          </w:p>
        </w:tc>
        <w:tc>
          <w:tcPr>
            <w:tcW w:w="9027" w:type="dxa"/>
            <w:tcBorders/>
            <w:shd w:fill="E9F9D8" w:val="clear"/>
            <w:vAlign w:val="center"/>
          </w:tcPr>
          <w:p>
            <w:pPr>
              <w:pStyle w:val="TableContents"/>
              <w:bidi w:val="0"/>
              <w:spacing w:lineRule="atLeast" w:line="200" w:before="0" w:after="0"/>
              <w:jc w:val="left"/>
              <w:rPr/>
            </w:pPr>
            <w:r>
              <w:rPr>
                <w:spacing w:val="-2"/>
              </w:rPr>
              <w:t xml:space="preserve">The Committee recognized the significant contributions of our CFO and General Counsel to the organizational successes that we achieved during the year, and, in particular, the </w:t>
            </w:r>
            <w:r>
              <w:rPr>
                <w:b/>
                <w:spacing w:val="-2"/>
              </w:rPr>
              <w:t>exceptional execution of the operational and strategic priorities of the Company despite sustained macroeconomic pressures</w:t>
            </w:r>
            <w:r>
              <w:rPr>
                <w:spacing w:val="-2"/>
              </w:rPr>
              <w:t xml:space="preserve">, including the continuing impact of elevated inflation and interest rates on our balance sheet and operating environment. As a result, the Committee awarded our CFO </w:t>
            </w:r>
            <w:r>
              <w:rPr>
                <w:b/>
                <w:spacing w:val="-2"/>
              </w:rPr>
              <w:t>100%</w:t>
            </w:r>
            <w:r>
              <w:rPr>
                <w:spacing w:val="-2"/>
              </w:rPr>
              <w:t xml:space="preserve"> of his non-formulaic opportunity, and our General Counsel </w:t>
            </w:r>
            <w:r>
              <w:rPr>
                <w:b/>
                <w:spacing w:val="-2"/>
              </w:rPr>
              <w:t>85.2%</w:t>
            </w:r>
            <w:r>
              <w:rPr>
                <w:spacing w:val="-2"/>
              </w:rPr>
              <w:t xml:space="preserve"> of his non-formulaic opportunity.</w:t>
            </w:r>
            <w:r>
              <w:rPr/>
              <w:t xml:space="preserve"> </w:t>
            </w:r>
          </w:p>
        </w:tc>
        <w:tc>
          <w:tcPr>
            <w:tcW w:w="154" w:type="dxa"/>
            <w:tcBorders/>
            <w:shd w:fill="E9F9D8" w:val="clear"/>
            <w:vAlign w:val="center"/>
          </w:tcPr>
          <w:p>
            <w:pPr>
              <w:pStyle w:val="TableContents"/>
              <w:bidi w:val="0"/>
              <w:spacing w:before="0" w:after="283"/>
              <w:jc w:val="left"/>
              <w:rPr/>
            </w:pPr>
            <w:r>
              <w:rPr/>
              <w:t>​</w:t>
            </w:r>
          </w:p>
        </w:tc>
      </w:tr>
    </w:tbl>
    <w:p>
      <w:pPr>
        <w:pStyle w:val="TextBody"/>
        <w:bidi w:val="0"/>
        <w:spacing w:lineRule="atLeast" w:line="220" w:before="260" w:after="283"/>
        <w:ind w:left="900" w:right="0" w:hanging="0"/>
        <w:jc w:val="left"/>
        <w:rPr>
          <w:rFonts w:ascii="Arial;Helvetica;sans-serif" w:hAnsi="Arial;Helvetica;sans-serif"/>
          <w:b/>
          <w:i w:val="false"/>
          <w:caps w:val="false"/>
          <w:smallCaps w:val="false"/>
          <w:color w:val="1F2668"/>
          <w:sz w:val="18"/>
        </w:rPr>
      </w:pPr>
      <w:r>
        <w:rPr>
          <w:rFonts w:ascii="Arial;Helvetica;sans-serif" w:hAnsi="Arial;Helvetica;sans-serif"/>
          <w:b/>
          <w:i w:val="false"/>
          <w:caps w:val="false"/>
          <w:smallCaps w:val="false"/>
          <w:color w:val="1F2668"/>
          <w:spacing w:val="-2"/>
          <w:sz w:val="18"/>
        </w:rPr>
        <w:t>ANNUAL EQUITY AWARDS</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We grant our named executive officers performance-based LTIP units and time-based LTIP units annually in connection with their employment agreements and, in some cases, at the discretion of the Committee. Performance-based equity awards provide our NEOs with long-term incentives based on Company performance, with the value derived directly linked to stockholder value creation.</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 xml:space="preserve">For 2025, our annual long-term incentive equity award program consisted of grants of performance-based equity awards with multi-year (CEO and General Counsel) or annual (CFO) performance criteria and time-based equity awards that vest based on continued service. We grant performance-based awards </w:t>
      </w:r>
      <w:r>
        <w:rPr>
          <w:rFonts w:ascii="Arial;Helvetica;sans-serif" w:hAnsi="Arial;Helvetica;sans-serif"/>
          <w:b/>
          <w:i w:val="false"/>
          <w:caps w:val="false"/>
          <w:smallCaps w:val="false"/>
          <w:color w:val="000000"/>
          <w:spacing w:val="-2"/>
          <w:sz w:val="18"/>
        </w:rPr>
        <w:t>prospectively</w:t>
      </w:r>
      <w:r>
        <w:rPr>
          <w:rFonts w:ascii="Arial;Helvetica;sans-serif" w:hAnsi="Arial;Helvetica;sans-serif"/>
          <w:b w:val="false"/>
          <w:i w:val="false"/>
          <w:caps w:val="false"/>
          <w:smallCaps w:val="false"/>
          <w:color w:val="000000"/>
          <w:spacing w:val="-2"/>
          <w:sz w:val="18"/>
        </w:rPr>
        <w:t xml:space="preserve"> for each compensation year when we establish performance goals to incentivize our executives to deliver accretive value to stockholders. We grant time-based awards </w:t>
      </w:r>
      <w:r>
        <w:rPr>
          <w:rFonts w:ascii="Arial;Helvetica;sans-serif" w:hAnsi="Arial;Helvetica;sans-serif"/>
          <w:b/>
          <w:i w:val="false"/>
          <w:caps w:val="false"/>
          <w:smallCaps w:val="false"/>
          <w:color w:val="000000"/>
          <w:spacing w:val="-2"/>
          <w:sz w:val="18"/>
        </w:rPr>
        <w:t>retrospectively</w:t>
      </w:r>
      <w:r>
        <w:rPr>
          <w:rFonts w:ascii="Arial;Helvetica;sans-serif" w:hAnsi="Arial;Helvetica;sans-serif"/>
          <w:b w:val="false"/>
          <w:i w:val="false"/>
          <w:caps w:val="false"/>
          <w:smallCaps w:val="false"/>
          <w:color w:val="000000"/>
          <w:spacing w:val="-2"/>
          <w:sz w:val="18"/>
        </w:rPr>
        <w:t xml:space="preserve"> based on each executive’s contributions to our achievements during the prior year.</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Our employment agreements with Mr. DiLiberto and Mr. Levine in effect for 2025 did not provide for target annual performance-based equity grants, but both participate, at the Committee’s discretion, in our annual long-term performance-based equity program.</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The amounts approved by the Committee for 2025 are set forth below:</w:t>
      </w:r>
      <w:r>
        <w:rPr>
          <w:rFonts w:ascii="Arial;Helvetica;sans-serif" w:hAnsi="Arial;Helvetica;sans-serif"/>
          <w:b w:val="false"/>
          <w:i w:val="false"/>
          <w:caps w:val="false"/>
          <w:smallCaps w:val="false"/>
          <w:color w:val="000000"/>
          <w:spacing w:val="4"/>
          <w:sz w:val="18"/>
        </w:rPr>
        <w:t xml:space="preserve"> </w:t>
      </w:r>
    </w:p>
    <w:tbl>
      <w:tblPr>
        <w:tblW w:w="8311" w:type="dxa"/>
        <w:jc w:val="left"/>
        <w:tblInd w:w="900" w:type="dxa"/>
        <w:tblLayout w:type="fixed"/>
        <w:tblCellMar>
          <w:top w:w="0" w:type="dxa"/>
          <w:left w:w="0" w:type="dxa"/>
          <w:bottom w:w="70" w:type="dxa"/>
          <w:right w:w="0" w:type="dxa"/>
        </w:tblCellMar>
      </w:tblPr>
      <w:tblGrid>
        <w:gridCol w:w="2371"/>
        <w:gridCol w:w="109"/>
        <w:gridCol w:w="109"/>
        <w:gridCol w:w="129"/>
        <w:gridCol w:w="271"/>
        <w:gridCol w:w="1459"/>
        <w:gridCol w:w="133"/>
        <w:gridCol w:w="109"/>
        <w:gridCol w:w="109"/>
        <w:gridCol w:w="109"/>
        <w:gridCol w:w="226"/>
        <w:gridCol w:w="1066"/>
        <w:gridCol w:w="109"/>
        <w:gridCol w:w="109"/>
        <w:gridCol w:w="109"/>
        <w:gridCol w:w="109"/>
        <w:gridCol w:w="226"/>
        <w:gridCol w:w="1186"/>
        <w:gridCol w:w="109"/>
        <w:gridCol w:w="154"/>
      </w:tblGrid>
      <w:tr>
        <w:trPr/>
        <w:tc>
          <w:tcPr>
            <w:tcW w:w="2371" w:type="dxa"/>
            <w:tcBorders>
              <w:bottom w:val="single" w:sz="2" w:space="0" w:color="1F2668"/>
            </w:tcBorders>
            <w:vAlign w:val="center"/>
          </w:tcPr>
          <w:p>
            <w:pPr>
              <w:pStyle w:val="TableContents"/>
              <w:bidi w:val="0"/>
              <w:spacing w:before="0" w:after="0"/>
              <w:jc w:val="left"/>
              <w:rPr>
                <w:spacing w:val="-2"/>
              </w:rPr>
            </w:pPr>
            <w:r>
              <w:rPr>
                <w:spacing w:val="-2"/>
              </w:rPr>
              <w:t xml:space="preserve">Executive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92" w:type="dxa"/>
            <w:gridSpan w:val="4"/>
            <w:tcBorders>
              <w:bottom w:val="single" w:sz="2" w:space="0" w:color="1F2668"/>
            </w:tcBorders>
            <w:vAlign w:val="center"/>
          </w:tcPr>
          <w:p>
            <w:pPr>
              <w:pStyle w:val="TableContents"/>
              <w:bidi w:val="0"/>
              <w:spacing w:before="0" w:after="0"/>
              <w:jc w:val="center"/>
              <w:rPr>
                <w:spacing w:val="-2"/>
              </w:rPr>
            </w:pPr>
            <w:r>
              <w:rPr>
                <w:spacing w:val="-2"/>
              </w:rPr>
              <w:t xml:space="preserve">Performance-Based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1F2668"/>
            </w:tcBorders>
            <w:vAlign w:val="center"/>
          </w:tcPr>
          <w:p>
            <w:pPr>
              <w:pStyle w:val="TableContents"/>
              <w:bidi w:val="0"/>
              <w:spacing w:before="0" w:after="0"/>
              <w:jc w:val="center"/>
              <w:rPr>
                <w:spacing w:val="-2"/>
              </w:rPr>
            </w:pPr>
            <w:r>
              <w:rPr>
                <w:spacing w:val="-2"/>
              </w:rPr>
              <w:t xml:space="preserve">Time-Based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30" w:type="dxa"/>
            <w:gridSpan w:val="4"/>
            <w:tcBorders>
              <w:bottom w:val="single" w:sz="2" w:space="0" w:color="1F2668"/>
            </w:tcBorders>
            <w:vAlign w:val="center"/>
          </w:tcPr>
          <w:p>
            <w:pPr>
              <w:pStyle w:val="TableContents"/>
              <w:bidi w:val="0"/>
              <w:spacing w:before="0" w:after="0"/>
              <w:jc w:val="center"/>
              <w:rPr>
                <w:spacing w:val="-2"/>
              </w:rPr>
            </w:pPr>
            <w:r>
              <w:rPr>
                <w:spacing w:val="-2"/>
              </w:rPr>
              <w:t xml:space="preserve">Total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371" w:type="dxa"/>
            <w:tcBorders>
              <w:bottom w:val="single" w:sz="2" w:space="0" w:color="4B5088"/>
            </w:tcBorders>
            <w:vAlign w:val="center"/>
          </w:tcPr>
          <w:p>
            <w:pPr>
              <w:pStyle w:val="TableContents"/>
              <w:bidi w:val="0"/>
              <w:spacing w:before="0" w:after="0"/>
              <w:jc w:val="left"/>
              <w:rPr>
                <w:b/>
              </w:rPr>
            </w:pPr>
            <w:r>
              <w:rPr>
                <w:b/>
                <w:spacing w:val="-2"/>
              </w:rPr>
              <w:t>Marc Holliday</w:t>
            </w:r>
            <w:r>
              <w:rPr>
                <w:b/>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9" w:type="dxa"/>
            <w:tcBorders>
              <w:bottom w:val="single" w:sz="2" w:space="0" w:color="4B5088"/>
            </w:tcBorders>
            <w:tcMar>
              <w:bottom w:w="28" w:type="dxa"/>
            </w:tcMar>
            <w:vAlign w:val="center"/>
          </w:tcPr>
          <w:p>
            <w:pPr>
              <w:pStyle w:val="TableContents"/>
              <w:bidi w:val="0"/>
              <w:spacing w:before="0" w:after="283"/>
              <w:jc w:val="left"/>
              <w:rPr/>
            </w:pPr>
            <w:r>
              <w:rPr/>
              <w:t>​</w:t>
            </w:r>
          </w:p>
        </w:tc>
        <w:tc>
          <w:tcPr>
            <w:tcW w:w="271" w:type="dxa"/>
            <w:tcBorders>
              <w:bottom w:val="single" w:sz="2" w:space="0" w:color="4B5088"/>
            </w:tcBorders>
            <w:vAlign w:val="center"/>
          </w:tcPr>
          <w:p>
            <w:pPr>
              <w:pStyle w:val="TableContents"/>
              <w:bidi w:val="0"/>
              <w:spacing w:before="0" w:after="283"/>
              <w:jc w:val="right"/>
              <w:rPr/>
            </w:pPr>
            <w:r>
              <w:rPr/>
              <w:t>$</w:t>
            </w:r>
          </w:p>
        </w:tc>
        <w:tc>
          <w:tcPr>
            <w:tcW w:w="1459" w:type="dxa"/>
            <w:tcBorders>
              <w:bottom w:val="single" w:sz="2" w:space="0" w:color="4B5088"/>
            </w:tcBorders>
            <w:vAlign w:val="center"/>
          </w:tcPr>
          <w:p>
            <w:pPr>
              <w:pStyle w:val="TableContents"/>
              <w:bidi w:val="0"/>
              <w:spacing w:before="0" w:after="283"/>
              <w:jc w:val="right"/>
              <w:rPr/>
            </w:pPr>
            <w:r>
              <w:rPr/>
              <w:t>10,000,000</w:t>
            </w:r>
            <w:r>
              <w:rPr>
                <w:sz w:val="11"/>
              </w:rPr>
              <w:t>(1)</w:t>
            </w:r>
            <w:r>
              <w:rPr/>
              <w:t xml:space="preserve"> </w:t>
            </w:r>
          </w:p>
        </w:tc>
        <w:tc>
          <w:tcPr>
            <w:tcW w:w="133"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vAlign w:val="center"/>
          </w:tcPr>
          <w:p>
            <w:pPr>
              <w:pStyle w:val="TableContents"/>
              <w:bidi w:val="0"/>
              <w:spacing w:before="0" w:after="283"/>
              <w:jc w:val="right"/>
              <w:rPr/>
            </w:pPr>
            <w:r>
              <w:rPr/>
              <w:t>$</w:t>
            </w:r>
          </w:p>
        </w:tc>
        <w:tc>
          <w:tcPr>
            <w:tcW w:w="1066" w:type="dxa"/>
            <w:tcBorders>
              <w:bottom w:val="single" w:sz="2" w:space="0" w:color="4B5088"/>
            </w:tcBorders>
            <w:vAlign w:val="center"/>
          </w:tcPr>
          <w:p>
            <w:pPr>
              <w:pStyle w:val="TableContents"/>
              <w:bidi w:val="0"/>
              <w:spacing w:before="0" w:after="283"/>
              <w:jc w:val="right"/>
              <w:rPr/>
            </w:pPr>
            <w:r>
              <w:rPr/>
              <w:t>5,000,000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vAlign w:val="center"/>
          </w:tcPr>
          <w:p>
            <w:pPr>
              <w:pStyle w:val="TableContents"/>
              <w:bidi w:val="0"/>
              <w:spacing w:before="0" w:after="283"/>
              <w:jc w:val="right"/>
              <w:rPr/>
            </w:pPr>
            <w:r>
              <w:rPr/>
              <w:t>$</w:t>
            </w:r>
          </w:p>
        </w:tc>
        <w:tc>
          <w:tcPr>
            <w:tcW w:w="1186" w:type="dxa"/>
            <w:tcBorders>
              <w:bottom w:val="single" w:sz="2" w:space="0" w:color="4B5088"/>
            </w:tcBorders>
            <w:vAlign w:val="center"/>
          </w:tcPr>
          <w:p>
            <w:pPr>
              <w:pStyle w:val="TableContents"/>
              <w:bidi w:val="0"/>
              <w:spacing w:before="0" w:after="283"/>
              <w:jc w:val="right"/>
              <w:rPr/>
            </w:pPr>
            <w:r>
              <w:rPr/>
              <w:t>15,000,000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371" w:type="dxa"/>
            <w:tcBorders>
              <w:bottom w:val="single" w:sz="2" w:space="0" w:color="4B5088"/>
            </w:tcBorders>
            <w:vAlign w:val="center"/>
          </w:tcPr>
          <w:p>
            <w:pPr>
              <w:pStyle w:val="TableContents"/>
              <w:bidi w:val="0"/>
              <w:spacing w:before="0" w:after="0"/>
              <w:jc w:val="left"/>
              <w:rPr>
                <w:b/>
              </w:rPr>
            </w:pPr>
            <w:r>
              <w:rPr>
                <w:b/>
                <w:spacing w:val="-2"/>
              </w:rPr>
              <w:t>Matthew J. DiLiberto</w:t>
            </w:r>
            <w:r>
              <w:rPr>
                <w:b/>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9" w:type="dxa"/>
            <w:tcBorders>
              <w:bottom w:val="single" w:sz="2" w:space="0" w:color="4B5088"/>
            </w:tcBorders>
            <w:tcMar>
              <w:bottom w:w="28" w:type="dxa"/>
            </w:tcMar>
            <w:vAlign w:val="center"/>
          </w:tcPr>
          <w:p>
            <w:pPr>
              <w:pStyle w:val="TableContents"/>
              <w:bidi w:val="0"/>
              <w:spacing w:before="0" w:after="283"/>
              <w:jc w:val="left"/>
              <w:rPr/>
            </w:pPr>
            <w:r>
              <w:rPr/>
              <w:t>​</w:t>
            </w:r>
          </w:p>
        </w:tc>
        <w:tc>
          <w:tcPr>
            <w:tcW w:w="271" w:type="dxa"/>
            <w:tcBorders>
              <w:bottom w:val="single" w:sz="2" w:space="0" w:color="4B5088"/>
            </w:tcBorders>
            <w:vAlign w:val="center"/>
          </w:tcPr>
          <w:p>
            <w:pPr>
              <w:pStyle w:val="TableContents"/>
              <w:bidi w:val="0"/>
              <w:spacing w:before="0" w:after="283"/>
              <w:jc w:val="right"/>
              <w:rPr/>
            </w:pPr>
            <w:r>
              <w:rPr/>
              <w:t>$</w:t>
            </w:r>
          </w:p>
        </w:tc>
        <w:tc>
          <w:tcPr>
            <w:tcW w:w="1459" w:type="dxa"/>
            <w:tcBorders>
              <w:bottom w:val="single" w:sz="2" w:space="0" w:color="4B5088"/>
            </w:tcBorders>
            <w:vAlign w:val="center"/>
          </w:tcPr>
          <w:p>
            <w:pPr>
              <w:pStyle w:val="TableContents"/>
              <w:bidi w:val="0"/>
              <w:spacing w:before="0" w:after="283"/>
              <w:jc w:val="right"/>
              <w:rPr/>
            </w:pPr>
            <w:r>
              <w:rPr/>
              <w:t xml:space="preserve">750,000 </w:t>
            </w:r>
          </w:p>
        </w:tc>
        <w:tc>
          <w:tcPr>
            <w:tcW w:w="133"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vAlign w:val="center"/>
          </w:tcPr>
          <w:p>
            <w:pPr>
              <w:pStyle w:val="TableContents"/>
              <w:bidi w:val="0"/>
              <w:spacing w:before="0" w:after="283"/>
              <w:jc w:val="right"/>
              <w:rPr/>
            </w:pPr>
            <w:r>
              <w:rPr/>
              <w:t>$</w:t>
            </w:r>
          </w:p>
        </w:tc>
        <w:tc>
          <w:tcPr>
            <w:tcW w:w="1066" w:type="dxa"/>
            <w:tcBorders>
              <w:bottom w:val="single" w:sz="2" w:space="0" w:color="4B5088"/>
            </w:tcBorders>
            <w:vAlign w:val="center"/>
          </w:tcPr>
          <w:p>
            <w:pPr>
              <w:pStyle w:val="TableContents"/>
              <w:bidi w:val="0"/>
              <w:spacing w:before="0" w:after="283"/>
              <w:jc w:val="right"/>
              <w:rPr/>
            </w:pPr>
            <w:r>
              <w:rPr/>
              <w:t>1,540,000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vAlign w:val="center"/>
          </w:tcPr>
          <w:p>
            <w:pPr>
              <w:pStyle w:val="TableContents"/>
              <w:bidi w:val="0"/>
              <w:spacing w:before="0" w:after="283"/>
              <w:jc w:val="right"/>
              <w:rPr/>
            </w:pPr>
            <w:r>
              <w:rPr/>
              <w:t>$</w:t>
            </w:r>
          </w:p>
        </w:tc>
        <w:tc>
          <w:tcPr>
            <w:tcW w:w="1186" w:type="dxa"/>
            <w:tcBorders>
              <w:bottom w:val="single" w:sz="2" w:space="0" w:color="4B5088"/>
            </w:tcBorders>
            <w:vAlign w:val="center"/>
          </w:tcPr>
          <w:p>
            <w:pPr>
              <w:pStyle w:val="TableContents"/>
              <w:bidi w:val="0"/>
              <w:spacing w:before="0" w:after="283"/>
              <w:jc w:val="right"/>
              <w:rPr/>
            </w:pPr>
            <w:r>
              <w:rPr/>
              <w:t xml:space="preserve">2,290,000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371" w:type="dxa"/>
            <w:tcBorders>
              <w:bottom w:val="single" w:sz="2" w:space="0" w:color="1F2668"/>
            </w:tcBorders>
            <w:vAlign w:val="center"/>
          </w:tcPr>
          <w:p>
            <w:pPr>
              <w:pStyle w:val="TableContents"/>
              <w:bidi w:val="0"/>
              <w:spacing w:before="0" w:after="0"/>
              <w:jc w:val="left"/>
              <w:rPr>
                <w:b/>
              </w:rPr>
            </w:pPr>
            <w:r>
              <w:rPr>
                <w:b/>
                <w:spacing w:val="-2"/>
              </w:rPr>
              <w:t>Andrew S. Levine</w:t>
            </w:r>
            <w:r>
              <w:rPr>
                <w:b/>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9" w:type="dxa"/>
            <w:tcBorders>
              <w:bottom w:val="single" w:sz="2" w:space="0" w:color="1F2668"/>
            </w:tcBorders>
            <w:tcMar>
              <w:bottom w:w="28" w:type="dxa"/>
            </w:tcMar>
            <w:vAlign w:val="center"/>
          </w:tcPr>
          <w:p>
            <w:pPr>
              <w:pStyle w:val="TableContents"/>
              <w:bidi w:val="0"/>
              <w:spacing w:before="0" w:after="283"/>
              <w:jc w:val="left"/>
              <w:rPr/>
            </w:pPr>
            <w:r>
              <w:rPr/>
              <w:t>​</w:t>
            </w:r>
          </w:p>
        </w:tc>
        <w:tc>
          <w:tcPr>
            <w:tcW w:w="271" w:type="dxa"/>
            <w:tcBorders>
              <w:bottom w:val="single" w:sz="2" w:space="0" w:color="1F2668"/>
            </w:tcBorders>
            <w:vAlign w:val="center"/>
          </w:tcPr>
          <w:p>
            <w:pPr>
              <w:pStyle w:val="TableContents"/>
              <w:bidi w:val="0"/>
              <w:spacing w:before="0" w:after="283"/>
              <w:jc w:val="right"/>
              <w:rPr/>
            </w:pPr>
            <w:r>
              <w:rPr/>
              <w:t>$</w:t>
            </w:r>
          </w:p>
        </w:tc>
        <w:tc>
          <w:tcPr>
            <w:tcW w:w="1459" w:type="dxa"/>
            <w:tcBorders>
              <w:bottom w:val="single" w:sz="2" w:space="0" w:color="1F2668"/>
            </w:tcBorders>
            <w:vAlign w:val="center"/>
          </w:tcPr>
          <w:p>
            <w:pPr>
              <w:pStyle w:val="TableContents"/>
              <w:bidi w:val="0"/>
              <w:spacing w:before="0" w:after="283"/>
              <w:jc w:val="right"/>
              <w:rPr/>
            </w:pPr>
            <w:r>
              <w:rPr/>
              <w:t>600,000</w:t>
            </w:r>
          </w:p>
        </w:tc>
        <w:tc>
          <w:tcPr>
            <w:tcW w:w="133"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226" w:type="dxa"/>
            <w:tcBorders>
              <w:bottom w:val="single" w:sz="2" w:space="0" w:color="1F2668"/>
            </w:tcBorders>
            <w:vAlign w:val="center"/>
          </w:tcPr>
          <w:p>
            <w:pPr>
              <w:pStyle w:val="TableContents"/>
              <w:bidi w:val="0"/>
              <w:spacing w:before="0" w:after="283"/>
              <w:jc w:val="right"/>
              <w:rPr/>
            </w:pPr>
            <w:r>
              <w:rPr/>
              <w:t>$</w:t>
            </w:r>
          </w:p>
        </w:tc>
        <w:tc>
          <w:tcPr>
            <w:tcW w:w="1066" w:type="dxa"/>
            <w:tcBorders>
              <w:bottom w:val="single" w:sz="2" w:space="0" w:color="1F2668"/>
            </w:tcBorders>
            <w:vAlign w:val="center"/>
          </w:tcPr>
          <w:p>
            <w:pPr>
              <w:pStyle w:val="TableContents"/>
              <w:bidi w:val="0"/>
              <w:spacing w:before="0" w:after="283"/>
              <w:jc w:val="right"/>
              <w:rPr/>
            </w:pPr>
            <w:r>
              <w:rPr/>
              <w:t>1,450,000</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226" w:type="dxa"/>
            <w:tcBorders>
              <w:bottom w:val="single" w:sz="2" w:space="0" w:color="1F2668"/>
            </w:tcBorders>
            <w:vAlign w:val="center"/>
          </w:tcPr>
          <w:p>
            <w:pPr>
              <w:pStyle w:val="TableContents"/>
              <w:bidi w:val="0"/>
              <w:spacing w:before="0" w:after="283"/>
              <w:jc w:val="right"/>
              <w:rPr/>
            </w:pPr>
            <w:r>
              <w:rPr/>
              <w:t>$</w:t>
            </w:r>
          </w:p>
        </w:tc>
        <w:tc>
          <w:tcPr>
            <w:tcW w:w="1186" w:type="dxa"/>
            <w:tcBorders>
              <w:bottom w:val="single" w:sz="2" w:space="0" w:color="1F2668"/>
            </w:tcBorders>
            <w:vAlign w:val="center"/>
          </w:tcPr>
          <w:p>
            <w:pPr>
              <w:pStyle w:val="TableContents"/>
              <w:bidi w:val="0"/>
              <w:spacing w:before="0" w:after="283"/>
              <w:jc w:val="right"/>
              <w:rPr/>
            </w:pPr>
            <w:r>
              <w:rPr/>
              <w:t>2,050,000</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300"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Includes the target value of the Outperformance Modifier.</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90500" distB="0" distL="0" distR="0" simplePos="0" locked="0" layoutInCell="1" allowOverlap="1" relativeHeight="635">
                <wp:simplePos x="0" y="0"/>
                <wp:positionH relativeFrom="column">
                  <wp:align>left</wp:align>
                </wp:positionH>
                <wp:positionV relativeFrom="line">
                  <wp:align>top</wp:align>
                </wp:positionV>
                <wp:extent cx="254000" cy="254000"/>
                <wp:effectExtent l="0" t="0" r="0" b="0"/>
                <wp:wrapSquare wrapText="right"/>
                <wp:docPr id="689" name="Frame372"/>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2"/>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15pt;mso-wrap-distance-bottom:0pt;margin-top:15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2"/>
                          <w:sz w:val="16"/>
                        </w:rPr>
                        <w:t>(1)</w:t>
                      </w:r>
                      <w:r>
                        <w:rPr>
                          <w:sz w:val="16"/>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For Mr. Holliday and Mr. Levine, 100% of the earned performance-based LTIP units will vest at the end of the three-year performance period, on December 31, 2027, subject to continued employment. For Mr. DiLiberto, 50% of the earned performance-based LTIP units will vest at the end of the three-year performance period and 50% will vest after an additional year, subject to continued employment.</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For detailed information regarding the structure, metrics and weighting related to the performance-based and time-based equity awarded to our NEOs see below and “— Other Compensation Policies and Information—Why SL Green Chose These Metrics.”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300" w:before="360" w:after="283"/>
        <w:jc w:val="left"/>
        <w:rPr>
          <w:rFonts w:ascii="Arial;Helvetica;sans-serif" w:hAnsi="Arial;Helvetica;sans-serif"/>
          <w:b/>
          <w:i w:val="false"/>
          <w:caps w:val="false"/>
          <w:smallCaps w:val="false"/>
          <w:color w:val="1F2668"/>
          <w:sz w:val="26"/>
        </w:rPr>
      </w:pPr>
      <w:r>
        <w:rPr>
          <w:rFonts w:ascii="Arial;Helvetica;sans-serif" w:hAnsi="Arial;Helvetica;sans-serif"/>
          <w:b/>
          <w:i w:val="false"/>
          <w:caps w:val="false"/>
          <w:smallCaps w:val="false"/>
          <w:color w:val="1F2668"/>
          <w:spacing w:val="-3"/>
          <w:sz w:val="26"/>
        </w:rPr>
        <w:t>Performance-Based Equity Awards:</w:t>
      </w:r>
      <w:r>
        <w:rPr>
          <w:rFonts w:ascii="Arial;Helvetica;sans-serif" w:hAnsi="Arial;Helvetica;sans-serif"/>
          <w:b/>
          <w:i w:val="false"/>
          <w:caps w:val="false"/>
          <w:smallCaps w:val="false"/>
          <w:color w:val="000000"/>
          <w:spacing w:val="5"/>
          <w:sz w:val="26"/>
        </w:rPr>
        <w:t xml:space="preserve"> </w:t>
      </w:r>
    </w:p>
    <w:p>
      <w:pPr>
        <w:pStyle w:val="TextBody"/>
        <w:bidi w:val="0"/>
        <w:spacing w:lineRule="atLeast" w:line="220" w:before="160" w:after="0"/>
        <w:ind w:left="1300" w:right="0" w:hanging="0"/>
        <w:jc w:val="left"/>
        <w:rPr>
          <w:rFonts w:ascii="Arial;Helvetica;sans-serif" w:hAnsi="Arial;Helvetica;sans-serif"/>
          <w:b/>
          <w:i w:val="false"/>
          <w:caps w:val="false"/>
          <w:smallCaps w:val="false"/>
          <w:color w:val="1F2668"/>
          <w:sz w:val="18"/>
        </w:rPr>
      </w:pPr>
      <w:r>
        <w:rPr>
          <w:rFonts w:ascii="Arial;Helvetica;sans-serif" w:hAnsi="Arial;Helvetica;sans-serif"/>
          <w:b/>
          <w:i w:val="false"/>
          <w:caps w:val="false"/>
          <w:smallCaps w:val="false"/>
          <w:color w:val="1F2668"/>
          <w:spacing w:val="-2"/>
          <w:sz w:val="18"/>
        </w:rPr>
        <w:t>2025 Relative TSR Equity Incentive</w:t>
      </w:r>
      <w:r>
        <w:rPr>
          <w:rFonts w:ascii="Arial;Helvetica;sans-serif" w:hAnsi="Arial;Helvetica;sans-serif"/>
          <w:b/>
          <w:i w:val="false"/>
          <w:caps w:val="false"/>
          <w:smallCaps w:val="false"/>
          <w:color w:val="000000"/>
          <w:spacing w:val="4"/>
          <w:sz w:val="18"/>
        </w:rPr>
        <w:t xml:space="preserve"> </w:t>
      </w:r>
      <w:r>
        <mc:AlternateContent>
          <mc:Choice Requires="wps">
            <w:drawing>
              <wp:anchor behindDoc="0" distT="101600" distB="0" distL="0" distR="0" simplePos="0" locked="0" layoutInCell="1" allowOverlap="1" relativeHeight="636">
                <wp:simplePos x="0" y="0"/>
                <wp:positionH relativeFrom="column">
                  <wp:align>left</wp:align>
                </wp:positionH>
                <wp:positionV relativeFrom="line">
                  <wp:align>top</wp:align>
                </wp:positionV>
                <wp:extent cx="254000" cy="350520"/>
                <wp:effectExtent l="0" t="0" r="0" b="0"/>
                <wp:wrapSquare wrapText="right"/>
                <wp:docPr id="690" name="Frame37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b/>
                                <w:color w:val="1F2668"/>
                              </w:rPr>
                            </w:pPr>
                            <w:r>
                              <w:rPr>
                                <w:b/>
                                <w:color w:val="1F2668"/>
                                <w:spacing w:val="-2"/>
                              </w:rPr>
                              <w:t>1.</w:t>
                            </w:r>
                            <w:r>
                              <w:rPr>
                                <w:b/>
                                <w:color w:val="1F2668"/>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20" w:before="0" w:after="283"/>
                        <w:jc w:val="left"/>
                        <w:rPr>
                          <w:b/>
                          <w:color w:val="1F2668"/>
                        </w:rPr>
                      </w:pPr>
                      <w:r>
                        <w:rPr>
                          <w:b/>
                          <w:color w:val="1F2668"/>
                          <w:spacing w:val="-2"/>
                        </w:rPr>
                        <w:t>1.</w:t>
                      </w:r>
                      <w:r>
                        <w:rPr>
                          <w:b/>
                          <w:color w:val="1F2668"/>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i w:val="false"/>
          <w:caps w:val="false"/>
          <w:smallCaps w:val="false"/>
          <w:color w:val="83AD40"/>
          <w:spacing w:val="-2"/>
          <w:sz w:val="18"/>
        </w:rPr>
        <w:t>Performance Metric.</w:t>
      </w:r>
      <w:r>
        <w:rPr>
          <w:rFonts w:ascii="Arial;Helvetica;sans-serif" w:hAnsi="Arial;Helvetica;sans-serif"/>
          <w:b w:val="false"/>
          <w:i w:val="false"/>
          <w:caps w:val="false"/>
          <w:smallCaps w:val="false"/>
          <w:color w:val="000000"/>
          <w:spacing w:val="-2"/>
          <w:sz w:val="18"/>
        </w:rPr>
        <w:t xml:space="preserve"> The relative component of our annual performance-based equity awards measures our TSR performance against two peer sets over a </w:t>
      </w:r>
      <w:r>
        <w:rPr>
          <w:rFonts w:ascii="Arial;Helvetica;sans-serif" w:hAnsi="Arial;Helvetica;sans-serif"/>
          <w:b/>
          <w:i w:val="false"/>
          <w:caps w:val="false"/>
          <w:smallCaps w:val="false"/>
          <w:color w:val="000000"/>
          <w:spacing w:val="-2"/>
          <w:sz w:val="18"/>
        </w:rPr>
        <w:t>three-year performance period</w:t>
      </w:r>
      <w:r>
        <w:rPr>
          <w:rFonts w:ascii="Arial;Helvetica;sans-serif" w:hAnsi="Arial;Helvetica;sans-serif"/>
          <w:b w:val="false"/>
          <w:i w:val="false"/>
          <w:caps w:val="false"/>
          <w:smallCaps w:val="false"/>
          <w:color w:val="000000"/>
          <w:spacing w:val="-2"/>
          <w:sz w:val="18"/>
        </w:rPr>
        <w:t xml:space="preserve"> as outlined below:</w:t>
      </w:r>
      <w:r>
        <w:rPr>
          <w:rFonts w:ascii="Arial;Helvetica;sans-serif" w:hAnsi="Arial;Helvetica;sans-serif"/>
          <w:b w:val="false"/>
          <w:i w:val="false"/>
          <w:caps w:val="false"/>
          <w:smallCaps w:val="false"/>
          <w:color w:val="000000"/>
          <w:spacing w:val="4"/>
          <w:sz w:val="18"/>
        </w:rPr>
        <w:t xml:space="preserve"> </w:t>
      </w:r>
    </w:p>
    <w:tbl>
      <w:tblPr>
        <w:tblW w:w="8952" w:type="dxa"/>
        <w:jc w:val="left"/>
        <w:tblInd w:w="900" w:type="dxa"/>
        <w:tblLayout w:type="fixed"/>
        <w:tblCellMar>
          <w:top w:w="0" w:type="dxa"/>
          <w:left w:w="0" w:type="dxa"/>
          <w:bottom w:w="43" w:type="dxa"/>
          <w:right w:w="0" w:type="dxa"/>
        </w:tblCellMar>
      </w:tblPr>
      <w:tblGrid>
        <w:gridCol w:w="2152"/>
        <w:gridCol w:w="109"/>
        <w:gridCol w:w="109"/>
        <w:gridCol w:w="1140"/>
        <w:gridCol w:w="109"/>
        <w:gridCol w:w="109"/>
        <w:gridCol w:w="1466"/>
        <w:gridCol w:w="109"/>
        <w:gridCol w:w="109"/>
        <w:gridCol w:w="1584"/>
        <w:gridCol w:w="109"/>
        <w:gridCol w:w="109"/>
        <w:gridCol w:w="1584"/>
        <w:gridCol w:w="154"/>
      </w:tblGrid>
      <w:tr>
        <w:trPr/>
        <w:tc>
          <w:tcPr>
            <w:tcW w:w="2152" w:type="dxa"/>
            <w:tcBorders>
              <w:bottom w:val="single" w:sz="2" w:space="0" w:color="1F2668"/>
            </w:tcBorders>
            <w:vAlign w:val="center"/>
          </w:tcPr>
          <w:p>
            <w:pPr>
              <w:pStyle w:val="TableContents"/>
              <w:bidi w:val="0"/>
              <w:spacing w:before="0" w:after="0"/>
              <w:jc w:val="left"/>
              <w:rPr>
                <w:spacing w:val="-2"/>
              </w:rPr>
            </w:pPr>
            <w:r>
              <w:rPr>
                <w:spacing w:val="-2"/>
              </w:rPr>
              <w:t xml:space="preserve">Performance Criteria </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140" w:type="dxa"/>
            <w:tcBorders>
              <w:bottom w:val="single" w:sz="2" w:space="0" w:color="1F2668"/>
            </w:tcBorders>
            <w:vAlign w:val="center"/>
          </w:tcPr>
          <w:p>
            <w:pPr>
              <w:pStyle w:val="TableContents"/>
              <w:bidi w:val="0"/>
              <w:spacing w:before="0" w:after="0"/>
              <w:jc w:val="center"/>
              <w:rPr>
                <w:spacing w:val="-2"/>
              </w:rPr>
            </w:pPr>
            <w:r>
              <w:rPr>
                <w:spacing w:val="-2"/>
              </w:rPr>
              <w:t xml:space="preserve">Weighting </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466" w:type="dxa"/>
            <w:tcBorders>
              <w:bottom w:val="single" w:sz="2" w:space="0" w:color="1F2668"/>
            </w:tcBorders>
            <w:vAlign w:val="center"/>
          </w:tcPr>
          <w:p>
            <w:pPr>
              <w:pStyle w:val="TableContents"/>
              <w:bidi w:val="0"/>
              <w:spacing w:before="0" w:after="0"/>
              <w:jc w:val="center"/>
              <w:rPr>
                <w:spacing w:val="-2"/>
              </w:rPr>
            </w:pPr>
            <w:r>
              <w:rPr>
                <w:spacing w:val="-2"/>
              </w:rPr>
              <w:t xml:space="preserve">Threshold </w:t>
              <w:br/>
              <w:t xml:space="preserve">(50% vesting) </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584" w:type="dxa"/>
            <w:tcBorders>
              <w:bottom w:val="single" w:sz="2" w:space="0" w:color="1F2668"/>
            </w:tcBorders>
            <w:vAlign w:val="center"/>
          </w:tcPr>
          <w:p>
            <w:pPr>
              <w:pStyle w:val="TableContents"/>
              <w:bidi w:val="0"/>
              <w:spacing w:before="0" w:after="0"/>
              <w:jc w:val="center"/>
              <w:rPr>
                <w:spacing w:val="-2"/>
              </w:rPr>
            </w:pPr>
            <w:r>
              <w:rPr>
                <w:spacing w:val="-2"/>
              </w:rPr>
              <w:t xml:space="preserve">Target </w:t>
              <w:br/>
              <w:t xml:space="preserve">(100% vesting) </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584" w:type="dxa"/>
            <w:tcBorders>
              <w:bottom w:val="single" w:sz="2" w:space="0" w:color="1F2668"/>
            </w:tcBorders>
            <w:vAlign w:val="center"/>
          </w:tcPr>
          <w:p>
            <w:pPr>
              <w:pStyle w:val="TableContents"/>
              <w:bidi w:val="0"/>
              <w:spacing w:before="0" w:after="0"/>
              <w:jc w:val="center"/>
              <w:rPr>
                <w:spacing w:val="-2"/>
              </w:rPr>
            </w:pPr>
            <w:r>
              <w:rPr>
                <w:spacing w:val="-2"/>
              </w:rPr>
              <w:t xml:space="preserve">Maximum </w:t>
              <w:br/>
              <w:t xml:space="preserve">(225% vesting) </w:t>
            </w:r>
          </w:p>
        </w:tc>
        <w:tc>
          <w:tcPr>
            <w:tcW w:w="154" w:type="dxa"/>
            <w:tcBorders>
              <w:bottom w:val="single" w:sz="12" w:space="0" w:color="FFFFFF"/>
            </w:tcBorders>
            <w:tcMar>
              <w:bottom w:w="28" w:type="dxa"/>
            </w:tcMar>
            <w:vAlign w:val="center"/>
          </w:tcPr>
          <w:p>
            <w:pPr>
              <w:pStyle w:val="TableContents"/>
              <w:bidi w:val="0"/>
              <w:spacing w:before="0" w:after="283"/>
              <w:jc w:val="left"/>
              <w:rPr/>
            </w:pPr>
            <w:r>
              <w:rPr/>
              <w:t>​</w:t>
            </w:r>
          </w:p>
        </w:tc>
      </w:tr>
      <w:tr>
        <w:trPr/>
        <w:tc>
          <w:tcPr>
            <w:tcW w:w="2152" w:type="dxa"/>
            <w:tcBorders>
              <w:bottom w:val="single" w:sz="2" w:space="0" w:color="4B5088"/>
            </w:tcBorders>
            <w:tcMar>
              <w:bottom w:w="28" w:type="dxa"/>
            </w:tcMar>
            <w:vAlign w:val="center"/>
          </w:tcPr>
          <w:p>
            <w:pPr>
              <w:pStyle w:val="TableContents"/>
              <w:bidi w:val="0"/>
              <w:spacing w:lineRule="atLeast" w:line="220" w:before="0" w:after="0"/>
              <w:jc w:val="left"/>
              <w:rPr>
                <w:b/>
                <w:color w:val="1F2668"/>
              </w:rPr>
            </w:pPr>
            <w:r>
              <w:rPr>
                <w:b/>
                <w:color w:val="1F2668"/>
                <w:spacing w:val="-2"/>
              </w:rPr>
              <w:t>Office REIT Peers</w:t>
            </w:r>
            <w:r>
              <w:rPr>
                <w:b/>
                <w:color w:val="1F2668"/>
                <w:spacing w:val="-1"/>
                <w:sz w:val="11"/>
              </w:rPr>
              <w:t>(1)</w:t>
            </w:r>
            <w:r>
              <w:rPr>
                <w:b/>
                <w:color w:val="1F2668"/>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40" w:type="dxa"/>
            <w:tcBorders>
              <w:bottom w:val="single" w:sz="2" w:space="0" w:color="4B5088"/>
            </w:tcBorders>
            <w:tcMar>
              <w:bottom w:w="28" w:type="dxa"/>
            </w:tcMar>
            <w:vAlign w:val="center"/>
          </w:tcPr>
          <w:p>
            <w:pPr>
              <w:pStyle w:val="TableContents"/>
              <w:bidi w:val="0"/>
              <w:spacing w:lineRule="atLeast" w:line="220" w:before="0" w:after="0"/>
              <w:jc w:val="center"/>
              <w:rPr>
                <w:spacing w:val="-2"/>
              </w:rPr>
            </w:pPr>
            <w:r>
              <w:rPr>
                <w:spacing w:val="-2"/>
              </w:rPr>
              <w:t xml:space="preserve">66.7%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66" w:type="dxa"/>
            <w:tcBorders>
              <w:bottom w:val="single" w:sz="2" w:space="0" w:color="4B5088"/>
            </w:tcBorders>
            <w:tcMar>
              <w:bottom w:w="28" w:type="dxa"/>
            </w:tcMar>
            <w:vAlign w:val="center"/>
          </w:tcPr>
          <w:p>
            <w:pPr>
              <w:pStyle w:val="TableContents"/>
              <w:bidi w:val="0"/>
              <w:spacing w:lineRule="atLeast" w:line="220" w:before="0" w:after="0"/>
              <w:jc w:val="center"/>
              <w:rPr/>
            </w:pPr>
            <w:r>
              <w:rPr>
                <w:spacing w:val="-2"/>
              </w:rPr>
              <w:t>30</w:t>
            </w:r>
            <w:r>
              <w:rPr>
                <w:spacing w:val="-1"/>
                <w:sz w:val="11"/>
              </w:rPr>
              <w:t>th</w:t>
            </w:r>
            <w:r>
              <w:rPr>
                <w:spacing w:val="-2"/>
              </w:rPr>
              <w:t xml:space="preserve"> percentile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84" w:type="dxa"/>
            <w:tcBorders>
              <w:bottom w:val="single" w:sz="2" w:space="0" w:color="4B5088"/>
            </w:tcBorders>
            <w:tcMar>
              <w:bottom w:w="28" w:type="dxa"/>
            </w:tcMar>
            <w:vAlign w:val="center"/>
          </w:tcPr>
          <w:p>
            <w:pPr>
              <w:pStyle w:val="TableContents"/>
              <w:bidi w:val="0"/>
              <w:spacing w:lineRule="atLeast" w:line="220" w:before="0" w:after="0"/>
              <w:jc w:val="center"/>
              <w:rPr/>
            </w:pPr>
            <w:r>
              <w:rPr>
                <w:spacing w:val="-2"/>
              </w:rPr>
              <w:t>55</w:t>
            </w:r>
            <w:r>
              <w:rPr>
                <w:spacing w:val="-1"/>
                <w:sz w:val="11"/>
              </w:rPr>
              <w:t>th</w:t>
            </w:r>
            <w:r>
              <w:rPr>
                <w:spacing w:val="-2"/>
              </w:rPr>
              <w:t xml:space="preserve"> percentile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84" w:type="dxa"/>
            <w:tcBorders>
              <w:bottom w:val="single" w:sz="2" w:space="0" w:color="4B5088"/>
            </w:tcBorders>
            <w:tcMar>
              <w:bottom w:w="28" w:type="dxa"/>
            </w:tcMar>
            <w:vAlign w:val="center"/>
          </w:tcPr>
          <w:p>
            <w:pPr>
              <w:pStyle w:val="TableContents"/>
              <w:bidi w:val="0"/>
              <w:spacing w:lineRule="atLeast" w:line="220" w:before="0" w:after="0"/>
              <w:jc w:val="center"/>
              <w:rPr/>
            </w:pPr>
            <w:r>
              <w:rPr>
                <w:spacing w:val="-2"/>
              </w:rPr>
              <w:t>80</w:t>
            </w:r>
            <w:r>
              <w:rPr>
                <w:spacing w:val="-1"/>
                <w:sz w:val="11"/>
              </w:rPr>
              <w:t>th</w:t>
            </w:r>
            <w:r>
              <w:rPr>
                <w:spacing w:val="-2"/>
              </w:rPr>
              <w:t xml:space="preserve"> percentile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152" w:type="dxa"/>
            <w:tcBorders>
              <w:bottom w:val="single" w:sz="2" w:space="0" w:color="1F2668"/>
            </w:tcBorders>
            <w:tcMar>
              <w:bottom w:w="120" w:type="dxa"/>
            </w:tcMar>
            <w:vAlign w:val="center"/>
          </w:tcPr>
          <w:p>
            <w:pPr>
              <w:pStyle w:val="TableContents"/>
              <w:bidi w:val="0"/>
              <w:spacing w:lineRule="atLeast" w:line="220" w:before="0" w:after="0"/>
              <w:jc w:val="left"/>
              <w:rPr>
                <w:b/>
                <w:color w:val="1F2668"/>
              </w:rPr>
            </w:pPr>
            <w:r>
              <w:rPr>
                <w:b/>
                <w:color w:val="1F2668"/>
                <w:spacing w:val="-2"/>
              </w:rPr>
              <w:t>NYC REIT Peers</w:t>
            </w:r>
            <w:r>
              <w:rPr>
                <w:b/>
                <w:color w:val="1F2668"/>
                <w:spacing w:val="-1"/>
                <w:sz w:val="11"/>
              </w:rPr>
              <w:t>(2)</w:t>
            </w:r>
            <w:r>
              <w:rPr>
                <w:b/>
                <w:color w:val="1F2668"/>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40" w:type="dxa"/>
            <w:tcBorders>
              <w:bottom w:val="single" w:sz="2" w:space="0" w:color="1F2668"/>
            </w:tcBorders>
            <w:tcMar>
              <w:bottom w:w="120" w:type="dxa"/>
            </w:tcMar>
            <w:vAlign w:val="center"/>
          </w:tcPr>
          <w:p>
            <w:pPr>
              <w:pStyle w:val="TableContents"/>
              <w:bidi w:val="0"/>
              <w:spacing w:lineRule="atLeast" w:line="220" w:before="0" w:after="0"/>
              <w:jc w:val="center"/>
              <w:rPr>
                <w:spacing w:val="-2"/>
              </w:rPr>
            </w:pPr>
            <w:r>
              <w:rPr>
                <w:spacing w:val="-2"/>
              </w:rPr>
              <w:t xml:space="preserve">33.3%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66" w:type="dxa"/>
            <w:tcBorders>
              <w:bottom w:val="single" w:sz="2" w:space="0" w:color="1F2668"/>
            </w:tcBorders>
            <w:tcMar>
              <w:bottom w:w="120" w:type="dxa"/>
            </w:tcMar>
            <w:vAlign w:val="center"/>
          </w:tcPr>
          <w:p>
            <w:pPr>
              <w:pStyle w:val="TableContents"/>
              <w:bidi w:val="0"/>
              <w:spacing w:lineRule="atLeast" w:line="220" w:before="0" w:after="0"/>
              <w:jc w:val="center"/>
              <w:rPr/>
            </w:pPr>
            <w:r>
              <w:rPr>
                <w:spacing w:val="-2"/>
              </w:rPr>
              <w:t>30</w:t>
            </w:r>
            <w:r>
              <w:rPr>
                <w:spacing w:val="-1"/>
                <w:sz w:val="11"/>
              </w:rPr>
              <w:t>th</w:t>
            </w:r>
            <w:r>
              <w:rPr>
                <w:spacing w:val="-2"/>
              </w:rPr>
              <w:t xml:space="preserve"> percentile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84" w:type="dxa"/>
            <w:tcBorders>
              <w:bottom w:val="single" w:sz="2" w:space="0" w:color="1F2668"/>
            </w:tcBorders>
            <w:tcMar>
              <w:bottom w:w="120" w:type="dxa"/>
            </w:tcMar>
            <w:vAlign w:val="center"/>
          </w:tcPr>
          <w:p>
            <w:pPr>
              <w:pStyle w:val="TableContents"/>
              <w:bidi w:val="0"/>
              <w:spacing w:lineRule="atLeast" w:line="220" w:before="0" w:after="0"/>
              <w:jc w:val="center"/>
              <w:rPr/>
            </w:pPr>
            <w:r>
              <w:rPr>
                <w:spacing w:val="-2"/>
              </w:rPr>
              <w:t>55</w:t>
            </w:r>
            <w:r>
              <w:rPr>
                <w:spacing w:val="-1"/>
                <w:sz w:val="11"/>
              </w:rPr>
              <w:t>th</w:t>
            </w:r>
            <w:r>
              <w:rPr>
                <w:spacing w:val="-2"/>
              </w:rPr>
              <w:t xml:space="preserve"> percentile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84" w:type="dxa"/>
            <w:tcBorders>
              <w:bottom w:val="single" w:sz="2" w:space="0" w:color="1F2668"/>
            </w:tcBorders>
            <w:tcMar>
              <w:bottom w:w="120" w:type="dxa"/>
            </w:tcMar>
            <w:vAlign w:val="center"/>
          </w:tcPr>
          <w:p>
            <w:pPr>
              <w:pStyle w:val="TableContents"/>
              <w:bidi w:val="0"/>
              <w:spacing w:lineRule="atLeast" w:line="220" w:before="0" w:after="0"/>
              <w:jc w:val="center"/>
              <w:rPr/>
            </w:pPr>
            <w:r>
              <w:rPr>
                <w:spacing w:val="-2"/>
              </w:rPr>
              <w:t>80</w:t>
            </w:r>
            <w:r>
              <w:rPr>
                <w:spacing w:val="-1"/>
                <w:sz w:val="11"/>
              </w:rPr>
              <w:t>th</w:t>
            </w:r>
            <w:r>
              <w:rPr>
                <w:spacing w:val="-2"/>
              </w:rPr>
              <w:t xml:space="preserve"> percentile</w:t>
            </w:r>
            <w:r>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300"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The Office REIT Peer Group is comprised of the constituents of the Bloomberg North American Office REIT Valuation Peers Index.</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90500" distB="0" distL="0" distR="0" simplePos="0" locked="0" layoutInCell="1" allowOverlap="1" relativeHeight="637">
                <wp:simplePos x="0" y="0"/>
                <wp:positionH relativeFrom="column">
                  <wp:align>left</wp:align>
                </wp:positionH>
                <wp:positionV relativeFrom="line">
                  <wp:align>top</wp:align>
                </wp:positionV>
                <wp:extent cx="254000" cy="254000"/>
                <wp:effectExtent l="0" t="0" r="0" b="0"/>
                <wp:wrapSquare wrapText="right"/>
                <wp:docPr id="691" name="Frame374"/>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2"/>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15pt;mso-wrap-distance-bottom:0pt;margin-top:15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2"/>
                          <w:sz w:val="16"/>
                        </w:rPr>
                        <w:t>(1)</w:t>
                      </w:r>
                      <w:r>
                        <w:rPr>
                          <w:sz w:val="16"/>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100"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The NYC Peer Group is comprised of the following companies: Acadia Realty Trust, Empire State Realty Trust, Inc., Veris Residential, Inc., and Vornado Realty Trust. Paramount Group, Inc. was also a member of the NYC Peer Group when the awards were granted but was acquired by Rithm Capital Corp. on December 19, 2025 and is no longer publicly traded.</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63500" distB="0" distL="0" distR="0" simplePos="0" locked="0" layoutInCell="1" allowOverlap="1" relativeHeight="638">
                <wp:simplePos x="0" y="0"/>
                <wp:positionH relativeFrom="column">
                  <wp:align>left</wp:align>
                </wp:positionH>
                <wp:positionV relativeFrom="line">
                  <wp:align>top</wp:align>
                </wp:positionV>
                <wp:extent cx="254000" cy="254000"/>
                <wp:effectExtent l="0" t="0" r="0" b="0"/>
                <wp:wrapSquare wrapText="right"/>
                <wp:docPr id="692" name="Frame375"/>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2"/>
                                <w:sz w:val="16"/>
                              </w:rPr>
                              <w:t>(2)</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2"/>
                          <w:sz w:val="16"/>
                        </w:rPr>
                        <w:t>(2)</w:t>
                      </w:r>
                      <w:r>
                        <w:rPr>
                          <w:sz w:val="16"/>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4330" w:type="dxa"/>
        <w:jc w:val="left"/>
        <w:tblInd w:w="900" w:type="dxa"/>
        <w:tblLayout w:type="fixed"/>
        <w:tblCellMar>
          <w:top w:w="0" w:type="dxa"/>
          <w:left w:w="0" w:type="dxa"/>
          <w:bottom w:w="0" w:type="dxa"/>
          <w:right w:w="0" w:type="dxa"/>
        </w:tblCellMar>
      </w:tblPr>
      <w:tblGrid>
        <w:gridCol w:w="124"/>
        <w:gridCol w:w="3488"/>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3488" w:type="dxa"/>
            <w:tcBorders/>
            <w:vAlign w:val="center"/>
          </w:tcPr>
          <w:p>
            <w:pPr>
              <w:pStyle w:val="TableContents"/>
              <w:bidi w:val="0"/>
              <w:spacing w:lineRule="atLeast" w:line="200" w:before="0" w:after="0"/>
              <w:jc w:val="left"/>
              <w:rPr/>
            </w:pPr>
            <w:r>
              <w:rPr>
                <w:spacing w:val="-2"/>
              </w:rPr>
              <w:t>EXECUTIVE COMPENSATION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color w:val="1F2668"/>
                <w:sz w:val="24"/>
              </w:rPr>
            </w:pPr>
            <w:r>
              <w:rPr>
                <w:color w:val="1F2668"/>
                <w:sz w:val="24"/>
              </w:rPr>
              <w:t>51</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560" w:after="154"/>
        <w:ind w:left="9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i w:val="false"/>
          <w:caps w:val="false"/>
          <w:smallCaps w:val="false"/>
          <w:color w:val="83AD40"/>
          <w:spacing w:val="-2"/>
          <w:sz w:val="18"/>
        </w:rPr>
        <w:t>Absolute TSR Modifier.</w:t>
      </w:r>
      <w:r>
        <w:rPr>
          <w:rFonts w:ascii="Arial;Helvetica;sans-serif" w:hAnsi="Arial;Helvetica;sans-serif"/>
          <w:b w:val="false"/>
          <w:i w:val="false"/>
          <w:caps w:val="false"/>
          <w:smallCaps w:val="false"/>
          <w:color w:val="000000"/>
          <w:spacing w:val="-2"/>
          <w:sz w:val="18"/>
        </w:rPr>
        <w:t xml:space="preserve"> For our CEO and General Counsel, the vesting of each equity award based on 2025 relative TSR is subject to the Company’s annual Absolute TSR performance over the three-year performance period as follows:</w:t>
      </w:r>
      <w:r>
        <w:rPr>
          <w:rFonts w:ascii="Arial;Helvetica;sans-serif" w:hAnsi="Arial;Helvetica;sans-serif"/>
          <w:b w:val="false"/>
          <w:i w:val="false"/>
          <w:caps w:val="false"/>
          <w:smallCaps w:val="false"/>
          <w:color w:val="000000"/>
          <w:spacing w:val="4"/>
          <w:sz w:val="18"/>
        </w:rPr>
        <w:t xml:space="preserve"> </w:t>
      </w:r>
    </w:p>
    <w:tbl>
      <w:tblPr>
        <w:tblW w:w="9305" w:type="dxa"/>
        <w:jc w:val="left"/>
        <w:tblInd w:w="900" w:type="dxa"/>
        <w:tblLayout w:type="fixed"/>
        <w:tblCellMar>
          <w:top w:w="0" w:type="dxa"/>
          <w:left w:w="0" w:type="dxa"/>
          <w:bottom w:w="50" w:type="dxa"/>
          <w:right w:w="0" w:type="dxa"/>
        </w:tblCellMar>
      </w:tblPr>
      <w:tblGrid>
        <w:gridCol w:w="2118"/>
        <w:gridCol w:w="109"/>
        <w:gridCol w:w="109"/>
        <w:gridCol w:w="1345"/>
        <w:gridCol w:w="109"/>
        <w:gridCol w:w="109"/>
        <w:gridCol w:w="1085"/>
        <w:gridCol w:w="109"/>
        <w:gridCol w:w="109"/>
        <w:gridCol w:w="746"/>
        <w:gridCol w:w="109"/>
        <w:gridCol w:w="109"/>
        <w:gridCol w:w="1104"/>
        <w:gridCol w:w="109"/>
        <w:gridCol w:w="109"/>
        <w:gridCol w:w="1660"/>
        <w:gridCol w:w="157"/>
      </w:tblGrid>
      <w:tr>
        <w:trPr/>
        <w:tc>
          <w:tcPr>
            <w:tcW w:w="2118" w:type="dxa"/>
            <w:tcBorders>
              <w:bottom w:val="single" w:sz="2" w:space="0" w:color="1F2668"/>
            </w:tcBorders>
            <w:vAlign w:val="center"/>
          </w:tcPr>
          <w:p>
            <w:pPr>
              <w:pStyle w:val="TableContents"/>
              <w:bidi w:val="0"/>
              <w:spacing w:before="0" w:after="0"/>
              <w:jc w:val="left"/>
              <w:rPr>
                <w:spacing w:val="-2"/>
              </w:rPr>
            </w:pPr>
            <w:r>
              <w:rPr>
                <w:spacing w:val="-2"/>
              </w:rPr>
              <w:t xml:space="preserve">Performance Criteria </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345" w:type="dxa"/>
            <w:tcBorders>
              <w:bottom w:val="single" w:sz="2" w:space="0" w:color="1F2668"/>
            </w:tcBorders>
            <w:vAlign w:val="center"/>
          </w:tcPr>
          <w:p>
            <w:pPr>
              <w:pStyle w:val="TableContents"/>
              <w:bidi w:val="0"/>
              <w:spacing w:before="0" w:after="0"/>
              <w:jc w:val="center"/>
              <w:rPr>
                <w:spacing w:val="-2"/>
              </w:rPr>
            </w:pPr>
            <w:r>
              <w:rPr>
                <w:spacing w:val="-2"/>
              </w:rPr>
              <w:t xml:space="preserve">Modifier Range </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85" w:type="dxa"/>
            <w:tcBorders>
              <w:bottom w:val="single" w:sz="2" w:space="0" w:color="1F2668"/>
            </w:tcBorders>
            <w:vAlign w:val="center"/>
          </w:tcPr>
          <w:p>
            <w:pPr>
              <w:pStyle w:val="TableContents"/>
              <w:bidi w:val="0"/>
              <w:spacing w:before="0" w:after="0"/>
              <w:jc w:val="center"/>
              <w:rPr>
                <w:spacing w:val="-2"/>
              </w:rPr>
            </w:pPr>
            <w:r>
              <w:rPr>
                <w:spacing w:val="-2"/>
              </w:rPr>
              <w:t xml:space="preserve">Threshold </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746" w:type="dxa"/>
            <w:tcBorders>
              <w:bottom w:val="single" w:sz="2" w:space="0" w:color="1F2668"/>
            </w:tcBorders>
            <w:vAlign w:val="center"/>
          </w:tcPr>
          <w:p>
            <w:pPr>
              <w:pStyle w:val="TableContents"/>
              <w:bidi w:val="0"/>
              <w:spacing w:before="0" w:after="0"/>
              <w:jc w:val="center"/>
              <w:rPr>
                <w:spacing w:val="-2"/>
              </w:rPr>
            </w:pPr>
            <w:r>
              <w:rPr>
                <w:spacing w:val="-2"/>
              </w:rPr>
              <w:t xml:space="preserve">Target </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104" w:type="dxa"/>
            <w:tcBorders>
              <w:bottom w:val="single" w:sz="2" w:space="0" w:color="1F2668"/>
            </w:tcBorders>
            <w:vAlign w:val="center"/>
          </w:tcPr>
          <w:p>
            <w:pPr>
              <w:pStyle w:val="TableContents"/>
              <w:bidi w:val="0"/>
              <w:spacing w:before="0" w:after="0"/>
              <w:jc w:val="center"/>
              <w:rPr>
                <w:spacing w:val="-2"/>
              </w:rPr>
            </w:pPr>
            <w:r>
              <w:rPr>
                <w:spacing w:val="-2"/>
              </w:rPr>
              <w:t xml:space="preserve">Maximum </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660" w:type="dxa"/>
            <w:tcBorders>
              <w:bottom w:val="single" w:sz="2" w:space="0" w:color="1F2668"/>
            </w:tcBorders>
            <w:vAlign w:val="center"/>
          </w:tcPr>
          <w:p>
            <w:pPr>
              <w:pStyle w:val="TableContents"/>
              <w:bidi w:val="0"/>
              <w:spacing w:before="0" w:after="0"/>
              <w:jc w:val="center"/>
              <w:rPr>
                <w:spacing w:val="-2"/>
              </w:rPr>
            </w:pPr>
            <w:r>
              <w:rPr>
                <w:spacing w:val="-2"/>
              </w:rPr>
              <w:t xml:space="preserve">Outperformance </w:t>
            </w:r>
          </w:p>
        </w:tc>
        <w:tc>
          <w:tcPr>
            <w:tcW w:w="157" w:type="dxa"/>
            <w:tcBorders>
              <w:bottom w:val="single" w:sz="12" w:space="0" w:color="FFFFFF"/>
            </w:tcBorders>
            <w:tcMar>
              <w:bottom w:w="28" w:type="dxa"/>
            </w:tcMar>
            <w:vAlign w:val="center"/>
          </w:tcPr>
          <w:p>
            <w:pPr>
              <w:pStyle w:val="TableContents"/>
              <w:bidi w:val="0"/>
              <w:spacing w:before="0" w:after="283"/>
              <w:jc w:val="left"/>
              <w:rPr/>
            </w:pPr>
            <w:r>
              <w:rPr/>
              <w:t>​</w:t>
            </w:r>
          </w:p>
        </w:tc>
      </w:tr>
      <w:tr>
        <w:trPr/>
        <w:tc>
          <w:tcPr>
            <w:tcW w:w="2118" w:type="dxa"/>
            <w:tcBorders>
              <w:bottom w:val="single" w:sz="2" w:space="0" w:color="1F2668"/>
            </w:tcBorders>
            <w:tcMar>
              <w:bottom w:w="28" w:type="dxa"/>
            </w:tcMar>
            <w:vAlign w:val="center"/>
          </w:tcPr>
          <w:p>
            <w:pPr>
              <w:pStyle w:val="TableContents"/>
              <w:bidi w:val="0"/>
              <w:spacing w:lineRule="atLeast" w:line="220" w:before="0" w:after="0"/>
              <w:jc w:val="left"/>
              <w:rPr>
                <w:b/>
                <w:color w:val="1F2668"/>
              </w:rPr>
            </w:pPr>
            <w:r>
              <w:rPr>
                <w:b/>
                <w:color w:val="1F2668"/>
                <w:spacing w:val="-2"/>
              </w:rPr>
              <w:t>Absolute TSR per Year*</w:t>
            </w:r>
            <w:r>
              <w:rPr>
                <w:b/>
                <w:color w:val="1F2668"/>
              </w:rPr>
              <w:t xml:space="preserve"> </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345" w:type="dxa"/>
            <w:tcBorders>
              <w:bottom w:val="single" w:sz="2" w:space="0" w:color="1F2668"/>
            </w:tcBorders>
            <w:tcMar>
              <w:bottom w:w="28" w:type="dxa"/>
            </w:tcMar>
            <w:vAlign w:val="center"/>
          </w:tcPr>
          <w:p>
            <w:pPr>
              <w:pStyle w:val="TableContents"/>
              <w:bidi w:val="0"/>
              <w:spacing w:lineRule="atLeast" w:line="220" w:before="0" w:after="0"/>
              <w:jc w:val="center"/>
              <w:rPr>
                <w:spacing w:val="-2"/>
              </w:rPr>
            </w:pPr>
            <w:r>
              <w:rPr>
                <w:spacing w:val="-2"/>
              </w:rPr>
              <w:t xml:space="preserve">-25 to +50% </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85" w:type="dxa"/>
            <w:tcBorders>
              <w:bottom w:val="single" w:sz="2" w:space="0" w:color="1F2668"/>
            </w:tcBorders>
            <w:tcMar>
              <w:bottom w:w="28" w:type="dxa"/>
            </w:tcMar>
            <w:vAlign w:val="center"/>
          </w:tcPr>
          <w:p>
            <w:pPr>
              <w:pStyle w:val="TableContents"/>
              <w:bidi w:val="0"/>
              <w:spacing w:lineRule="atLeast" w:line="220" w:before="0" w:after="0"/>
              <w:jc w:val="center"/>
              <w:rPr>
                <w:spacing w:val="-2"/>
              </w:rPr>
            </w:pPr>
            <w:r>
              <w:rPr>
                <w:spacing w:val="-2"/>
              </w:rPr>
              <w:t xml:space="preserve">0.0% </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746" w:type="dxa"/>
            <w:tcBorders>
              <w:bottom w:val="single" w:sz="2" w:space="0" w:color="1F2668"/>
            </w:tcBorders>
            <w:tcMar>
              <w:bottom w:w="28" w:type="dxa"/>
            </w:tcMar>
            <w:vAlign w:val="center"/>
          </w:tcPr>
          <w:p>
            <w:pPr>
              <w:pStyle w:val="TableContents"/>
              <w:bidi w:val="0"/>
              <w:spacing w:lineRule="atLeast" w:line="220" w:before="0" w:after="0"/>
              <w:jc w:val="center"/>
              <w:rPr>
                <w:spacing w:val="-2"/>
              </w:rPr>
            </w:pPr>
            <w:r>
              <w:rPr>
                <w:spacing w:val="-2"/>
              </w:rPr>
              <w:t xml:space="preserve">4.0% </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104" w:type="dxa"/>
            <w:tcBorders>
              <w:bottom w:val="single" w:sz="2" w:space="0" w:color="1F2668"/>
            </w:tcBorders>
            <w:tcMar>
              <w:bottom w:w="28" w:type="dxa"/>
            </w:tcMar>
            <w:vAlign w:val="center"/>
          </w:tcPr>
          <w:p>
            <w:pPr>
              <w:pStyle w:val="TableContents"/>
              <w:bidi w:val="0"/>
              <w:spacing w:lineRule="atLeast" w:line="220" w:before="0" w:after="0"/>
              <w:jc w:val="center"/>
              <w:rPr>
                <w:spacing w:val="-2"/>
              </w:rPr>
            </w:pPr>
            <w:r>
              <w:rPr>
                <w:spacing w:val="-2"/>
              </w:rPr>
              <w:t xml:space="preserve">8.0% </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660" w:type="dxa"/>
            <w:tcBorders>
              <w:bottom w:val="single" w:sz="2" w:space="0" w:color="1F2668"/>
            </w:tcBorders>
            <w:tcMar>
              <w:bottom w:w="28" w:type="dxa"/>
            </w:tcMar>
            <w:vAlign w:val="center"/>
          </w:tcPr>
          <w:p>
            <w:pPr>
              <w:pStyle w:val="TableContents"/>
              <w:bidi w:val="0"/>
              <w:spacing w:lineRule="atLeast" w:line="220" w:before="0" w:after="0"/>
              <w:jc w:val="center"/>
              <w:rPr/>
            </w:pPr>
            <w:r>
              <w:rPr>
                <w:spacing w:val="-2"/>
              </w:rPr>
              <w:t>12.0%</w:t>
            </w:r>
            <w:r>
              <w:rPr/>
              <w:t xml:space="preserve"> </w:t>
            </w:r>
          </w:p>
        </w:tc>
        <w:tc>
          <w:tcPr>
            <w:tcW w:w="157" w:type="dxa"/>
            <w:tcBorders>
              <w:bottom w:val="single" w:sz="12" w:space="0" w:color="FFFFFF"/>
            </w:tcBorders>
            <w:tcMar>
              <w:bottom w:w="28" w:type="dxa"/>
            </w:tcMar>
            <w:vAlign w:val="center"/>
          </w:tcPr>
          <w:p>
            <w:pPr>
              <w:pStyle w:val="TableContents"/>
              <w:bidi w:val="0"/>
              <w:spacing w:before="0" w:after="283"/>
              <w:jc w:val="left"/>
              <w:rPr/>
            </w:pPr>
            <w:r>
              <w:rPr/>
              <w:t>​</w:t>
            </w:r>
          </w:p>
        </w:tc>
      </w:tr>
    </w:tbl>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136"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Assumes no reinvestment of dividends.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86360" distB="0" distL="0" distR="0" simplePos="0" locked="0" layoutInCell="1" allowOverlap="1" relativeHeight="639">
                <wp:simplePos x="0" y="0"/>
                <wp:positionH relativeFrom="column">
                  <wp:align>left</wp:align>
                </wp:positionH>
                <wp:positionV relativeFrom="line">
                  <wp:align>top</wp:align>
                </wp:positionV>
                <wp:extent cx="254000" cy="254000"/>
                <wp:effectExtent l="0" t="0" r="0" b="0"/>
                <wp:wrapSquare wrapText="right"/>
                <wp:docPr id="693" name="Frame376"/>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2"/>
                                <w:sz w:val="16"/>
                              </w:rPr>
                              <w:t>*</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6.8pt;mso-wrap-distance-bottom:0pt;margin-top:6.8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2"/>
                          <w:sz w:val="16"/>
                        </w:rPr>
                        <w:t>*</w:t>
                      </w:r>
                      <w:r>
                        <w:rPr>
                          <w:sz w:val="16"/>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For our CFO, vesting is capped at target if three-year absolute TSR is negative rather than subject to the modification set forth above.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 xml:space="preserve">As of December 31, 2025, </w:t>
      </w:r>
      <w:r>
        <w:rPr>
          <w:rFonts w:ascii="Arial;Helvetica;sans-serif" w:hAnsi="Arial;Helvetica;sans-serif"/>
          <w:b/>
          <w:i w:val="false"/>
          <w:caps w:val="false"/>
          <w:smallCaps w:val="false"/>
          <w:color w:val="000000"/>
          <w:spacing w:val="-2"/>
          <w:sz w:val="18"/>
        </w:rPr>
        <w:t>based on our one-year absolute TSR, the Absolute TSR Modifier would have resulted in a -25% modification to Mr. Holliday’s and Mr. Levine’s awards and Mr. DiLiberto’s award would have been capped at target</w:t>
      </w:r>
      <w:r>
        <w:rPr>
          <w:rFonts w:ascii="Arial;Helvetica;sans-serif" w:hAnsi="Arial;Helvetica;sans-serif"/>
          <w:b w:val="false"/>
          <w:i w:val="false"/>
          <w:caps w:val="false"/>
          <w:smallCaps w:val="false"/>
          <w:color w:val="000000"/>
          <w:spacing w:val="-2"/>
          <w:sz w:val="18"/>
        </w:rPr>
        <w:t>, demonstrating the rigorous design of our equity incentives that ensure payouts are aligned with stockholder outcomes.</w:t>
      </w:r>
      <w:r>
        <w:rPr>
          <w:rFonts w:ascii="Arial;Helvetica;sans-serif" w:hAnsi="Arial;Helvetica;sans-serif"/>
          <w:b w:val="false"/>
          <w:i w:val="false"/>
          <w:caps w:val="false"/>
          <w:smallCaps w:val="false"/>
          <w:color w:val="000000"/>
          <w:spacing w:val="4"/>
          <w:sz w:val="18"/>
        </w:rPr>
        <w:t xml:space="preserve"> </w:t>
      </w:r>
    </w:p>
    <w:tbl>
      <w:tblPr>
        <w:tblW w:w="8640" w:type="dxa"/>
        <w:jc w:val="left"/>
        <w:tblInd w:w="900" w:type="dxa"/>
        <w:tblLayout w:type="fixed"/>
        <w:tblCellMar>
          <w:top w:w="0" w:type="dxa"/>
          <w:left w:w="0" w:type="dxa"/>
          <w:bottom w:w="0" w:type="dxa"/>
          <w:right w:w="0" w:type="dxa"/>
        </w:tblCellMar>
      </w:tblPr>
      <w:tblGrid>
        <w:gridCol w:w="124"/>
        <w:gridCol w:w="8362"/>
        <w:gridCol w:w="154"/>
      </w:tblGrid>
      <w:tr>
        <w:trPr/>
        <w:tc>
          <w:tcPr>
            <w:tcW w:w="124" w:type="dxa"/>
            <w:tcBorders/>
            <w:shd w:fill="E9F9D8" w:val="clear"/>
            <w:vAlign w:val="center"/>
          </w:tcPr>
          <w:p>
            <w:pPr>
              <w:pStyle w:val="TableContents"/>
              <w:bidi w:val="0"/>
              <w:spacing w:before="0" w:after="283"/>
              <w:jc w:val="left"/>
              <w:rPr/>
            </w:pPr>
            <w:r>
              <w:rPr/>
              <w:t>​</w:t>
            </w:r>
          </w:p>
        </w:tc>
        <w:tc>
          <w:tcPr>
            <w:tcW w:w="8362" w:type="dxa"/>
            <w:tcBorders/>
            <w:shd w:fill="E9F9D8" w:val="clear"/>
            <w:vAlign w:val="center"/>
          </w:tcPr>
          <w:p>
            <w:pPr>
              <w:pStyle w:val="TableContents"/>
              <w:bidi w:val="0"/>
              <w:spacing w:lineRule="atLeast" w:line="220" w:before="0" w:after="0"/>
              <w:jc w:val="left"/>
              <w:rPr>
                <w:spacing w:val="-2"/>
              </w:rPr>
            </w:pPr>
            <w:r>
              <w:rPr>
                <w:spacing w:val="-2"/>
              </w:rPr>
              <w:t xml:space="preserve">The relative TSR equity incentive encompasses: </w:t>
            </w:r>
          </w:p>
        </w:tc>
        <w:tc>
          <w:tcPr>
            <w:tcW w:w="154" w:type="dxa"/>
            <w:tcBorders/>
            <w:shd w:fill="E9F9D8" w:val="clear"/>
            <w:vAlign w:val="center"/>
          </w:tcPr>
          <w:p>
            <w:pPr>
              <w:pStyle w:val="TableContents"/>
              <w:bidi w:val="0"/>
              <w:spacing w:before="0" w:after="283"/>
              <w:jc w:val="left"/>
              <w:rPr/>
            </w:pPr>
            <w:r>
              <w:rPr/>
              <w:t>​</w:t>
            </w:r>
          </w:p>
        </w:tc>
      </w:tr>
      <w:tr>
        <w:trPr/>
        <w:tc>
          <w:tcPr>
            <w:tcW w:w="124" w:type="dxa"/>
            <w:tcBorders/>
            <w:shd w:fill="E9F9D8" w:val="clear"/>
            <w:vAlign w:val="center"/>
          </w:tcPr>
          <w:p>
            <w:pPr>
              <w:pStyle w:val="TableContents"/>
              <w:bidi w:val="0"/>
              <w:spacing w:before="0" w:after="283"/>
              <w:jc w:val="left"/>
              <w:rPr/>
            </w:pPr>
            <w:r>
              <w:rPr/>
              <w:t>​</w:t>
            </w:r>
          </w:p>
        </w:tc>
        <w:tc>
          <w:tcPr>
            <w:tcW w:w="8362" w:type="dxa"/>
            <w:tcBorders/>
            <w:shd w:fill="E9F9D8" w:val="clear"/>
            <w:vAlign w:val="center"/>
          </w:tcPr>
          <w:p>
            <w:pPr>
              <w:pStyle w:val="TableContents"/>
              <w:bidi w:val="0"/>
              <w:spacing w:lineRule="atLeast" w:line="220" w:before="0" w:after="0"/>
              <w:jc w:val="left"/>
              <w:rPr/>
            </w:pPr>
            <w:r>
              <w:rPr>
                <w:spacing w:val="-2"/>
              </w:rPr>
              <w:t>- 100% of the annual performance-based equity award for our CEO</w:t>
            </w:r>
            <w:r>
              <w:rPr/>
              <w:t xml:space="preserve"> </w:t>
            </w:r>
          </w:p>
        </w:tc>
        <w:tc>
          <w:tcPr>
            <w:tcW w:w="154" w:type="dxa"/>
            <w:tcBorders/>
            <w:shd w:fill="E9F9D8" w:val="clear"/>
            <w:vAlign w:val="center"/>
          </w:tcPr>
          <w:p>
            <w:pPr>
              <w:pStyle w:val="TableContents"/>
              <w:bidi w:val="0"/>
              <w:spacing w:before="0" w:after="283"/>
              <w:jc w:val="left"/>
              <w:rPr/>
            </w:pPr>
            <w:r>
              <w:rPr/>
              <w:t>​</w:t>
            </w:r>
          </w:p>
        </w:tc>
      </w:tr>
      <w:tr>
        <w:trPr/>
        <w:tc>
          <w:tcPr>
            <w:tcW w:w="124" w:type="dxa"/>
            <w:tcBorders/>
            <w:shd w:fill="E9F9D8" w:val="clear"/>
            <w:vAlign w:val="center"/>
          </w:tcPr>
          <w:p>
            <w:pPr>
              <w:pStyle w:val="TableContents"/>
              <w:bidi w:val="0"/>
              <w:spacing w:before="0" w:after="283"/>
              <w:jc w:val="left"/>
              <w:rPr/>
            </w:pPr>
            <w:r>
              <w:rPr/>
              <w:t>​</w:t>
            </w:r>
          </w:p>
        </w:tc>
        <w:tc>
          <w:tcPr>
            <w:tcW w:w="8362" w:type="dxa"/>
            <w:tcBorders/>
            <w:shd w:fill="E9F9D8" w:val="clear"/>
            <w:vAlign w:val="center"/>
          </w:tcPr>
          <w:p>
            <w:pPr>
              <w:pStyle w:val="TableContents"/>
              <w:bidi w:val="0"/>
              <w:spacing w:lineRule="atLeast" w:line="220" w:before="0" w:after="0"/>
              <w:jc w:val="left"/>
              <w:rPr/>
            </w:pPr>
            <w:r>
              <w:rPr>
                <w:spacing w:val="-2"/>
              </w:rPr>
              <w:t>- 50% of the annual performance-based equity award for our CFO and General Counsel</w:t>
            </w:r>
            <w:r>
              <w:rPr/>
              <w:t xml:space="preserve"> </w:t>
            </w:r>
          </w:p>
        </w:tc>
        <w:tc>
          <w:tcPr>
            <w:tcW w:w="154" w:type="dxa"/>
            <w:tcBorders/>
            <w:shd w:fill="E9F9D8" w:val="clear"/>
            <w:vAlign w:val="center"/>
          </w:tcPr>
          <w:p>
            <w:pPr>
              <w:pStyle w:val="TableContents"/>
              <w:bidi w:val="0"/>
              <w:spacing w:before="0" w:after="283"/>
              <w:jc w:val="left"/>
              <w:rPr/>
            </w:pPr>
            <w:r>
              <w:rPr/>
              <w:t>​</w:t>
            </w:r>
          </w:p>
        </w:tc>
      </w:tr>
    </w:tbl>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20" w:before="236" w:after="0"/>
        <w:ind w:left="1300" w:right="0" w:hanging="0"/>
        <w:jc w:val="left"/>
        <w:rPr>
          <w:rFonts w:ascii="Arial;Helvetica;sans-serif" w:hAnsi="Arial;Helvetica;sans-serif"/>
          <w:b/>
          <w:i w:val="false"/>
          <w:caps w:val="false"/>
          <w:smallCaps w:val="false"/>
          <w:color w:val="1F2668"/>
          <w:sz w:val="18"/>
        </w:rPr>
      </w:pPr>
      <w:r>
        <w:rPr>
          <w:rFonts w:ascii="Arial;Helvetica;sans-serif" w:hAnsi="Arial;Helvetica;sans-serif"/>
          <w:b/>
          <w:i w:val="false"/>
          <w:caps w:val="false"/>
          <w:smallCaps w:val="false"/>
          <w:color w:val="1F2668"/>
          <w:spacing w:val="-2"/>
          <w:sz w:val="18"/>
        </w:rPr>
        <w:t>2025 Three-Year Operational Equity Incentive (CEO and General Counsel)</w:t>
      </w:r>
      <w:r>
        <w:rPr>
          <w:rFonts w:ascii="Arial;Helvetica;sans-serif" w:hAnsi="Arial;Helvetica;sans-serif"/>
          <w:b/>
          <w:i w:val="false"/>
          <w:caps w:val="false"/>
          <w:smallCaps w:val="false"/>
          <w:color w:val="000000"/>
          <w:spacing w:val="4"/>
          <w:sz w:val="18"/>
        </w:rPr>
        <w:t xml:space="preserve"> </w:t>
      </w:r>
      <w:r>
        <mc:AlternateContent>
          <mc:Choice Requires="wps">
            <w:drawing>
              <wp:anchor behindDoc="0" distT="149860" distB="0" distL="0" distR="0" simplePos="0" locked="0" layoutInCell="1" allowOverlap="1" relativeHeight="640">
                <wp:simplePos x="0" y="0"/>
                <wp:positionH relativeFrom="column">
                  <wp:align>left</wp:align>
                </wp:positionH>
                <wp:positionV relativeFrom="line">
                  <wp:align>top</wp:align>
                </wp:positionV>
                <wp:extent cx="254000" cy="350520"/>
                <wp:effectExtent l="0" t="0" r="0" b="0"/>
                <wp:wrapSquare wrapText="right"/>
                <wp:docPr id="694" name="Frame37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b/>
                                <w:color w:val="1F2668"/>
                              </w:rPr>
                            </w:pPr>
                            <w:r>
                              <w:rPr>
                                <w:b/>
                                <w:color w:val="1F2668"/>
                                <w:spacing w:val="-2"/>
                              </w:rPr>
                              <w:t>2.</w:t>
                            </w:r>
                            <w:r>
                              <w:rPr>
                                <w:b/>
                                <w:color w:val="1F2668"/>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8pt;mso-wrap-distance-bottom:0pt;margin-top:11.8pt;mso-position-vertical:top;mso-position-vertical-relative:text;margin-left:0pt;mso-position-horizontal:left;mso-position-horizontal-relative:text">
                <v:textbox>
                  <w:txbxContent>
                    <w:p>
                      <w:pPr>
                        <w:pStyle w:val="TextBody"/>
                        <w:bidi w:val="0"/>
                        <w:spacing w:before="0" w:after="283"/>
                        <w:jc w:val="left"/>
                        <w:rPr>
                          <w:b/>
                          <w:color w:val="1F2668"/>
                        </w:rPr>
                      </w:pPr>
                      <w:r>
                        <w:rPr>
                          <w:b/>
                          <w:color w:val="1F2668"/>
                          <w:spacing w:val="-2"/>
                        </w:rPr>
                        <w:t>2.</w:t>
                      </w:r>
                      <w:r>
                        <w:rPr>
                          <w:b/>
                          <w:color w:val="1F2668"/>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i w:val="false"/>
          <w:caps w:val="false"/>
          <w:smallCaps w:val="false"/>
          <w:color w:val="83AD40"/>
          <w:spacing w:val="-2"/>
          <w:sz w:val="18"/>
        </w:rPr>
        <w:t>Performance Metric.</w:t>
      </w:r>
      <w:r>
        <w:rPr>
          <w:rFonts w:ascii="Arial;Helvetica;sans-serif" w:hAnsi="Arial;Helvetica;sans-serif"/>
          <w:b w:val="false"/>
          <w:i w:val="false"/>
          <w:caps w:val="false"/>
          <w:smallCaps w:val="false"/>
          <w:color w:val="000000"/>
          <w:spacing w:val="-2"/>
          <w:sz w:val="18"/>
        </w:rPr>
        <w:t xml:space="preserve"> The three-year operational objective-based equity awards measure performance against five objective criteria (each weighted 20%) over a three-year performance period as outlined below:</w:t>
      </w:r>
      <w:r>
        <w:rPr>
          <w:rFonts w:ascii="Arial;Helvetica;sans-serif" w:hAnsi="Arial;Helvetica;sans-serif"/>
          <w:b w:val="false"/>
          <w:i w:val="false"/>
          <w:caps w:val="false"/>
          <w:smallCaps w:val="false"/>
          <w:color w:val="000000"/>
          <w:spacing w:val="4"/>
          <w:sz w:val="18"/>
        </w:rPr>
        <w:t xml:space="preserve"> </w:t>
      </w:r>
    </w:p>
    <w:tbl>
      <w:tblPr>
        <w:tblW w:w="6350" w:type="dxa"/>
        <w:jc w:val="left"/>
        <w:tblInd w:w="900" w:type="dxa"/>
        <w:tblLayout w:type="fixed"/>
        <w:tblCellMar>
          <w:top w:w="0" w:type="dxa"/>
          <w:left w:w="0" w:type="dxa"/>
          <w:bottom w:w="30" w:type="dxa"/>
          <w:right w:w="0" w:type="dxa"/>
        </w:tblCellMar>
      </w:tblPr>
      <w:tblGrid>
        <w:gridCol w:w="5110"/>
        <w:gridCol w:w="109"/>
        <w:gridCol w:w="109"/>
        <w:gridCol w:w="109"/>
        <w:gridCol w:w="109"/>
        <w:gridCol w:w="541"/>
        <w:gridCol w:w="109"/>
        <w:gridCol w:w="154"/>
      </w:tblGrid>
      <w:tr>
        <w:trPr/>
        <w:tc>
          <w:tcPr>
            <w:tcW w:w="5110" w:type="dxa"/>
            <w:tcBorders>
              <w:bottom w:val="single" w:sz="2" w:space="0" w:color="1F2668"/>
            </w:tcBorders>
            <w:vAlign w:val="center"/>
          </w:tcPr>
          <w:p>
            <w:pPr>
              <w:pStyle w:val="TableContents"/>
              <w:bidi w:val="0"/>
              <w:spacing w:before="0" w:after="0"/>
              <w:jc w:val="left"/>
              <w:rPr>
                <w:spacing w:val="-2"/>
              </w:rPr>
            </w:pPr>
            <w:r>
              <w:rPr>
                <w:spacing w:val="-2"/>
              </w:rPr>
              <w:t xml:space="preserve">Performance Criteria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68" w:type="dxa"/>
            <w:gridSpan w:val="4"/>
            <w:tcBorders>
              <w:bottom w:val="single" w:sz="2" w:space="0" w:color="1F2668"/>
            </w:tcBorders>
            <w:vAlign w:val="center"/>
          </w:tcPr>
          <w:p>
            <w:pPr>
              <w:pStyle w:val="TableContents"/>
              <w:bidi w:val="0"/>
              <w:spacing w:before="0" w:after="0"/>
              <w:jc w:val="right"/>
              <w:rPr/>
            </w:pPr>
            <w:r>
              <w:rPr>
                <w:spacing w:val="-2"/>
              </w:rPr>
              <w:t>Weight</w:t>
            </w:r>
            <w:r>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110" w:type="dxa"/>
            <w:tcBorders>
              <w:bottom w:val="single" w:sz="2" w:space="0" w:color="4B5088"/>
            </w:tcBorders>
            <w:vAlign w:val="center"/>
          </w:tcPr>
          <w:p>
            <w:pPr>
              <w:pStyle w:val="TableContents"/>
              <w:bidi w:val="0"/>
              <w:spacing w:lineRule="atLeast" w:line="142" w:before="0" w:after="0"/>
              <w:jc w:val="left"/>
              <w:rPr>
                <w:b/>
              </w:rPr>
            </w:pPr>
            <w:r>
              <w:rPr>
                <w:b/>
                <w:spacing w:val="-2"/>
              </w:rPr>
              <w:t>Normalized Funds Available for Distribution</w:t>
            </w:r>
            <w:r>
              <w:rPr>
                <w:b/>
                <w:spacing w:val="-1"/>
                <w:sz w:val="11"/>
              </w:rPr>
              <w:t>(1)</w:t>
            </w:r>
            <w:r>
              <w:rPr>
                <w:b/>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right"/>
              <w:rPr/>
            </w:pPr>
            <w:r>
              <w:rPr/>
              <w:t>​</w:t>
            </w:r>
          </w:p>
        </w:tc>
        <w:tc>
          <w:tcPr>
            <w:tcW w:w="541" w:type="dxa"/>
            <w:tcBorders>
              <w:bottom w:val="single" w:sz="2" w:space="0" w:color="4B5088"/>
            </w:tcBorders>
            <w:vAlign w:val="center"/>
          </w:tcPr>
          <w:p>
            <w:pPr>
              <w:pStyle w:val="TableContents"/>
              <w:bidi w:val="0"/>
              <w:spacing w:before="0" w:after="283"/>
              <w:jc w:val="right"/>
              <w:rPr/>
            </w:pPr>
            <w:r>
              <w:rPr/>
              <w:t>20%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110" w:type="dxa"/>
            <w:tcBorders>
              <w:bottom w:val="single" w:sz="2" w:space="0" w:color="4B5088"/>
            </w:tcBorders>
            <w:vAlign w:val="center"/>
          </w:tcPr>
          <w:p>
            <w:pPr>
              <w:pStyle w:val="TableContents"/>
              <w:bidi w:val="0"/>
              <w:spacing w:before="0" w:after="0"/>
              <w:jc w:val="left"/>
              <w:rPr>
                <w:b/>
              </w:rPr>
            </w:pPr>
            <w:r>
              <w:rPr>
                <w:b/>
                <w:spacing w:val="-2"/>
              </w:rPr>
              <w:t>Ordinary Dividend Growth</w:t>
            </w:r>
            <w:r>
              <w:rPr>
                <w:b/>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right"/>
              <w:rPr/>
            </w:pPr>
            <w:r>
              <w:rPr/>
              <w:t>​</w:t>
            </w:r>
          </w:p>
        </w:tc>
        <w:tc>
          <w:tcPr>
            <w:tcW w:w="541" w:type="dxa"/>
            <w:tcBorders>
              <w:bottom w:val="single" w:sz="2" w:space="0" w:color="4B5088"/>
            </w:tcBorders>
            <w:vAlign w:val="center"/>
          </w:tcPr>
          <w:p>
            <w:pPr>
              <w:pStyle w:val="TableContents"/>
              <w:bidi w:val="0"/>
              <w:spacing w:before="0" w:after="283"/>
              <w:jc w:val="right"/>
              <w:rPr/>
            </w:pPr>
            <w:r>
              <w:rPr/>
              <w:t>20%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110" w:type="dxa"/>
            <w:tcBorders>
              <w:bottom w:val="single" w:sz="2" w:space="0" w:color="4B5088"/>
            </w:tcBorders>
            <w:vAlign w:val="center"/>
          </w:tcPr>
          <w:p>
            <w:pPr>
              <w:pStyle w:val="TableContents"/>
              <w:bidi w:val="0"/>
              <w:spacing w:before="0" w:after="0"/>
              <w:jc w:val="left"/>
              <w:rPr>
                <w:b/>
              </w:rPr>
            </w:pPr>
            <w:r>
              <w:rPr>
                <w:b/>
                <w:spacing w:val="-2"/>
              </w:rPr>
              <w:t>Manhattan Same Store Office Leased Occupancy</w:t>
            </w:r>
            <w:r>
              <w:rPr>
                <w:b/>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right"/>
              <w:rPr/>
            </w:pPr>
            <w:r>
              <w:rPr/>
              <w:t>​</w:t>
            </w:r>
          </w:p>
        </w:tc>
        <w:tc>
          <w:tcPr>
            <w:tcW w:w="541" w:type="dxa"/>
            <w:tcBorders>
              <w:bottom w:val="single" w:sz="2" w:space="0" w:color="4B5088"/>
            </w:tcBorders>
            <w:vAlign w:val="center"/>
          </w:tcPr>
          <w:p>
            <w:pPr>
              <w:pStyle w:val="TableContents"/>
              <w:bidi w:val="0"/>
              <w:spacing w:before="0" w:after="283"/>
              <w:jc w:val="right"/>
              <w:rPr/>
            </w:pPr>
            <w:r>
              <w:rPr/>
              <w:t>20%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110" w:type="dxa"/>
            <w:tcBorders>
              <w:bottom w:val="single" w:sz="2" w:space="0" w:color="4B5088"/>
            </w:tcBorders>
            <w:vAlign w:val="center"/>
          </w:tcPr>
          <w:p>
            <w:pPr>
              <w:pStyle w:val="TableContents"/>
              <w:bidi w:val="0"/>
              <w:spacing w:before="0" w:after="0"/>
              <w:jc w:val="left"/>
              <w:rPr>
                <w:b/>
              </w:rPr>
            </w:pPr>
            <w:r>
              <w:rPr>
                <w:b/>
                <w:spacing w:val="-2"/>
              </w:rPr>
              <w:t>Manhattan Office Leasing Volume</w:t>
            </w:r>
            <w:r>
              <w:rPr>
                <w:b/>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right"/>
              <w:rPr/>
            </w:pPr>
            <w:r>
              <w:rPr/>
              <w:t>​</w:t>
            </w:r>
          </w:p>
        </w:tc>
        <w:tc>
          <w:tcPr>
            <w:tcW w:w="541" w:type="dxa"/>
            <w:tcBorders>
              <w:bottom w:val="single" w:sz="2" w:space="0" w:color="4B5088"/>
            </w:tcBorders>
            <w:vAlign w:val="center"/>
          </w:tcPr>
          <w:p>
            <w:pPr>
              <w:pStyle w:val="TableContents"/>
              <w:bidi w:val="0"/>
              <w:spacing w:before="0" w:after="283"/>
              <w:jc w:val="right"/>
              <w:rPr/>
            </w:pPr>
            <w:r>
              <w:rPr/>
              <w:t>20%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110" w:type="dxa"/>
            <w:tcBorders>
              <w:bottom w:val="single" w:sz="2" w:space="0" w:color="1F2668"/>
            </w:tcBorders>
            <w:vAlign w:val="center"/>
          </w:tcPr>
          <w:p>
            <w:pPr>
              <w:pStyle w:val="TableContents"/>
              <w:bidi w:val="0"/>
              <w:spacing w:before="0" w:after="0"/>
              <w:jc w:val="left"/>
              <w:rPr>
                <w:b/>
              </w:rPr>
            </w:pPr>
            <w:r>
              <w:rPr>
                <w:b/>
                <w:spacing w:val="-2"/>
              </w:rPr>
              <w:t>Liquidity</w:t>
            </w:r>
            <w:r>
              <w:rPr>
                <w:b/>
                <w:spacing w:val="-1"/>
                <w:sz w:val="11"/>
              </w:rPr>
              <w:t>(2)</w:t>
            </w:r>
            <w:r>
              <w:rPr>
                <w:b/>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vAlign w:val="center"/>
          </w:tcPr>
          <w:p>
            <w:pPr>
              <w:pStyle w:val="TableContents"/>
              <w:bidi w:val="0"/>
              <w:spacing w:before="0" w:after="283"/>
              <w:jc w:val="right"/>
              <w:rPr/>
            </w:pPr>
            <w:r>
              <w:rPr/>
              <w:t>​</w:t>
            </w:r>
          </w:p>
        </w:tc>
        <w:tc>
          <w:tcPr>
            <w:tcW w:w="541" w:type="dxa"/>
            <w:tcBorders>
              <w:bottom w:val="single" w:sz="2" w:space="0" w:color="1F2668"/>
            </w:tcBorders>
            <w:vAlign w:val="center"/>
          </w:tcPr>
          <w:p>
            <w:pPr>
              <w:pStyle w:val="TableContents"/>
              <w:bidi w:val="0"/>
              <w:spacing w:before="0" w:after="283"/>
              <w:jc w:val="right"/>
              <w:rPr/>
            </w:pPr>
            <w:r>
              <w:rPr/>
              <w:t>20%</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100"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Includes Gain on Discounted Debt Extinguishment of $20.0M. Gains on Discounted Debt Extinguishment in excess of $20.0M are excluded from the final calculation.</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63500" distB="0" distL="0" distR="0" simplePos="0" locked="0" layoutInCell="1" allowOverlap="1" relativeHeight="641">
                <wp:simplePos x="0" y="0"/>
                <wp:positionH relativeFrom="column">
                  <wp:align>left</wp:align>
                </wp:positionH>
                <wp:positionV relativeFrom="line">
                  <wp:align>top</wp:align>
                </wp:positionV>
                <wp:extent cx="254000" cy="254000"/>
                <wp:effectExtent l="0" t="0" r="0" b="0"/>
                <wp:wrapSquare wrapText="right"/>
                <wp:docPr id="695" name="Frame378"/>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2"/>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2"/>
                          <w:sz w:val="16"/>
                        </w:rPr>
                        <w:t>(1)</w:t>
                      </w:r>
                      <w:r>
                        <w:rPr>
                          <w:sz w:val="16"/>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46"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Includes cash and cash equivalents, marketable securities and undrawn credit capacity on our revolving credit facility.</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29210" distB="0" distL="0" distR="0" simplePos="0" locked="0" layoutInCell="1" allowOverlap="1" relativeHeight="642">
                <wp:simplePos x="0" y="0"/>
                <wp:positionH relativeFrom="column">
                  <wp:align>left</wp:align>
                </wp:positionH>
                <wp:positionV relativeFrom="line">
                  <wp:align>top</wp:align>
                </wp:positionV>
                <wp:extent cx="254000" cy="254000"/>
                <wp:effectExtent l="0" t="0" r="0" b="0"/>
                <wp:wrapSquare wrapText="right"/>
                <wp:docPr id="696" name="Frame379"/>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2"/>
                                <w:sz w:val="16"/>
                              </w:rPr>
                              <w:t>(2)</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2.3pt;mso-wrap-distance-bottom:0pt;margin-top:2.3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2"/>
                          <w:sz w:val="16"/>
                        </w:rPr>
                        <w:t>(2)</w:t>
                      </w:r>
                      <w:r>
                        <w:rPr>
                          <w:sz w:val="16"/>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The Committee has established preset goals for each of the performance criteria above for the three-year period ending December 31, 2027, which are designed to motivate financial and operational outperformance based on Company guidance and internal projections. The criteria used for performance-based equity continue to be key drivers of stockholder value creation. Because ordinary dividend growth measured over a three-year period represents a key measure of overall profitability, ordinary dividend growth replaced combined net debt reduction as a performance criteria to further align management and the stockholder interests. Other than this change, the operational performance criteria remained substantially the same across 2023, 2024 and 2025. See “—Other Compensation Policies and Information—Why SL Green Chose These Metrics” for additional information regarding these performance metrics.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We have not disclosed forward-looking targets that underpin the equity incentives described above, as certain disclosures regarding our three-year operational equity incentive could provide our competitors with insight regarding confidential business strategies without meaningfully adding to stockholders’ understanding.</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Consistent with our past and current practice, we will disclose multi-year performance goals in our regular programs in full after the close of the performance period.</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 xml:space="preserve">As of December 31, 2025, </w:t>
      </w:r>
      <w:r>
        <w:rPr>
          <w:rFonts w:ascii="Arial;Helvetica;sans-serif" w:hAnsi="Arial;Helvetica;sans-serif"/>
          <w:b/>
          <w:i w:val="false"/>
          <w:caps w:val="false"/>
          <w:smallCaps w:val="false"/>
          <w:color w:val="000000"/>
          <w:spacing w:val="-2"/>
          <w:sz w:val="18"/>
        </w:rPr>
        <w:t>based on the Company’s one-year performance against the three-year goals above, the equity incentives would have been earned at an estimated 112% of target</w:t>
      </w:r>
      <w:r>
        <w:rPr>
          <w:rFonts w:ascii="Arial;Helvetica;sans-serif" w:hAnsi="Arial;Helvetica;sans-serif"/>
          <w:b w:val="false"/>
          <w:i w:val="false"/>
          <w:caps w:val="false"/>
          <w:smallCaps w:val="false"/>
          <w:color w:val="000000"/>
          <w:spacing w:val="-2"/>
          <w:sz w:val="18"/>
        </w:rPr>
        <w:t xml:space="preserve"> for Mr. Levine.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60" w:before="240" w:after="283"/>
        <w:jc w:val="left"/>
        <w:rPr>
          <w:rFonts w:ascii="Arial;Helvetica;sans-serif" w:hAnsi="Arial;Helvetica;sans-serif"/>
          <w:b/>
          <w:i w:val="false"/>
          <w:caps w:val="false"/>
          <w:smallCaps w:val="false"/>
          <w:color w:val="83AD40"/>
          <w:sz w:val="22"/>
        </w:rPr>
      </w:pPr>
      <w:r>
        <w:rPr>
          <w:rFonts w:ascii="Arial;Helvetica;sans-serif" w:hAnsi="Arial;Helvetica;sans-serif"/>
          <w:b/>
          <w:i w:val="false"/>
          <w:caps w:val="false"/>
          <w:smallCaps w:val="false"/>
          <w:color w:val="83AD40"/>
          <w:spacing w:val="-2"/>
          <w:sz w:val="22"/>
        </w:rPr>
        <w:t>Absolute TSR Modifier</w:t>
      </w:r>
      <w:r>
        <w:rPr>
          <w:rFonts w:ascii="Arial;Helvetica;sans-serif" w:hAnsi="Arial;Helvetica;sans-serif"/>
          <w:b/>
          <w:i w:val="false"/>
          <w:caps w:val="false"/>
          <w:smallCaps w:val="false"/>
          <w:color w:val="000000"/>
          <w:spacing w:val="4"/>
          <w:sz w:val="22"/>
        </w:rPr>
        <w:t xml:space="preserve"> </w:t>
      </w:r>
    </w:p>
    <w:p>
      <w:pPr>
        <w:pStyle w:val="TextBody"/>
        <w:bidi w:val="0"/>
        <w:spacing w:lineRule="atLeast" w:line="23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The vesting of this equity award is subject to the Company’s Absolute TSR performance over the three-year performance period as follows:</w:t>
      </w:r>
      <w:r>
        <w:rPr>
          <w:rFonts w:ascii="Arial;Helvetica;sans-serif" w:hAnsi="Arial;Helvetica;sans-serif"/>
          <w:b w:val="false"/>
          <w:i w:val="false"/>
          <w:caps w:val="false"/>
          <w:smallCaps w:val="false"/>
          <w:color w:val="000000"/>
          <w:spacing w:val="4"/>
          <w:sz w:val="18"/>
        </w:rPr>
        <w:t xml:space="preserve"> </w:t>
      </w:r>
    </w:p>
    <w:tbl>
      <w:tblPr>
        <w:tblW w:w="8368" w:type="dxa"/>
        <w:jc w:val="left"/>
        <w:tblInd w:w="900" w:type="dxa"/>
        <w:tblLayout w:type="fixed"/>
        <w:tblCellMar>
          <w:top w:w="0" w:type="dxa"/>
          <w:left w:w="0" w:type="dxa"/>
          <w:bottom w:w="50" w:type="dxa"/>
          <w:right w:w="0" w:type="dxa"/>
        </w:tblCellMar>
      </w:tblPr>
      <w:tblGrid>
        <w:gridCol w:w="2688"/>
        <w:gridCol w:w="109"/>
        <w:gridCol w:w="109"/>
        <w:gridCol w:w="1644"/>
        <w:gridCol w:w="109"/>
        <w:gridCol w:w="109"/>
        <w:gridCol w:w="1110"/>
        <w:gridCol w:w="109"/>
        <w:gridCol w:w="109"/>
        <w:gridCol w:w="771"/>
        <w:gridCol w:w="109"/>
        <w:gridCol w:w="109"/>
        <w:gridCol w:w="1129"/>
        <w:gridCol w:w="154"/>
      </w:tblGrid>
      <w:tr>
        <w:trPr/>
        <w:tc>
          <w:tcPr>
            <w:tcW w:w="2688" w:type="dxa"/>
            <w:tcBorders>
              <w:bottom w:val="single" w:sz="12" w:space="0" w:color="1F2668"/>
            </w:tcBorders>
            <w:vAlign w:val="center"/>
          </w:tcPr>
          <w:p>
            <w:pPr>
              <w:pStyle w:val="TableContents"/>
              <w:bidi w:val="0"/>
              <w:spacing w:before="0" w:after="0"/>
              <w:jc w:val="left"/>
              <w:rPr>
                <w:spacing w:val="-2"/>
              </w:rPr>
            </w:pPr>
            <w:r>
              <w:rPr>
                <w:spacing w:val="-2"/>
              </w:rPr>
              <w:t xml:space="preserve">Performance Criteria </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644" w:type="dxa"/>
            <w:tcBorders>
              <w:bottom w:val="single" w:sz="12" w:space="0" w:color="1F2668"/>
            </w:tcBorders>
            <w:vAlign w:val="center"/>
          </w:tcPr>
          <w:p>
            <w:pPr>
              <w:pStyle w:val="TableContents"/>
              <w:bidi w:val="0"/>
              <w:spacing w:before="0" w:after="0"/>
              <w:jc w:val="center"/>
              <w:rPr>
                <w:spacing w:val="-2"/>
              </w:rPr>
            </w:pPr>
            <w:r>
              <w:rPr>
                <w:spacing w:val="-2"/>
              </w:rPr>
              <w:t xml:space="preserve">Modifier Range </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110" w:type="dxa"/>
            <w:tcBorders>
              <w:bottom w:val="single" w:sz="12" w:space="0" w:color="1F2668"/>
            </w:tcBorders>
            <w:vAlign w:val="center"/>
          </w:tcPr>
          <w:p>
            <w:pPr>
              <w:pStyle w:val="TableContents"/>
              <w:bidi w:val="0"/>
              <w:spacing w:before="0" w:after="0"/>
              <w:jc w:val="center"/>
              <w:rPr>
                <w:spacing w:val="-2"/>
              </w:rPr>
            </w:pPr>
            <w:r>
              <w:rPr>
                <w:spacing w:val="-2"/>
              </w:rPr>
              <w:t xml:space="preserve">Threshold </w:t>
            </w:r>
          </w:p>
        </w:tc>
        <w:tc>
          <w:tcPr>
            <w:tcW w:w="109" w:type="dxa"/>
            <w:tcBorders>
              <w:bottom w:val="single" w:sz="12" w:space="0" w:color="1F2668"/>
            </w:tcBorders>
            <w:tcMar>
              <w:bottom w:w="28" w:type="dxa"/>
            </w:tcMar>
            <w:vAlign w:val="center"/>
          </w:tcPr>
          <w:p>
            <w:pPr>
              <w:pStyle w:val="TableContents"/>
              <w:bidi w:val="0"/>
              <w:spacing w:before="0" w:after="283"/>
              <w:jc w:val="left"/>
              <w:rPr/>
            </w:pPr>
            <w:r>
              <w:rPr/>
              <w:t>​</w:t>
            </w:r>
          </w:p>
        </w:tc>
        <w:tc>
          <w:tcPr>
            <w:tcW w:w="109" w:type="dxa"/>
            <w:tcBorders>
              <w:bottom w:val="single" w:sz="12" w:space="0" w:color="1F2668"/>
            </w:tcBorders>
            <w:tcMar>
              <w:bottom w:w="28" w:type="dxa"/>
            </w:tcMar>
            <w:vAlign w:val="center"/>
          </w:tcPr>
          <w:p>
            <w:pPr>
              <w:pStyle w:val="TableContents"/>
              <w:bidi w:val="0"/>
              <w:spacing w:before="0" w:after="283"/>
              <w:jc w:val="left"/>
              <w:rPr/>
            </w:pPr>
            <w:r>
              <w:rPr/>
              <w:t>​</w:t>
            </w:r>
          </w:p>
        </w:tc>
        <w:tc>
          <w:tcPr>
            <w:tcW w:w="771" w:type="dxa"/>
            <w:tcBorders>
              <w:bottom w:val="single" w:sz="12" w:space="0" w:color="1F2668"/>
            </w:tcBorders>
            <w:vAlign w:val="center"/>
          </w:tcPr>
          <w:p>
            <w:pPr>
              <w:pStyle w:val="TableContents"/>
              <w:bidi w:val="0"/>
              <w:spacing w:before="0" w:after="0"/>
              <w:jc w:val="center"/>
              <w:rPr>
                <w:spacing w:val="-2"/>
              </w:rPr>
            </w:pPr>
            <w:r>
              <w:rPr>
                <w:spacing w:val="-2"/>
              </w:rPr>
              <w:t xml:space="preserve">Target </w:t>
            </w:r>
          </w:p>
        </w:tc>
        <w:tc>
          <w:tcPr>
            <w:tcW w:w="109" w:type="dxa"/>
            <w:tcBorders>
              <w:bottom w:val="single" w:sz="12" w:space="0" w:color="1F2668"/>
            </w:tcBorders>
            <w:tcMar>
              <w:bottom w:w="28" w:type="dxa"/>
            </w:tcMar>
            <w:vAlign w:val="center"/>
          </w:tcPr>
          <w:p>
            <w:pPr>
              <w:pStyle w:val="TableContents"/>
              <w:bidi w:val="0"/>
              <w:spacing w:before="0" w:after="283"/>
              <w:jc w:val="left"/>
              <w:rPr/>
            </w:pPr>
            <w:r>
              <w:rPr/>
              <w:t>​</w:t>
            </w:r>
          </w:p>
        </w:tc>
        <w:tc>
          <w:tcPr>
            <w:tcW w:w="109" w:type="dxa"/>
            <w:tcBorders>
              <w:bottom w:val="single" w:sz="12" w:space="0" w:color="1F2668"/>
            </w:tcBorders>
            <w:tcMar>
              <w:bottom w:w="28" w:type="dxa"/>
            </w:tcMar>
            <w:vAlign w:val="center"/>
          </w:tcPr>
          <w:p>
            <w:pPr>
              <w:pStyle w:val="TableContents"/>
              <w:bidi w:val="0"/>
              <w:spacing w:before="0" w:after="283"/>
              <w:jc w:val="left"/>
              <w:rPr/>
            </w:pPr>
            <w:r>
              <w:rPr/>
              <w:t>​</w:t>
            </w:r>
          </w:p>
        </w:tc>
        <w:tc>
          <w:tcPr>
            <w:tcW w:w="1129" w:type="dxa"/>
            <w:tcBorders>
              <w:bottom w:val="single" w:sz="12" w:space="0" w:color="1F2668"/>
            </w:tcBorders>
            <w:vAlign w:val="center"/>
          </w:tcPr>
          <w:p>
            <w:pPr>
              <w:pStyle w:val="TableContents"/>
              <w:bidi w:val="0"/>
              <w:spacing w:before="0" w:after="0"/>
              <w:jc w:val="center"/>
              <w:rPr>
                <w:spacing w:val="-2"/>
              </w:rPr>
            </w:pPr>
            <w:r>
              <w:rPr>
                <w:spacing w:val="-2"/>
              </w:rPr>
              <w:t xml:space="preserve">Maximum </w:t>
            </w:r>
          </w:p>
        </w:tc>
        <w:tc>
          <w:tcPr>
            <w:tcW w:w="154" w:type="dxa"/>
            <w:tcBorders>
              <w:bottom w:val="single" w:sz="12" w:space="0" w:color="FFFFFF"/>
            </w:tcBorders>
            <w:tcMar>
              <w:bottom w:w="28" w:type="dxa"/>
            </w:tcMar>
            <w:vAlign w:val="center"/>
          </w:tcPr>
          <w:p>
            <w:pPr>
              <w:pStyle w:val="TableContents"/>
              <w:bidi w:val="0"/>
              <w:spacing w:before="0" w:after="283"/>
              <w:jc w:val="left"/>
              <w:rPr/>
            </w:pPr>
            <w:r>
              <w:rPr/>
              <w:t>​</w:t>
            </w:r>
          </w:p>
        </w:tc>
      </w:tr>
      <w:tr>
        <w:trPr/>
        <w:tc>
          <w:tcPr>
            <w:tcW w:w="2688" w:type="dxa"/>
            <w:tcBorders>
              <w:bottom w:val="single" w:sz="2" w:space="0" w:color="1F2668"/>
            </w:tcBorders>
            <w:tcMar>
              <w:bottom w:w="120" w:type="dxa"/>
            </w:tcMar>
            <w:vAlign w:val="center"/>
          </w:tcPr>
          <w:p>
            <w:pPr>
              <w:pStyle w:val="TableContents"/>
              <w:bidi w:val="0"/>
              <w:spacing w:lineRule="atLeast" w:line="220" w:before="0" w:after="0"/>
              <w:jc w:val="left"/>
              <w:rPr>
                <w:b/>
                <w:color w:val="1F2668"/>
              </w:rPr>
            </w:pPr>
            <w:r>
              <w:rPr>
                <w:b/>
                <w:color w:val="1F2668"/>
                <w:spacing w:val="-2"/>
              </w:rPr>
              <w:t>Absolute TSR per Year*</w:t>
            </w:r>
            <w:r>
              <w:rPr>
                <w:b/>
                <w:color w:val="1F2668"/>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44" w:type="dxa"/>
            <w:tcBorders>
              <w:bottom w:val="single" w:sz="2" w:space="0" w:color="1F2668"/>
            </w:tcBorders>
            <w:tcMar>
              <w:bottom w:w="120" w:type="dxa"/>
            </w:tcMar>
            <w:vAlign w:val="center"/>
          </w:tcPr>
          <w:p>
            <w:pPr>
              <w:pStyle w:val="TableContents"/>
              <w:bidi w:val="0"/>
              <w:spacing w:lineRule="atLeast" w:line="220" w:before="0" w:after="0"/>
              <w:jc w:val="center"/>
              <w:rPr>
                <w:spacing w:val="-2"/>
              </w:rPr>
            </w:pPr>
            <w:r>
              <w:rPr>
                <w:spacing w:val="-2"/>
              </w:rPr>
              <w:t xml:space="preserve">±12.5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10" w:type="dxa"/>
            <w:tcBorders>
              <w:bottom w:val="single" w:sz="2" w:space="0" w:color="1F2668"/>
            </w:tcBorders>
            <w:tcMar>
              <w:bottom w:w="120" w:type="dxa"/>
            </w:tcMar>
            <w:vAlign w:val="center"/>
          </w:tcPr>
          <w:p>
            <w:pPr>
              <w:pStyle w:val="TableContents"/>
              <w:bidi w:val="0"/>
              <w:spacing w:lineRule="atLeast" w:line="220" w:before="0" w:after="0"/>
              <w:jc w:val="center"/>
              <w:rPr>
                <w:spacing w:val="-2"/>
              </w:rPr>
            </w:pPr>
            <w:r>
              <w:rPr>
                <w:spacing w:val="-2"/>
              </w:rPr>
              <w:t>≤</w:t>
            </w:r>
            <w:r>
              <w:rPr>
                <w:spacing w:val="-2"/>
              </w:rPr>
              <w:t xml:space="preserve">3.5% </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771" w:type="dxa"/>
            <w:tcBorders>
              <w:bottom w:val="single" w:sz="2" w:space="0" w:color="1F2668"/>
            </w:tcBorders>
            <w:tcMar>
              <w:bottom w:w="120" w:type="dxa"/>
            </w:tcMar>
            <w:vAlign w:val="center"/>
          </w:tcPr>
          <w:p>
            <w:pPr>
              <w:pStyle w:val="TableContents"/>
              <w:bidi w:val="0"/>
              <w:spacing w:lineRule="atLeast" w:line="220" w:before="0" w:after="0"/>
              <w:jc w:val="center"/>
              <w:rPr>
                <w:spacing w:val="-2"/>
              </w:rPr>
            </w:pPr>
            <w:r>
              <w:rPr>
                <w:spacing w:val="-2"/>
              </w:rPr>
              <w:t xml:space="preserve">5.5% </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129" w:type="dxa"/>
            <w:tcBorders>
              <w:bottom w:val="single" w:sz="2" w:space="0" w:color="1F2668"/>
            </w:tcBorders>
            <w:tcMar>
              <w:bottom w:w="120" w:type="dxa"/>
            </w:tcMar>
            <w:vAlign w:val="center"/>
          </w:tcPr>
          <w:p>
            <w:pPr>
              <w:pStyle w:val="TableContents"/>
              <w:bidi w:val="0"/>
              <w:spacing w:lineRule="atLeast" w:line="220" w:before="0" w:after="0"/>
              <w:jc w:val="center"/>
              <w:rPr/>
            </w:pPr>
            <w:r>
              <w:rPr>
                <w:spacing w:val="-2"/>
              </w:rPr>
              <w:t>≥</w:t>
            </w:r>
            <w:r>
              <w:rPr>
                <w:spacing w:val="-2"/>
              </w:rPr>
              <w:t>7.5%</w:t>
            </w:r>
            <w:r>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136"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Assumes no reinvestment of dividends.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86360" distB="0" distL="0" distR="0" simplePos="0" locked="0" layoutInCell="1" allowOverlap="1" relativeHeight="643">
                <wp:simplePos x="0" y="0"/>
                <wp:positionH relativeFrom="column">
                  <wp:align>left</wp:align>
                </wp:positionH>
                <wp:positionV relativeFrom="line">
                  <wp:align>top</wp:align>
                </wp:positionV>
                <wp:extent cx="254000" cy="254000"/>
                <wp:effectExtent l="0" t="0" r="0" b="0"/>
                <wp:wrapSquare wrapText="right"/>
                <wp:docPr id="697" name="Frame380"/>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2"/>
                                <w:sz w:val="16"/>
                              </w:rPr>
                              <w:t>*</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6.8pt;mso-wrap-distance-bottom:0pt;margin-top:6.8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2"/>
                          <w:sz w:val="16"/>
                        </w:rPr>
                        <w:t>*</w:t>
                      </w:r>
                      <w:r>
                        <w:rPr>
                          <w:sz w:val="16"/>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225" w:type="dxa"/>
        <w:jc w:val="left"/>
        <w:tblInd w:w="900" w:type="dxa"/>
        <w:tblLayout w:type="fixed"/>
        <w:tblCellMar>
          <w:top w:w="0" w:type="dxa"/>
          <w:left w:w="0" w:type="dxa"/>
          <w:bottom w:w="0" w:type="dxa"/>
          <w:right w:w="0" w:type="dxa"/>
        </w:tblCellMar>
      </w:tblPr>
      <w:tblGrid>
        <w:gridCol w:w="124"/>
        <w:gridCol w:w="346"/>
        <w:gridCol w:w="109"/>
        <w:gridCol w:w="109"/>
        <w:gridCol w:w="4383"/>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52</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383" w:type="dxa"/>
            <w:tcBorders/>
            <w:vAlign w:val="center"/>
          </w:tcPr>
          <w:p>
            <w:pPr>
              <w:pStyle w:val="TableContents"/>
              <w:bidi w:val="0"/>
              <w:spacing w:lineRule="atLeast" w:line="200" w:before="0" w:after="0"/>
              <w:jc w:val="left"/>
              <w:rPr/>
            </w:pPr>
            <w:r>
              <w:rPr>
                <w:spacing w:val="-2"/>
              </w:rPr>
              <w:t>    </w:t>
            </w:r>
            <w:r>
              <w:rPr>
                <w:spacing w:val="-2"/>
                <w:sz w:val="16"/>
              </w:rPr>
              <w:t>SL GREEN REALTY CORP. 2026 PROXY STATEMENT</w:t>
            </w:r>
            <w:r>
              <w:rPr>
                <w:sz w:val="16"/>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560" w:after="154"/>
        <w:ind w:left="9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As of December 31, 2025, based on our one-year absolute TSR, the Absolute TSR Modifier would have resulted in a -12.5% modification to Mr. Levine’s award target, demonstrating the rigorous design of our equity incentives that ensure payouts are aligned with stockholder outcomes.</w:t>
      </w:r>
      <w:r>
        <w:rPr>
          <w:rFonts w:ascii="Arial;Helvetica;sans-serif" w:hAnsi="Arial;Helvetica;sans-serif"/>
          <w:b w:val="false"/>
          <w:i w:val="false"/>
          <w:caps w:val="false"/>
          <w:smallCaps w:val="false"/>
          <w:color w:val="000000"/>
          <w:spacing w:val="4"/>
          <w:sz w:val="18"/>
        </w:rPr>
        <w:t xml:space="preserve"> </w:t>
      </w:r>
    </w:p>
    <w:tbl>
      <w:tblPr>
        <w:tblW w:w="9305" w:type="dxa"/>
        <w:jc w:val="left"/>
        <w:tblInd w:w="900" w:type="dxa"/>
        <w:tblLayout w:type="fixed"/>
        <w:tblCellMar>
          <w:top w:w="0" w:type="dxa"/>
          <w:left w:w="0" w:type="dxa"/>
          <w:bottom w:w="0" w:type="dxa"/>
          <w:right w:w="0" w:type="dxa"/>
        </w:tblCellMar>
      </w:tblPr>
      <w:tblGrid>
        <w:gridCol w:w="124"/>
        <w:gridCol w:w="9027"/>
        <w:gridCol w:w="154"/>
      </w:tblGrid>
      <w:tr>
        <w:trPr/>
        <w:tc>
          <w:tcPr>
            <w:tcW w:w="124" w:type="dxa"/>
            <w:tcBorders/>
            <w:shd w:fill="E9F9D8" w:val="clear"/>
            <w:vAlign w:val="center"/>
          </w:tcPr>
          <w:p>
            <w:pPr>
              <w:pStyle w:val="TableContents"/>
              <w:bidi w:val="0"/>
              <w:spacing w:before="0" w:after="283"/>
              <w:jc w:val="left"/>
              <w:rPr/>
            </w:pPr>
            <w:r>
              <w:rPr/>
              <w:t>​</w:t>
            </w:r>
          </w:p>
        </w:tc>
        <w:tc>
          <w:tcPr>
            <w:tcW w:w="9027" w:type="dxa"/>
            <w:tcBorders/>
            <w:shd w:fill="E9F9D8" w:val="clear"/>
            <w:vAlign w:val="center"/>
          </w:tcPr>
          <w:p>
            <w:pPr>
              <w:pStyle w:val="TableContents"/>
              <w:bidi w:val="0"/>
              <w:spacing w:lineRule="atLeast" w:line="220" w:before="0" w:after="0"/>
              <w:jc w:val="left"/>
              <w:rPr>
                <w:spacing w:val="-2"/>
              </w:rPr>
            </w:pPr>
            <w:r>
              <w:rPr>
                <w:spacing w:val="-2"/>
              </w:rPr>
              <w:t xml:space="preserve">The three-year operational equity incentive encompasses: </w:t>
            </w:r>
          </w:p>
        </w:tc>
        <w:tc>
          <w:tcPr>
            <w:tcW w:w="154" w:type="dxa"/>
            <w:tcBorders/>
            <w:shd w:fill="E9F9D8" w:val="clear"/>
            <w:vAlign w:val="center"/>
          </w:tcPr>
          <w:p>
            <w:pPr>
              <w:pStyle w:val="TableContents"/>
              <w:bidi w:val="0"/>
              <w:spacing w:before="0" w:after="283"/>
              <w:jc w:val="left"/>
              <w:rPr/>
            </w:pPr>
            <w:r>
              <w:rPr/>
              <w:t>​</w:t>
            </w:r>
          </w:p>
        </w:tc>
      </w:tr>
      <w:tr>
        <w:trPr/>
        <w:tc>
          <w:tcPr>
            <w:tcW w:w="124" w:type="dxa"/>
            <w:tcBorders/>
            <w:shd w:fill="E9F9D8" w:val="clear"/>
            <w:vAlign w:val="center"/>
          </w:tcPr>
          <w:p>
            <w:pPr>
              <w:pStyle w:val="TableContents"/>
              <w:bidi w:val="0"/>
              <w:spacing w:before="0" w:after="283"/>
              <w:jc w:val="left"/>
              <w:rPr/>
            </w:pPr>
            <w:r>
              <w:rPr/>
              <w:t>​</w:t>
            </w:r>
          </w:p>
        </w:tc>
        <w:tc>
          <w:tcPr>
            <w:tcW w:w="9027" w:type="dxa"/>
            <w:tcBorders/>
            <w:shd w:fill="E9F9D8" w:val="clear"/>
            <w:vAlign w:val="center"/>
          </w:tcPr>
          <w:p>
            <w:pPr>
              <w:pStyle w:val="TableContents"/>
              <w:bidi w:val="0"/>
              <w:spacing w:lineRule="atLeast" w:line="220" w:before="0" w:after="0"/>
              <w:jc w:val="left"/>
              <w:rPr/>
            </w:pPr>
            <w:r>
              <w:rPr>
                <w:spacing w:val="-2"/>
              </w:rPr>
              <w:t>- 50% of the remaining annual performance-based equity award for our General Counsel</w:t>
            </w:r>
            <w:r>
              <w:rPr/>
              <w:t xml:space="preserve"> </w:t>
            </w:r>
          </w:p>
        </w:tc>
        <w:tc>
          <w:tcPr>
            <w:tcW w:w="154" w:type="dxa"/>
            <w:tcBorders/>
            <w:shd w:fill="E9F9D8" w:val="clear"/>
            <w:vAlign w:val="center"/>
          </w:tcPr>
          <w:p>
            <w:pPr>
              <w:pStyle w:val="TableContents"/>
              <w:bidi w:val="0"/>
              <w:spacing w:before="0" w:after="283"/>
              <w:jc w:val="left"/>
              <w:rPr/>
            </w:pPr>
            <w:r>
              <w:rPr/>
              <w:t>​</w:t>
            </w:r>
          </w:p>
        </w:tc>
      </w:tr>
      <w:tr>
        <w:trPr/>
        <w:tc>
          <w:tcPr>
            <w:tcW w:w="124" w:type="dxa"/>
            <w:tcBorders/>
            <w:shd w:fill="E9F9D8" w:val="clear"/>
            <w:vAlign w:val="center"/>
          </w:tcPr>
          <w:p>
            <w:pPr>
              <w:pStyle w:val="TableContents"/>
              <w:bidi w:val="0"/>
              <w:spacing w:before="0" w:after="283"/>
              <w:jc w:val="left"/>
              <w:rPr/>
            </w:pPr>
            <w:r>
              <w:rPr/>
              <w:t>​</w:t>
            </w:r>
          </w:p>
        </w:tc>
        <w:tc>
          <w:tcPr>
            <w:tcW w:w="9027" w:type="dxa"/>
            <w:tcBorders/>
            <w:shd w:fill="E9F9D8" w:val="clear"/>
            <w:vAlign w:val="center"/>
          </w:tcPr>
          <w:p>
            <w:pPr>
              <w:pStyle w:val="TableContents"/>
              <w:bidi w:val="0"/>
              <w:spacing w:lineRule="atLeast" w:line="220" w:before="0" w:after="0"/>
              <w:jc w:val="left"/>
              <w:rPr/>
            </w:pPr>
            <w:r>
              <w:rPr>
                <w:spacing w:val="-2"/>
              </w:rPr>
              <w:t>The Outperformance Modifier for our CEO’s time-based equity award utilizes the same five operational performance metrics listed above. See “—Time-Based Equity Awards—CEO Outperformance Modifier.”</w:t>
            </w:r>
            <w:r>
              <w:rPr/>
              <w:t xml:space="preserve"> </w:t>
            </w:r>
          </w:p>
        </w:tc>
        <w:tc>
          <w:tcPr>
            <w:tcW w:w="154" w:type="dxa"/>
            <w:tcBorders/>
            <w:shd w:fill="E9F9D8" w:val="clear"/>
            <w:vAlign w:val="center"/>
          </w:tcPr>
          <w:p>
            <w:pPr>
              <w:pStyle w:val="TableContents"/>
              <w:bidi w:val="0"/>
              <w:spacing w:before="0" w:after="283"/>
              <w:jc w:val="left"/>
              <w:rPr/>
            </w:pPr>
            <w:r>
              <w:rPr/>
              <w:t>​</w:t>
            </w:r>
          </w:p>
        </w:tc>
      </w:tr>
    </w:tbl>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20" w:before="240" w:after="0"/>
        <w:ind w:left="1300" w:right="0" w:hanging="0"/>
        <w:jc w:val="left"/>
        <w:rPr>
          <w:rFonts w:ascii="Arial;Helvetica;sans-serif" w:hAnsi="Arial;Helvetica;sans-serif"/>
          <w:b/>
          <w:i w:val="false"/>
          <w:caps w:val="false"/>
          <w:smallCaps w:val="false"/>
          <w:color w:val="1F2668"/>
          <w:sz w:val="18"/>
        </w:rPr>
      </w:pPr>
      <w:r>
        <w:rPr>
          <w:rFonts w:ascii="Arial;Helvetica;sans-serif" w:hAnsi="Arial;Helvetica;sans-serif"/>
          <w:b/>
          <w:i w:val="false"/>
          <w:caps w:val="false"/>
          <w:smallCaps w:val="false"/>
          <w:color w:val="1F2668"/>
          <w:spacing w:val="-2"/>
          <w:sz w:val="18"/>
        </w:rPr>
        <w:t>2025 One-Year Operational Equity Incentive (CFO)</w:t>
      </w:r>
      <w:r>
        <w:rPr>
          <w:rFonts w:ascii="Arial;Helvetica;sans-serif" w:hAnsi="Arial;Helvetica;sans-serif"/>
          <w:b/>
          <w:i w:val="false"/>
          <w:caps w:val="false"/>
          <w:smallCaps w:val="false"/>
          <w:color w:val="000000"/>
          <w:spacing w:val="4"/>
          <w:sz w:val="18"/>
        </w:rPr>
        <w:t xml:space="preserve"> </w:t>
      </w:r>
      <w:r>
        <mc:AlternateContent>
          <mc:Choice Requires="wps">
            <w:drawing>
              <wp:anchor behindDoc="0" distT="152400" distB="0" distL="0" distR="0" simplePos="0" locked="0" layoutInCell="1" allowOverlap="1" relativeHeight="644">
                <wp:simplePos x="0" y="0"/>
                <wp:positionH relativeFrom="column">
                  <wp:align>left</wp:align>
                </wp:positionH>
                <wp:positionV relativeFrom="line">
                  <wp:align>top</wp:align>
                </wp:positionV>
                <wp:extent cx="254000" cy="350520"/>
                <wp:effectExtent l="0" t="0" r="0" b="0"/>
                <wp:wrapSquare wrapText="right"/>
                <wp:docPr id="698" name="Frame38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b/>
                                <w:color w:val="1F2668"/>
                              </w:rPr>
                            </w:pPr>
                            <w:r>
                              <w:rPr>
                                <w:b/>
                                <w:color w:val="1F2668"/>
                                <w:spacing w:val="-2"/>
                              </w:rPr>
                              <w:t>3.</w:t>
                            </w:r>
                            <w:r>
                              <w:rPr>
                                <w:b/>
                                <w:color w:val="1F2668"/>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before="0" w:after="283"/>
                        <w:jc w:val="left"/>
                        <w:rPr>
                          <w:b/>
                          <w:color w:val="1F2668"/>
                        </w:rPr>
                      </w:pPr>
                      <w:r>
                        <w:rPr>
                          <w:b/>
                          <w:color w:val="1F2668"/>
                          <w:spacing w:val="-2"/>
                        </w:rPr>
                        <w:t>3.</w:t>
                      </w:r>
                      <w:r>
                        <w:rPr>
                          <w:b/>
                          <w:color w:val="1F2668"/>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i w:val="false"/>
          <w:caps w:val="false"/>
          <w:smallCaps w:val="false"/>
          <w:color w:val="83AD40"/>
          <w:spacing w:val="-2"/>
          <w:sz w:val="18"/>
        </w:rPr>
        <w:t>Performance Metric.</w:t>
      </w:r>
      <w:r>
        <w:rPr>
          <w:rFonts w:ascii="Arial;Helvetica;sans-serif" w:hAnsi="Arial;Helvetica;sans-serif"/>
          <w:b w:val="false"/>
          <w:i w:val="false"/>
          <w:caps w:val="false"/>
          <w:smallCaps w:val="false"/>
          <w:color w:val="000000"/>
          <w:spacing w:val="-2"/>
          <w:sz w:val="18"/>
        </w:rPr>
        <w:t xml:space="preserve"> The one-year operational objective-based equity awards measure performance against four objective criteria (each weighted 25%) over a one-year performance period as outlined below:</w:t>
      </w:r>
      <w:r>
        <w:rPr>
          <w:rFonts w:ascii="Arial;Helvetica;sans-serif" w:hAnsi="Arial;Helvetica;sans-serif"/>
          <w:b w:val="false"/>
          <w:i w:val="false"/>
          <w:caps w:val="false"/>
          <w:smallCaps w:val="false"/>
          <w:color w:val="000000"/>
          <w:spacing w:val="4"/>
          <w:sz w:val="18"/>
        </w:rPr>
        <w:t xml:space="preserve"> </w:t>
      </w:r>
    </w:p>
    <w:tbl>
      <w:tblPr>
        <w:tblW w:w="9305" w:type="dxa"/>
        <w:jc w:val="left"/>
        <w:tblInd w:w="900" w:type="dxa"/>
        <w:tblLayout w:type="fixed"/>
        <w:tblCellMar>
          <w:top w:w="0" w:type="dxa"/>
          <w:left w:w="0" w:type="dxa"/>
          <w:bottom w:w="63" w:type="dxa"/>
          <w:right w:w="0" w:type="dxa"/>
        </w:tblCellMar>
      </w:tblPr>
      <w:tblGrid>
        <w:gridCol w:w="3318"/>
        <w:gridCol w:w="109"/>
        <w:gridCol w:w="109"/>
        <w:gridCol w:w="1268"/>
        <w:gridCol w:w="109"/>
        <w:gridCol w:w="109"/>
        <w:gridCol w:w="1288"/>
        <w:gridCol w:w="109"/>
        <w:gridCol w:w="109"/>
        <w:gridCol w:w="1339"/>
        <w:gridCol w:w="109"/>
        <w:gridCol w:w="109"/>
        <w:gridCol w:w="1063"/>
        <w:gridCol w:w="157"/>
      </w:tblGrid>
      <w:tr>
        <w:trPr/>
        <w:tc>
          <w:tcPr>
            <w:tcW w:w="3318" w:type="dxa"/>
            <w:tcBorders>
              <w:bottom w:val="single" w:sz="2" w:space="0" w:color="1F2668"/>
            </w:tcBorders>
            <w:vAlign w:val="center"/>
          </w:tcPr>
          <w:p>
            <w:pPr>
              <w:pStyle w:val="TableContents"/>
              <w:bidi w:val="0"/>
              <w:spacing w:before="0" w:after="0"/>
              <w:jc w:val="left"/>
              <w:rPr>
                <w:spacing w:val="-2"/>
              </w:rPr>
            </w:pPr>
            <w:r>
              <w:rPr>
                <w:spacing w:val="-2"/>
              </w:rPr>
              <w:t xml:space="preserve">Performance Criteria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68" w:type="dxa"/>
            <w:tcBorders>
              <w:bottom w:val="single" w:sz="2" w:space="0" w:color="1F2668"/>
            </w:tcBorders>
            <w:vAlign w:val="center"/>
          </w:tcPr>
          <w:p>
            <w:pPr>
              <w:pStyle w:val="TableContents"/>
              <w:bidi w:val="0"/>
              <w:spacing w:before="0" w:after="0"/>
              <w:jc w:val="right"/>
              <w:rPr/>
            </w:pPr>
            <w:r>
              <w:rPr>
                <w:spacing w:val="-2"/>
              </w:rPr>
              <w:t xml:space="preserve">Threshold </w:t>
              <w:br/>
              <w:t>(50% vesting)</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88" w:type="dxa"/>
            <w:tcBorders>
              <w:bottom w:val="single" w:sz="2" w:space="0" w:color="1F2668"/>
            </w:tcBorders>
            <w:vAlign w:val="center"/>
          </w:tcPr>
          <w:p>
            <w:pPr>
              <w:pStyle w:val="TableContents"/>
              <w:bidi w:val="0"/>
              <w:spacing w:before="0" w:after="0"/>
              <w:jc w:val="right"/>
              <w:rPr/>
            </w:pPr>
            <w:r>
              <w:rPr>
                <w:spacing w:val="-2"/>
              </w:rPr>
              <w:t xml:space="preserve">Target </w:t>
              <w:br/>
              <w:t>(100% vesting)</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39" w:type="dxa"/>
            <w:tcBorders>
              <w:bottom w:val="single" w:sz="2" w:space="0" w:color="1F2668"/>
            </w:tcBorders>
            <w:vAlign w:val="center"/>
          </w:tcPr>
          <w:p>
            <w:pPr>
              <w:pStyle w:val="TableContents"/>
              <w:bidi w:val="0"/>
              <w:spacing w:before="0" w:after="0"/>
              <w:jc w:val="right"/>
              <w:rPr/>
            </w:pPr>
            <w:r>
              <w:rPr>
                <w:spacing w:val="-2"/>
              </w:rPr>
              <w:t xml:space="preserve">Maximum </w:t>
              <w:br/>
              <w:t>(200% vesting)</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63" w:type="dxa"/>
            <w:tcBorders>
              <w:bottom w:val="single" w:sz="2" w:space="0" w:color="1F2668"/>
            </w:tcBorders>
            <w:vAlign w:val="center"/>
          </w:tcPr>
          <w:p>
            <w:pPr>
              <w:pStyle w:val="TableContents"/>
              <w:bidi w:val="0"/>
              <w:spacing w:before="0" w:after="0"/>
              <w:jc w:val="right"/>
              <w:rPr/>
            </w:pPr>
            <w:r>
              <w:rPr>
                <w:spacing w:val="-2"/>
              </w:rPr>
              <w:t>Achieved</w:t>
            </w:r>
            <w:r>
              <w:rPr/>
              <w:t xml:space="preserve"> </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318" w:type="dxa"/>
            <w:tcBorders>
              <w:bottom w:val="single" w:sz="2" w:space="0" w:color="4B5088"/>
            </w:tcBorders>
            <w:tcMar>
              <w:bottom w:w="70" w:type="dxa"/>
            </w:tcMar>
            <w:vAlign w:val="center"/>
          </w:tcPr>
          <w:p>
            <w:pPr>
              <w:pStyle w:val="TableContents"/>
              <w:bidi w:val="0"/>
              <w:spacing w:before="0" w:after="0"/>
              <w:jc w:val="left"/>
              <w:rPr>
                <w:b/>
              </w:rPr>
            </w:pPr>
            <w:r>
              <w:rPr>
                <w:b/>
                <w:spacing w:val="-2"/>
              </w:rPr>
              <w:t>Normalized Funds Available for Distribution</w:t>
            </w:r>
            <w:r>
              <w:rPr>
                <w:b/>
                <w:spacing w:val="-1"/>
                <w:sz w:val="11"/>
              </w:rPr>
              <w:t>(1)</w:t>
            </w:r>
            <w:r>
              <w:rPr>
                <w:b/>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68" w:type="dxa"/>
            <w:tcBorders>
              <w:bottom w:val="single" w:sz="2" w:space="0" w:color="4B5088"/>
            </w:tcBorders>
            <w:tcMar>
              <w:bottom w:w="70" w:type="dxa"/>
            </w:tcMar>
            <w:vAlign w:val="center"/>
          </w:tcPr>
          <w:p>
            <w:pPr>
              <w:pStyle w:val="TableContents"/>
              <w:bidi w:val="0"/>
              <w:spacing w:before="0" w:after="0"/>
              <w:jc w:val="center"/>
              <w:rPr>
                <w:spacing w:val="-2"/>
              </w:rPr>
            </w:pPr>
            <w:r>
              <w:rPr>
                <w:spacing w:val="-2"/>
              </w:rPr>
              <w:t xml:space="preserve">$162.0M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88" w:type="dxa"/>
            <w:tcBorders>
              <w:bottom w:val="single" w:sz="2" w:space="0" w:color="4B5088"/>
            </w:tcBorders>
            <w:tcMar>
              <w:bottom w:w="70" w:type="dxa"/>
            </w:tcMar>
            <w:vAlign w:val="center"/>
          </w:tcPr>
          <w:p>
            <w:pPr>
              <w:pStyle w:val="TableContents"/>
              <w:bidi w:val="0"/>
              <w:spacing w:before="0" w:after="0"/>
              <w:jc w:val="center"/>
              <w:rPr>
                <w:spacing w:val="-2"/>
              </w:rPr>
            </w:pPr>
            <w:r>
              <w:rPr>
                <w:spacing w:val="-2"/>
              </w:rPr>
              <w:t xml:space="preserve">$170.0M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39" w:type="dxa"/>
            <w:tcBorders>
              <w:bottom w:val="single" w:sz="2" w:space="0" w:color="4B5088"/>
            </w:tcBorders>
            <w:tcMar>
              <w:bottom w:w="70" w:type="dxa"/>
            </w:tcMar>
            <w:vAlign w:val="center"/>
          </w:tcPr>
          <w:p>
            <w:pPr>
              <w:pStyle w:val="TableContents"/>
              <w:bidi w:val="0"/>
              <w:spacing w:before="0" w:after="0"/>
              <w:jc w:val="center"/>
              <w:rPr>
                <w:spacing w:val="-2"/>
              </w:rPr>
            </w:pPr>
            <w:r>
              <w:rPr>
                <w:spacing w:val="-2"/>
              </w:rPr>
              <w:t xml:space="preserve">$178.0M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63" w:type="dxa"/>
            <w:tcBorders>
              <w:bottom w:val="single" w:sz="2" w:space="0" w:color="4B5088"/>
            </w:tcBorders>
            <w:tcMar>
              <w:bottom w:w="70" w:type="dxa"/>
            </w:tcMar>
            <w:vAlign w:val="center"/>
          </w:tcPr>
          <w:p>
            <w:pPr>
              <w:pStyle w:val="TableContents"/>
              <w:bidi w:val="0"/>
              <w:spacing w:before="0" w:after="0"/>
              <w:jc w:val="center"/>
              <w:rPr>
                <w:spacing w:val="-2"/>
              </w:rPr>
            </w:pPr>
            <w:r>
              <w:rPr>
                <w:spacing w:val="-2"/>
              </w:rPr>
              <w:t xml:space="preserve">$213.3M </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318" w:type="dxa"/>
            <w:tcBorders>
              <w:bottom w:val="single" w:sz="2" w:space="0" w:color="4B5088"/>
            </w:tcBorders>
            <w:tcMar>
              <w:bottom w:w="70" w:type="dxa"/>
            </w:tcMar>
            <w:vAlign w:val="center"/>
          </w:tcPr>
          <w:p>
            <w:pPr>
              <w:pStyle w:val="TableContents"/>
              <w:bidi w:val="0"/>
              <w:spacing w:before="0" w:after="0"/>
              <w:jc w:val="left"/>
              <w:rPr>
                <w:b/>
              </w:rPr>
            </w:pPr>
            <w:r>
              <w:rPr>
                <w:b/>
                <w:spacing w:val="-2"/>
              </w:rPr>
              <w:t>Manhattan Same Store Office Leased Occupancy</w:t>
            </w:r>
            <w:r>
              <w:rPr>
                <w:b/>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68" w:type="dxa"/>
            <w:tcBorders>
              <w:bottom w:val="single" w:sz="2" w:space="0" w:color="4B5088"/>
            </w:tcBorders>
            <w:tcMar>
              <w:bottom w:w="70" w:type="dxa"/>
            </w:tcMar>
            <w:vAlign w:val="center"/>
          </w:tcPr>
          <w:p>
            <w:pPr>
              <w:pStyle w:val="TableContents"/>
              <w:bidi w:val="0"/>
              <w:spacing w:before="0" w:after="0"/>
              <w:jc w:val="center"/>
              <w:rPr>
                <w:spacing w:val="-2"/>
              </w:rPr>
            </w:pPr>
            <w:r>
              <w:rPr>
                <w:spacing w:val="-2"/>
              </w:rPr>
              <w:t xml:space="preserve">92.0%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88" w:type="dxa"/>
            <w:tcBorders>
              <w:bottom w:val="single" w:sz="2" w:space="0" w:color="4B5088"/>
            </w:tcBorders>
            <w:tcMar>
              <w:bottom w:w="70" w:type="dxa"/>
            </w:tcMar>
            <w:vAlign w:val="center"/>
          </w:tcPr>
          <w:p>
            <w:pPr>
              <w:pStyle w:val="TableContents"/>
              <w:bidi w:val="0"/>
              <w:spacing w:before="0" w:after="0"/>
              <w:jc w:val="center"/>
              <w:rPr>
                <w:spacing w:val="-2"/>
              </w:rPr>
            </w:pPr>
            <w:r>
              <w:rPr>
                <w:spacing w:val="-2"/>
              </w:rPr>
              <w:t xml:space="preserve">93.0%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39" w:type="dxa"/>
            <w:tcBorders>
              <w:bottom w:val="single" w:sz="2" w:space="0" w:color="4B5088"/>
            </w:tcBorders>
            <w:tcMar>
              <w:bottom w:w="70" w:type="dxa"/>
            </w:tcMar>
            <w:vAlign w:val="center"/>
          </w:tcPr>
          <w:p>
            <w:pPr>
              <w:pStyle w:val="TableContents"/>
              <w:bidi w:val="0"/>
              <w:spacing w:before="0" w:after="0"/>
              <w:jc w:val="center"/>
              <w:rPr>
                <w:spacing w:val="-2"/>
              </w:rPr>
            </w:pPr>
            <w:r>
              <w:rPr>
                <w:spacing w:val="-2"/>
              </w:rPr>
              <w:t xml:space="preserve">94.0%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63" w:type="dxa"/>
            <w:tcBorders>
              <w:bottom w:val="single" w:sz="2" w:space="0" w:color="4B5088"/>
            </w:tcBorders>
            <w:tcMar>
              <w:bottom w:w="70" w:type="dxa"/>
            </w:tcMar>
            <w:vAlign w:val="center"/>
          </w:tcPr>
          <w:p>
            <w:pPr>
              <w:pStyle w:val="TableContents"/>
              <w:bidi w:val="0"/>
              <w:spacing w:before="0" w:after="0"/>
              <w:jc w:val="center"/>
              <w:rPr>
                <w:spacing w:val="-2"/>
              </w:rPr>
            </w:pPr>
            <w:r>
              <w:rPr>
                <w:spacing w:val="-2"/>
              </w:rPr>
              <w:t xml:space="preserve">93.0% </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318" w:type="dxa"/>
            <w:tcBorders>
              <w:bottom w:val="single" w:sz="2" w:space="0" w:color="4B5088"/>
            </w:tcBorders>
            <w:tcMar>
              <w:bottom w:w="70" w:type="dxa"/>
            </w:tcMar>
            <w:vAlign w:val="center"/>
          </w:tcPr>
          <w:p>
            <w:pPr>
              <w:pStyle w:val="TableContents"/>
              <w:bidi w:val="0"/>
              <w:spacing w:before="0" w:after="0"/>
              <w:jc w:val="left"/>
              <w:rPr>
                <w:b/>
              </w:rPr>
            </w:pPr>
            <w:r>
              <w:rPr>
                <w:b/>
                <w:spacing w:val="-2"/>
              </w:rPr>
              <w:t>Manhattan Office Leasing Volume</w:t>
            </w:r>
            <w:r>
              <w:rPr>
                <w:b/>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68" w:type="dxa"/>
            <w:tcBorders>
              <w:bottom w:val="single" w:sz="2" w:space="0" w:color="4B5088"/>
            </w:tcBorders>
            <w:tcMar>
              <w:bottom w:w="70" w:type="dxa"/>
            </w:tcMar>
            <w:vAlign w:val="center"/>
          </w:tcPr>
          <w:p>
            <w:pPr>
              <w:pStyle w:val="TableContents"/>
              <w:bidi w:val="0"/>
              <w:spacing w:before="0" w:after="0"/>
              <w:jc w:val="center"/>
              <w:rPr>
                <w:spacing w:val="-2"/>
              </w:rPr>
            </w:pPr>
            <w:r>
              <w:rPr>
                <w:spacing w:val="-2"/>
              </w:rPr>
              <w:t xml:space="preserve">1.80M SF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88" w:type="dxa"/>
            <w:tcBorders>
              <w:bottom w:val="single" w:sz="2" w:space="0" w:color="4B5088"/>
            </w:tcBorders>
            <w:tcMar>
              <w:bottom w:w="70" w:type="dxa"/>
            </w:tcMar>
            <w:vAlign w:val="center"/>
          </w:tcPr>
          <w:p>
            <w:pPr>
              <w:pStyle w:val="TableContents"/>
              <w:bidi w:val="0"/>
              <w:spacing w:before="0" w:after="0"/>
              <w:jc w:val="center"/>
              <w:rPr>
                <w:spacing w:val="-2"/>
              </w:rPr>
            </w:pPr>
            <w:r>
              <w:rPr>
                <w:spacing w:val="-2"/>
              </w:rPr>
              <w:t xml:space="preserve">2.00M SF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39" w:type="dxa"/>
            <w:tcBorders>
              <w:bottom w:val="single" w:sz="2" w:space="0" w:color="4B5088"/>
            </w:tcBorders>
            <w:tcMar>
              <w:bottom w:w="70" w:type="dxa"/>
            </w:tcMar>
            <w:vAlign w:val="center"/>
          </w:tcPr>
          <w:p>
            <w:pPr>
              <w:pStyle w:val="TableContents"/>
              <w:bidi w:val="0"/>
              <w:spacing w:before="0" w:after="0"/>
              <w:jc w:val="center"/>
              <w:rPr>
                <w:spacing w:val="-2"/>
              </w:rPr>
            </w:pPr>
            <w:r>
              <w:rPr>
                <w:spacing w:val="-2"/>
              </w:rPr>
              <w:t xml:space="preserve">2.20M SF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63" w:type="dxa"/>
            <w:tcBorders>
              <w:bottom w:val="single" w:sz="2" w:space="0" w:color="4B5088"/>
            </w:tcBorders>
            <w:tcMar>
              <w:bottom w:w="70" w:type="dxa"/>
            </w:tcMar>
            <w:vAlign w:val="center"/>
          </w:tcPr>
          <w:p>
            <w:pPr>
              <w:pStyle w:val="TableContents"/>
              <w:bidi w:val="0"/>
              <w:spacing w:before="0" w:after="0"/>
              <w:jc w:val="center"/>
              <w:rPr>
                <w:spacing w:val="-2"/>
              </w:rPr>
            </w:pPr>
            <w:r>
              <w:rPr>
                <w:spacing w:val="-2"/>
              </w:rPr>
              <w:t xml:space="preserve">2.57M SF </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318" w:type="dxa"/>
            <w:tcBorders>
              <w:bottom w:val="single" w:sz="2" w:space="0" w:color="1F2668"/>
            </w:tcBorders>
            <w:tcMar>
              <w:bottom w:w="70" w:type="dxa"/>
            </w:tcMar>
            <w:vAlign w:val="center"/>
          </w:tcPr>
          <w:p>
            <w:pPr>
              <w:pStyle w:val="TableContents"/>
              <w:bidi w:val="0"/>
              <w:spacing w:before="0" w:after="0"/>
              <w:jc w:val="left"/>
              <w:rPr>
                <w:b/>
              </w:rPr>
            </w:pPr>
            <w:r>
              <w:rPr>
                <w:b/>
                <w:spacing w:val="-2"/>
              </w:rPr>
              <w:t>Liquidity</w:t>
            </w:r>
            <w:r>
              <w:rPr>
                <w:b/>
                <w:spacing w:val="-1"/>
                <w:sz w:val="11"/>
              </w:rPr>
              <w:t>(2)</w:t>
            </w:r>
            <w:r>
              <w:rPr>
                <w:b/>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68" w:type="dxa"/>
            <w:tcBorders>
              <w:bottom w:val="single" w:sz="2" w:space="0" w:color="1F2668"/>
            </w:tcBorders>
            <w:tcMar>
              <w:bottom w:w="70" w:type="dxa"/>
            </w:tcMar>
            <w:vAlign w:val="center"/>
          </w:tcPr>
          <w:p>
            <w:pPr>
              <w:pStyle w:val="TableContents"/>
              <w:bidi w:val="0"/>
              <w:spacing w:before="0" w:after="0"/>
              <w:jc w:val="center"/>
              <w:rPr>
                <w:spacing w:val="-2"/>
              </w:rPr>
            </w:pPr>
            <w:r>
              <w:rPr>
                <w:spacing w:val="-2"/>
              </w:rPr>
              <w:t xml:space="preserve">$1.0B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88" w:type="dxa"/>
            <w:tcBorders>
              <w:bottom w:val="single" w:sz="2" w:space="0" w:color="1F2668"/>
            </w:tcBorders>
            <w:tcMar>
              <w:bottom w:w="70" w:type="dxa"/>
            </w:tcMar>
            <w:vAlign w:val="center"/>
          </w:tcPr>
          <w:p>
            <w:pPr>
              <w:pStyle w:val="TableContents"/>
              <w:bidi w:val="0"/>
              <w:spacing w:before="0" w:after="0"/>
              <w:jc w:val="center"/>
              <w:rPr>
                <w:spacing w:val="-2"/>
              </w:rPr>
            </w:pPr>
            <w:r>
              <w:rPr>
                <w:spacing w:val="-2"/>
              </w:rPr>
              <w:t xml:space="preserve">$1.2B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39" w:type="dxa"/>
            <w:tcBorders>
              <w:bottom w:val="single" w:sz="2" w:space="0" w:color="1F2668"/>
            </w:tcBorders>
            <w:tcMar>
              <w:bottom w:w="70" w:type="dxa"/>
            </w:tcMar>
            <w:vAlign w:val="center"/>
          </w:tcPr>
          <w:p>
            <w:pPr>
              <w:pStyle w:val="TableContents"/>
              <w:bidi w:val="0"/>
              <w:spacing w:before="0" w:after="0"/>
              <w:jc w:val="center"/>
              <w:rPr>
                <w:spacing w:val="-2"/>
              </w:rPr>
            </w:pPr>
            <w:r>
              <w:rPr>
                <w:spacing w:val="-2"/>
              </w:rPr>
              <w:t xml:space="preserve">$1.4B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63" w:type="dxa"/>
            <w:tcBorders>
              <w:bottom w:val="single" w:sz="2" w:space="0" w:color="1F2668"/>
            </w:tcBorders>
            <w:tcMar>
              <w:bottom w:w="70" w:type="dxa"/>
            </w:tcMar>
            <w:vAlign w:val="center"/>
          </w:tcPr>
          <w:p>
            <w:pPr>
              <w:pStyle w:val="TableContents"/>
              <w:bidi w:val="0"/>
              <w:spacing w:before="0" w:after="0"/>
              <w:jc w:val="center"/>
              <w:rPr/>
            </w:pPr>
            <w:r>
              <w:rPr>
                <w:spacing w:val="-2"/>
              </w:rPr>
              <w:t>$0.91B</w:t>
            </w:r>
            <w:r>
              <w:rPr/>
              <w:t xml:space="preserve"> </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240"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Includes Gain on Discounted Debt Extinguishment of $20.0M. Gains on Discounted Debt Extinguishment in excess of $20.0M are excluded from the final calculation.</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52400" distB="0" distL="0" distR="0" simplePos="0" locked="0" layoutInCell="1" allowOverlap="1" relativeHeight="645">
                <wp:simplePos x="0" y="0"/>
                <wp:positionH relativeFrom="column">
                  <wp:align>left</wp:align>
                </wp:positionH>
                <wp:positionV relativeFrom="line">
                  <wp:align>top</wp:align>
                </wp:positionV>
                <wp:extent cx="254000" cy="254000"/>
                <wp:effectExtent l="0" t="0" r="0" b="0"/>
                <wp:wrapSquare wrapText="right"/>
                <wp:docPr id="699" name="Frame382"/>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2"/>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2"/>
                          <w:sz w:val="16"/>
                        </w:rPr>
                        <w:t>(1)</w:t>
                      </w:r>
                      <w:r>
                        <w:rPr>
                          <w:sz w:val="16"/>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Includes cash and cash equivalents, marketable securities and undrawn credit capacity on our revolving credit facility.</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646">
                <wp:simplePos x="0" y="0"/>
                <wp:positionH relativeFrom="column">
                  <wp:align>left</wp:align>
                </wp:positionH>
                <wp:positionV relativeFrom="line">
                  <wp:align>top</wp:align>
                </wp:positionV>
                <wp:extent cx="254000" cy="254000"/>
                <wp:effectExtent l="0" t="0" r="0" b="0"/>
                <wp:wrapSquare wrapText="right"/>
                <wp:docPr id="700" name="Frame383"/>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2"/>
                                <w:sz w:val="16"/>
                              </w:rPr>
                              <w:t>(2)</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2"/>
                          <w:sz w:val="16"/>
                        </w:rPr>
                        <w:t>(2)</w:t>
                      </w:r>
                      <w:r>
                        <w:rPr>
                          <w:sz w:val="16"/>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As with the 2025 three-year operational equity incentive awards, the Committee established preset goals for each of the performance criteria above for the one-year period ending December 31, 2025, which were designed to motivate financial and operational outperformance based on Company guidance and internal projections. The criteria used for performance-based equity continue to be key drivers of stockholder value creation and are substantially consistent with the objective criteria used for 2024 for such awards, except for the removal of the combined net debt reduction goal, as we completed our general reduction plan in 2024.</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 xml:space="preserve">As of December 31, 2025, </w:t>
      </w:r>
      <w:r>
        <w:rPr>
          <w:rFonts w:ascii="Arial;Helvetica;sans-serif" w:hAnsi="Arial;Helvetica;sans-serif"/>
          <w:b/>
          <w:i w:val="false"/>
          <w:caps w:val="false"/>
          <w:smallCaps w:val="false"/>
          <w:color w:val="000000"/>
          <w:spacing w:val="-2"/>
          <w:sz w:val="18"/>
        </w:rPr>
        <w:t>based on the Company’s one-year performance against these goals above, the equity incentives were earned at 125% of target for</w:t>
      </w:r>
      <w:r>
        <w:rPr>
          <w:rFonts w:ascii="Arial;Helvetica;sans-serif" w:hAnsi="Arial;Helvetica;sans-serif"/>
          <w:b w:val="false"/>
          <w:i w:val="false"/>
          <w:caps w:val="false"/>
          <w:smallCaps w:val="false"/>
          <w:color w:val="000000"/>
          <w:spacing w:val="-2"/>
          <w:sz w:val="18"/>
        </w:rPr>
        <w:t xml:space="preserve"> Mr. DiLiberto.</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60" w:before="240" w:after="283"/>
        <w:jc w:val="left"/>
        <w:rPr>
          <w:rFonts w:ascii="Arial;Helvetica;sans-serif" w:hAnsi="Arial;Helvetica;sans-serif"/>
          <w:b/>
          <w:i w:val="false"/>
          <w:caps w:val="false"/>
          <w:smallCaps w:val="false"/>
          <w:color w:val="83AD40"/>
          <w:sz w:val="22"/>
        </w:rPr>
      </w:pPr>
      <w:r>
        <w:rPr>
          <w:rFonts w:ascii="Arial;Helvetica;sans-serif" w:hAnsi="Arial;Helvetica;sans-serif"/>
          <w:b/>
          <w:i w:val="false"/>
          <w:caps w:val="false"/>
          <w:smallCaps w:val="false"/>
          <w:color w:val="83AD40"/>
          <w:spacing w:val="-2"/>
          <w:sz w:val="22"/>
        </w:rPr>
        <w:t>Absolute TSR Modifier</w:t>
      </w:r>
      <w:r>
        <w:rPr>
          <w:rFonts w:ascii="Arial;Helvetica;sans-serif" w:hAnsi="Arial;Helvetica;sans-serif"/>
          <w:b/>
          <w:i w:val="false"/>
          <w:caps w:val="false"/>
          <w:smallCaps w:val="false"/>
          <w:color w:val="000000"/>
          <w:spacing w:val="4"/>
          <w:sz w:val="22"/>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The vesting of this equity award is subject to the Company’s Absolute TSR performance over the three-year performance period as follows:</w:t>
      </w:r>
      <w:r>
        <w:rPr>
          <w:rFonts w:ascii="Arial;Helvetica;sans-serif" w:hAnsi="Arial;Helvetica;sans-serif"/>
          <w:b w:val="false"/>
          <w:i w:val="false"/>
          <w:caps w:val="false"/>
          <w:smallCaps w:val="false"/>
          <w:color w:val="000000"/>
          <w:spacing w:val="4"/>
          <w:sz w:val="18"/>
        </w:rPr>
        <w:t xml:space="preserve"> </w:t>
      </w:r>
    </w:p>
    <w:tbl>
      <w:tblPr>
        <w:tblW w:w="8368" w:type="dxa"/>
        <w:jc w:val="left"/>
        <w:tblInd w:w="900" w:type="dxa"/>
        <w:tblLayout w:type="fixed"/>
        <w:tblCellMar>
          <w:top w:w="0" w:type="dxa"/>
          <w:left w:w="0" w:type="dxa"/>
          <w:bottom w:w="50" w:type="dxa"/>
          <w:right w:w="0" w:type="dxa"/>
        </w:tblCellMar>
      </w:tblPr>
      <w:tblGrid>
        <w:gridCol w:w="2688"/>
        <w:gridCol w:w="109"/>
        <w:gridCol w:w="109"/>
        <w:gridCol w:w="1644"/>
        <w:gridCol w:w="109"/>
        <w:gridCol w:w="109"/>
        <w:gridCol w:w="1110"/>
        <w:gridCol w:w="109"/>
        <w:gridCol w:w="109"/>
        <w:gridCol w:w="771"/>
        <w:gridCol w:w="109"/>
        <w:gridCol w:w="109"/>
        <w:gridCol w:w="1129"/>
        <w:gridCol w:w="154"/>
      </w:tblGrid>
      <w:tr>
        <w:trPr/>
        <w:tc>
          <w:tcPr>
            <w:tcW w:w="2688" w:type="dxa"/>
            <w:tcBorders>
              <w:bottom w:val="single" w:sz="12" w:space="0" w:color="1F2668"/>
            </w:tcBorders>
            <w:vAlign w:val="center"/>
          </w:tcPr>
          <w:p>
            <w:pPr>
              <w:pStyle w:val="TableContents"/>
              <w:bidi w:val="0"/>
              <w:spacing w:before="0" w:after="0"/>
              <w:jc w:val="left"/>
              <w:rPr>
                <w:spacing w:val="-2"/>
              </w:rPr>
            </w:pPr>
            <w:r>
              <w:rPr>
                <w:spacing w:val="-2"/>
              </w:rPr>
              <w:t xml:space="preserve">Performance Criteria </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644" w:type="dxa"/>
            <w:tcBorders>
              <w:bottom w:val="single" w:sz="12" w:space="0" w:color="1F2668"/>
            </w:tcBorders>
            <w:vAlign w:val="center"/>
          </w:tcPr>
          <w:p>
            <w:pPr>
              <w:pStyle w:val="TableContents"/>
              <w:bidi w:val="0"/>
              <w:spacing w:before="0" w:after="0"/>
              <w:jc w:val="center"/>
              <w:rPr>
                <w:spacing w:val="-2"/>
              </w:rPr>
            </w:pPr>
            <w:r>
              <w:rPr>
                <w:spacing w:val="-2"/>
              </w:rPr>
              <w:t xml:space="preserve">Modifier Range </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110" w:type="dxa"/>
            <w:tcBorders>
              <w:bottom w:val="single" w:sz="12" w:space="0" w:color="1F2668"/>
            </w:tcBorders>
            <w:vAlign w:val="center"/>
          </w:tcPr>
          <w:p>
            <w:pPr>
              <w:pStyle w:val="TableContents"/>
              <w:bidi w:val="0"/>
              <w:spacing w:before="0" w:after="0"/>
              <w:jc w:val="center"/>
              <w:rPr>
                <w:spacing w:val="-2"/>
              </w:rPr>
            </w:pPr>
            <w:r>
              <w:rPr>
                <w:spacing w:val="-2"/>
              </w:rPr>
              <w:t xml:space="preserve">Threshold </w:t>
            </w:r>
          </w:p>
        </w:tc>
        <w:tc>
          <w:tcPr>
            <w:tcW w:w="109" w:type="dxa"/>
            <w:tcBorders>
              <w:bottom w:val="single" w:sz="12" w:space="0" w:color="1F2668"/>
            </w:tcBorders>
            <w:tcMar>
              <w:bottom w:w="28" w:type="dxa"/>
            </w:tcMar>
            <w:vAlign w:val="center"/>
          </w:tcPr>
          <w:p>
            <w:pPr>
              <w:pStyle w:val="TableContents"/>
              <w:bidi w:val="0"/>
              <w:spacing w:before="0" w:after="283"/>
              <w:jc w:val="left"/>
              <w:rPr/>
            </w:pPr>
            <w:r>
              <w:rPr/>
              <w:t>​</w:t>
            </w:r>
          </w:p>
        </w:tc>
        <w:tc>
          <w:tcPr>
            <w:tcW w:w="109" w:type="dxa"/>
            <w:tcBorders>
              <w:bottom w:val="single" w:sz="12" w:space="0" w:color="1F2668"/>
            </w:tcBorders>
            <w:tcMar>
              <w:bottom w:w="28" w:type="dxa"/>
            </w:tcMar>
            <w:vAlign w:val="center"/>
          </w:tcPr>
          <w:p>
            <w:pPr>
              <w:pStyle w:val="TableContents"/>
              <w:bidi w:val="0"/>
              <w:spacing w:before="0" w:after="283"/>
              <w:jc w:val="left"/>
              <w:rPr/>
            </w:pPr>
            <w:r>
              <w:rPr/>
              <w:t>​</w:t>
            </w:r>
          </w:p>
        </w:tc>
        <w:tc>
          <w:tcPr>
            <w:tcW w:w="771" w:type="dxa"/>
            <w:tcBorders>
              <w:bottom w:val="single" w:sz="12" w:space="0" w:color="1F2668"/>
            </w:tcBorders>
            <w:vAlign w:val="center"/>
          </w:tcPr>
          <w:p>
            <w:pPr>
              <w:pStyle w:val="TableContents"/>
              <w:bidi w:val="0"/>
              <w:spacing w:before="0" w:after="0"/>
              <w:jc w:val="center"/>
              <w:rPr>
                <w:spacing w:val="-2"/>
              </w:rPr>
            </w:pPr>
            <w:r>
              <w:rPr>
                <w:spacing w:val="-2"/>
              </w:rPr>
              <w:t xml:space="preserve">Target </w:t>
            </w:r>
          </w:p>
        </w:tc>
        <w:tc>
          <w:tcPr>
            <w:tcW w:w="109" w:type="dxa"/>
            <w:tcBorders>
              <w:bottom w:val="single" w:sz="12" w:space="0" w:color="1F2668"/>
            </w:tcBorders>
            <w:tcMar>
              <w:bottom w:w="28" w:type="dxa"/>
            </w:tcMar>
            <w:vAlign w:val="center"/>
          </w:tcPr>
          <w:p>
            <w:pPr>
              <w:pStyle w:val="TableContents"/>
              <w:bidi w:val="0"/>
              <w:spacing w:before="0" w:after="283"/>
              <w:jc w:val="left"/>
              <w:rPr/>
            </w:pPr>
            <w:r>
              <w:rPr/>
              <w:t>​</w:t>
            </w:r>
          </w:p>
        </w:tc>
        <w:tc>
          <w:tcPr>
            <w:tcW w:w="109" w:type="dxa"/>
            <w:tcBorders>
              <w:bottom w:val="single" w:sz="12" w:space="0" w:color="1F2668"/>
            </w:tcBorders>
            <w:tcMar>
              <w:bottom w:w="28" w:type="dxa"/>
            </w:tcMar>
            <w:vAlign w:val="center"/>
          </w:tcPr>
          <w:p>
            <w:pPr>
              <w:pStyle w:val="TableContents"/>
              <w:bidi w:val="0"/>
              <w:spacing w:before="0" w:after="283"/>
              <w:jc w:val="left"/>
              <w:rPr/>
            </w:pPr>
            <w:r>
              <w:rPr/>
              <w:t>​</w:t>
            </w:r>
          </w:p>
        </w:tc>
        <w:tc>
          <w:tcPr>
            <w:tcW w:w="1129" w:type="dxa"/>
            <w:tcBorders>
              <w:bottom w:val="single" w:sz="12" w:space="0" w:color="1F2668"/>
            </w:tcBorders>
            <w:vAlign w:val="center"/>
          </w:tcPr>
          <w:p>
            <w:pPr>
              <w:pStyle w:val="TableContents"/>
              <w:bidi w:val="0"/>
              <w:spacing w:before="0" w:after="0"/>
              <w:jc w:val="center"/>
              <w:rPr>
                <w:spacing w:val="-2"/>
              </w:rPr>
            </w:pPr>
            <w:r>
              <w:rPr>
                <w:spacing w:val="-2"/>
              </w:rPr>
              <w:t xml:space="preserve">Maximum </w:t>
            </w:r>
          </w:p>
        </w:tc>
        <w:tc>
          <w:tcPr>
            <w:tcW w:w="154" w:type="dxa"/>
            <w:tcBorders>
              <w:bottom w:val="single" w:sz="12" w:space="0" w:color="FFFFFF"/>
            </w:tcBorders>
            <w:tcMar>
              <w:bottom w:w="28" w:type="dxa"/>
            </w:tcMar>
            <w:vAlign w:val="center"/>
          </w:tcPr>
          <w:p>
            <w:pPr>
              <w:pStyle w:val="TableContents"/>
              <w:bidi w:val="0"/>
              <w:spacing w:before="0" w:after="283"/>
              <w:jc w:val="left"/>
              <w:rPr/>
            </w:pPr>
            <w:r>
              <w:rPr/>
              <w:t>​</w:t>
            </w:r>
          </w:p>
        </w:tc>
      </w:tr>
      <w:tr>
        <w:trPr/>
        <w:tc>
          <w:tcPr>
            <w:tcW w:w="2688" w:type="dxa"/>
            <w:tcBorders>
              <w:bottom w:val="single" w:sz="2" w:space="0" w:color="1F2668"/>
            </w:tcBorders>
            <w:tcMar>
              <w:bottom w:w="120" w:type="dxa"/>
            </w:tcMar>
            <w:vAlign w:val="center"/>
          </w:tcPr>
          <w:p>
            <w:pPr>
              <w:pStyle w:val="TableContents"/>
              <w:bidi w:val="0"/>
              <w:spacing w:lineRule="atLeast" w:line="220" w:before="0" w:after="0"/>
              <w:jc w:val="left"/>
              <w:rPr>
                <w:b/>
                <w:color w:val="1F2668"/>
              </w:rPr>
            </w:pPr>
            <w:r>
              <w:rPr>
                <w:b/>
                <w:color w:val="1F2668"/>
                <w:spacing w:val="-2"/>
              </w:rPr>
              <w:t>Absolute TSR per Year*</w:t>
            </w:r>
            <w:r>
              <w:rPr>
                <w:b/>
                <w:color w:val="1F2668"/>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44" w:type="dxa"/>
            <w:tcBorders>
              <w:bottom w:val="single" w:sz="2" w:space="0" w:color="1F2668"/>
            </w:tcBorders>
            <w:tcMar>
              <w:bottom w:w="120" w:type="dxa"/>
            </w:tcMar>
            <w:vAlign w:val="center"/>
          </w:tcPr>
          <w:p>
            <w:pPr>
              <w:pStyle w:val="TableContents"/>
              <w:bidi w:val="0"/>
              <w:spacing w:lineRule="atLeast" w:line="220" w:before="0" w:after="0"/>
              <w:jc w:val="center"/>
              <w:rPr>
                <w:spacing w:val="-2"/>
              </w:rPr>
            </w:pPr>
            <w:r>
              <w:rPr>
                <w:spacing w:val="-2"/>
              </w:rPr>
              <w:t xml:space="preserve">±12.5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10" w:type="dxa"/>
            <w:tcBorders>
              <w:bottom w:val="single" w:sz="2" w:space="0" w:color="1F2668"/>
            </w:tcBorders>
            <w:tcMar>
              <w:bottom w:w="120" w:type="dxa"/>
            </w:tcMar>
            <w:vAlign w:val="center"/>
          </w:tcPr>
          <w:p>
            <w:pPr>
              <w:pStyle w:val="TableContents"/>
              <w:bidi w:val="0"/>
              <w:spacing w:lineRule="atLeast" w:line="220" w:before="0" w:after="0"/>
              <w:jc w:val="center"/>
              <w:rPr>
                <w:spacing w:val="-2"/>
              </w:rPr>
            </w:pPr>
            <w:r>
              <w:rPr>
                <w:spacing w:val="-2"/>
              </w:rPr>
              <w:t>≤</w:t>
            </w:r>
            <w:r>
              <w:rPr>
                <w:spacing w:val="-2"/>
              </w:rPr>
              <w:t xml:space="preserve">3.5% </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771" w:type="dxa"/>
            <w:tcBorders>
              <w:bottom w:val="single" w:sz="2" w:space="0" w:color="1F2668"/>
            </w:tcBorders>
            <w:tcMar>
              <w:bottom w:w="120" w:type="dxa"/>
            </w:tcMar>
            <w:vAlign w:val="center"/>
          </w:tcPr>
          <w:p>
            <w:pPr>
              <w:pStyle w:val="TableContents"/>
              <w:bidi w:val="0"/>
              <w:spacing w:lineRule="atLeast" w:line="220" w:before="0" w:after="0"/>
              <w:jc w:val="center"/>
              <w:rPr>
                <w:spacing w:val="-2"/>
              </w:rPr>
            </w:pPr>
            <w:r>
              <w:rPr>
                <w:spacing w:val="-2"/>
              </w:rPr>
              <w:t xml:space="preserve">5.5% </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129" w:type="dxa"/>
            <w:tcBorders>
              <w:bottom w:val="single" w:sz="2" w:space="0" w:color="1F2668"/>
            </w:tcBorders>
            <w:tcMar>
              <w:bottom w:w="120" w:type="dxa"/>
            </w:tcMar>
            <w:vAlign w:val="center"/>
          </w:tcPr>
          <w:p>
            <w:pPr>
              <w:pStyle w:val="TableContents"/>
              <w:bidi w:val="0"/>
              <w:spacing w:lineRule="atLeast" w:line="220" w:before="0" w:after="0"/>
              <w:jc w:val="center"/>
              <w:rPr/>
            </w:pPr>
            <w:r>
              <w:rPr>
                <w:spacing w:val="-2"/>
              </w:rPr>
              <w:t>≥</w:t>
            </w:r>
            <w:r>
              <w:rPr>
                <w:spacing w:val="-2"/>
              </w:rPr>
              <w:t>7.5%</w:t>
            </w:r>
            <w:r>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280"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Assumes no reinvestment of dividends.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77800" distB="0" distL="0" distR="0" simplePos="0" locked="0" layoutInCell="1" allowOverlap="1" relativeHeight="647">
                <wp:simplePos x="0" y="0"/>
                <wp:positionH relativeFrom="column">
                  <wp:align>left</wp:align>
                </wp:positionH>
                <wp:positionV relativeFrom="line">
                  <wp:align>top</wp:align>
                </wp:positionV>
                <wp:extent cx="254000" cy="254000"/>
                <wp:effectExtent l="0" t="0" r="0" b="0"/>
                <wp:wrapSquare wrapText="right"/>
                <wp:docPr id="701" name="Frame384"/>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2"/>
                                <w:sz w:val="16"/>
                              </w:rPr>
                              <w:t>*</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14pt;mso-wrap-distance-bottom:0pt;margin-top:14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2"/>
                          <w:sz w:val="16"/>
                        </w:rPr>
                        <w:t>*</w:t>
                      </w:r>
                      <w:r>
                        <w:rPr>
                          <w:sz w:val="16"/>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 xml:space="preserve">As of December 31, 2025, </w:t>
      </w:r>
      <w:r>
        <w:rPr>
          <w:rFonts w:ascii="Arial;Helvetica;sans-serif" w:hAnsi="Arial;Helvetica;sans-serif"/>
          <w:b/>
          <w:i w:val="false"/>
          <w:caps w:val="false"/>
          <w:smallCaps w:val="false"/>
          <w:color w:val="000000"/>
          <w:spacing w:val="-2"/>
          <w:sz w:val="18"/>
        </w:rPr>
        <w:t>based on our one-year absolute TSR, the Absolute TSR Modifier would have resulted in a -12.5% modification to Mr. DiLiberto’s award target,</w:t>
      </w:r>
      <w:r>
        <w:rPr>
          <w:rFonts w:ascii="Arial;Helvetica;sans-serif" w:hAnsi="Arial;Helvetica;sans-serif"/>
          <w:b w:val="false"/>
          <w:i w:val="false"/>
          <w:caps w:val="false"/>
          <w:smallCaps w:val="false"/>
          <w:color w:val="000000"/>
          <w:spacing w:val="-2"/>
          <w:sz w:val="18"/>
        </w:rPr>
        <w:t xml:space="preserve"> demonstrating the rigorous design of our equity incentives that ensure payouts are aligned with stockholder outcomes.</w:t>
      </w:r>
      <w:r>
        <w:rPr>
          <w:rFonts w:ascii="Arial;Helvetica;sans-serif" w:hAnsi="Arial;Helvetica;sans-serif"/>
          <w:b w:val="false"/>
          <w:i w:val="false"/>
          <w:caps w:val="false"/>
          <w:smallCaps w:val="false"/>
          <w:color w:val="000000"/>
          <w:spacing w:val="4"/>
          <w:sz w:val="18"/>
        </w:rPr>
        <w:t xml:space="preserve"> </w:t>
      </w:r>
    </w:p>
    <w:tbl>
      <w:tblPr>
        <w:tblW w:w="9305" w:type="dxa"/>
        <w:jc w:val="left"/>
        <w:tblInd w:w="900" w:type="dxa"/>
        <w:tblLayout w:type="fixed"/>
        <w:tblCellMar>
          <w:top w:w="0" w:type="dxa"/>
          <w:left w:w="0" w:type="dxa"/>
          <w:bottom w:w="0" w:type="dxa"/>
          <w:right w:w="0" w:type="dxa"/>
        </w:tblCellMar>
      </w:tblPr>
      <w:tblGrid>
        <w:gridCol w:w="124"/>
        <w:gridCol w:w="9027"/>
        <w:gridCol w:w="154"/>
      </w:tblGrid>
      <w:tr>
        <w:trPr/>
        <w:tc>
          <w:tcPr>
            <w:tcW w:w="124" w:type="dxa"/>
            <w:tcBorders/>
            <w:shd w:fill="E9F9D8" w:val="clear"/>
            <w:vAlign w:val="center"/>
          </w:tcPr>
          <w:p>
            <w:pPr>
              <w:pStyle w:val="TableContents"/>
              <w:bidi w:val="0"/>
              <w:spacing w:before="0" w:after="283"/>
              <w:jc w:val="left"/>
              <w:rPr/>
            </w:pPr>
            <w:r>
              <w:rPr/>
              <w:t>​</w:t>
            </w:r>
          </w:p>
        </w:tc>
        <w:tc>
          <w:tcPr>
            <w:tcW w:w="9027" w:type="dxa"/>
            <w:tcBorders/>
            <w:shd w:fill="E9F9D8" w:val="clear"/>
            <w:vAlign w:val="center"/>
          </w:tcPr>
          <w:p>
            <w:pPr>
              <w:pStyle w:val="TableContents"/>
              <w:bidi w:val="0"/>
              <w:spacing w:lineRule="atLeast" w:line="220" w:before="0" w:after="0"/>
              <w:jc w:val="left"/>
              <w:rPr>
                <w:spacing w:val="-2"/>
              </w:rPr>
            </w:pPr>
            <w:r>
              <w:rPr>
                <w:spacing w:val="-2"/>
              </w:rPr>
              <w:t xml:space="preserve">For 2025, the one-year operational equity incentive encompasses: </w:t>
            </w:r>
          </w:p>
        </w:tc>
        <w:tc>
          <w:tcPr>
            <w:tcW w:w="154" w:type="dxa"/>
            <w:tcBorders/>
            <w:shd w:fill="E9F9D8" w:val="clear"/>
            <w:vAlign w:val="center"/>
          </w:tcPr>
          <w:p>
            <w:pPr>
              <w:pStyle w:val="TableContents"/>
              <w:bidi w:val="0"/>
              <w:spacing w:before="0" w:after="283"/>
              <w:jc w:val="left"/>
              <w:rPr/>
            </w:pPr>
            <w:r>
              <w:rPr/>
              <w:t>​</w:t>
            </w:r>
          </w:p>
        </w:tc>
      </w:tr>
      <w:tr>
        <w:trPr/>
        <w:tc>
          <w:tcPr>
            <w:tcW w:w="124" w:type="dxa"/>
            <w:tcBorders/>
            <w:shd w:fill="E9F9D8" w:val="clear"/>
            <w:vAlign w:val="center"/>
          </w:tcPr>
          <w:p>
            <w:pPr>
              <w:pStyle w:val="TableContents"/>
              <w:bidi w:val="0"/>
              <w:spacing w:before="0" w:after="283"/>
              <w:jc w:val="left"/>
              <w:rPr/>
            </w:pPr>
            <w:r>
              <w:rPr/>
              <w:t>​</w:t>
            </w:r>
          </w:p>
        </w:tc>
        <w:tc>
          <w:tcPr>
            <w:tcW w:w="9027" w:type="dxa"/>
            <w:tcBorders/>
            <w:shd w:fill="E9F9D8" w:val="clear"/>
            <w:vAlign w:val="center"/>
          </w:tcPr>
          <w:p>
            <w:pPr>
              <w:pStyle w:val="TableContents"/>
              <w:bidi w:val="0"/>
              <w:spacing w:lineRule="atLeast" w:line="220" w:before="0" w:after="0"/>
              <w:jc w:val="left"/>
              <w:rPr/>
            </w:pPr>
            <w:r>
              <w:rPr>
                <w:spacing w:val="-2"/>
              </w:rPr>
              <w:t>- 50% of the remaining annual performance-based equity award for our CFO</w:t>
            </w:r>
            <w:r>
              <w:rPr/>
              <w:t xml:space="preserve"> </w:t>
            </w:r>
          </w:p>
        </w:tc>
        <w:tc>
          <w:tcPr>
            <w:tcW w:w="154" w:type="dxa"/>
            <w:tcBorders/>
            <w:shd w:fill="E9F9D8" w:val="clear"/>
            <w:vAlign w:val="center"/>
          </w:tcPr>
          <w:p>
            <w:pPr>
              <w:pStyle w:val="TableContents"/>
              <w:bidi w:val="0"/>
              <w:spacing w:before="0" w:after="283"/>
              <w:jc w:val="left"/>
              <w:rPr/>
            </w:pPr>
            <w:r>
              <w:rPr/>
              <w:t>​</w:t>
            </w:r>
          </w:p>
        </w:tc>
      </w:tr>
      <w:tr>
        <w:trPr/>
        <w:tc>
          <w:tcPr>
            <w:tcW w:w="124" w:type="dxa"/>
            <w:tcBorders/>
            <w:shd w:fill="E9F9D8" w:val="clear"/>
            <w:vAlign w:val="center"/>
          </w:tcPr>
          <w:p>
            <w:pPr>
              <w:pStyle w:val="TableContents"/>
              <w:bidi w:val="0"/>
              <w:spacing w:before="0" w:after="283"/>
              <w:jc w:val="left"/>
              <w:rPr/>
            </w:pPr>
            <w:r>
              <w:rPr/>
              <w:t>​</w:t>
            </w:r>
          </w:p>
        </w:tc>
        <w:tc>
          <w:tcPr>
            <w:tcW w:w="9027" w:type="dxa"/>
            <w:tcBorders/>
            <w:shd w:fill="E9F9D8" w:val="clear"/>
            <w:vAlign w:val="center"/>
          </w:tcPr>
          <w:p>
            <w:pPr>
              <w:pStyle w:val="TableContents"/>
              <w:bidi w:val="0"/>
              <w:spacing w:lineRule="atLeast" w:line="220" w:before="0" w:after="0"/>
              <w:jc w:val="left"/>
              <w:rPr/>
            </w:pPr>
            <w:r>
              <w:rPr>
                <w:spacing w:val="-2"/>
              </w:rPr>
              <w:t>Based on the new employment agreement with Mr. DiLiberto, all of his future performance equity incentives will be based on three-year performance periods. As such, 2025 is the last year that Mr. DiLiberto—or any NEO—is expected to receive annual equity awards with a performance period less than three years.</w:t>
            </w:r>
            <w:r>
              <w:rPr/>
              <w:t xml:space="preserve"> </w:t>
            </w:r>
          </w:p>
        </w:tc>
        <w:tc>
          <w:tcPr>
            <w:tcW w:w="154" w:type="dxa"/>
            <w:tcBorders/>
            <w:shd w:fill="E9F9D8" w:val="clear"/>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4330" w:type="dxa"/>
        <w:jc w:val="left"/>
        <w:tblInd w:w="900" w:type="dxa"/>
        <w:tblLayout w:type="fixed"/>
        <w:tblCellMar>
          <w:top w:w="0" w:type="dxa"/>
          <w:left w:w="0" w:type="dxa"/>
          <w:bottom w:w="0" w:type="dxa"/>
          <w:right w:w="0" w:type="dxa"/>
        </w:tblCellMar>
      </w:tblPr>
      <w:tblGrid>
        <w:gridCol w:w="124"/>
        <w:gridCol w:w="3488"/>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3488" w:type="dxa"/>
            <w:tcBorders/>
            <w:vAlign w:val="center"/>
          </w:tcPr>
          <w:p>
            <w:pPr>
              <w:pStyle w:val="TableContents"/>
              <w:bidi w:val="0"/>
              <w:spacing w:lineRule="atLeast" w:line="200" w:before="0" w:after="0"/>
              <w:jc w:val="left"/>
              <w:rPr/>
            </w:pPr>
            <w:r>
              <w:rPr>
                <w:spacing w:val="-2"/>
              </w:rPr>
              <w:t>EXECUTIVE COMPENSATION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color w:val="1F2668"/>
                <w:sz w:val="24"/>
              </w:rPr>
            </w:pPr>
            <w:r>
              <w:rPr>
                <w:color w:val="1F2668"/>
                <w:sz w:val="24"/>
              </w:rPr>
              <w:t>53</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20" w:before="560" w:after="154"/>
        <w:ind w:left="900" w:right="0" w:hanging="0"/>
        <w:jc w:val="left"/>
        <w:rPr>
          <w:rFonts w:ascii="Arial;Helvetica;sans-serif" w:hAnsi="Arial;Helvetica;sans-serif"/>
          <w:b/>
          <w:i w:val="false"/>
          <w:caps w:val="false"/>
          <w:smallCaps w:val="false"/>
          <w:color w:val="1F2668"/>
          <w:sz w:val="18"/>
        </w:rPr>
      </w:pPr>
      <w:r>
        <w:rPr>
          <w:rFonts w:ascii="Arial;Helvetica;sans-serif" w:hAnsi="Arial;Helvetica;sans-serif"/>
          <w:b/>
          <w:i w:val="false"/>
          <w:caps w:val="false"/>
          <w:smallCaps w:val="false"/>
          <w:color w:val="1F2668"/>
          <w:spacing w:val="-2"/>
          <w:sz w:val="18"/>
        </w:rPr>
        <w:t>Time-Based Equity Awards:</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Time-based equity awards are a retention tool that provide alignment between of the interests of our NEOs and our long-term stockholders. The time-based LTIP units granted to Mr. Holliday, Mr. DiLiberto and Mr. Levine for 2025 vest ratably over three years (Mr. Holliday and Mr. DiLiberto) and over two years (Mr. Levine) on January 1st of each year following the grant date, subject in each case to continued employment.</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The CEO’s new employment agreement was amended in June 2025 to clarify that the CEO’s annual time-based award is not guaranteed. The ultimate value is to be determined by the Committee based on prior-year performance, which is the case for all of our NEOs under their respective employment agreements.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As such, while all of our NEO’s employment agreements outline a target value for time-based equity awards, the actual granted value of time-based awards is based on the Committee’s assessment of performance in the prior fiscal year and can be more or less than the specified target amount.</w:t>
      </w:r>
      <w:r>
        <w:rPr>
          <w:rFonts w:ascii="Arial;Helvetica;sans-serif" w:hAnsi="Arial;Helvetica;sans-serif"/>
          <w:b w:val="false"/>
          <w:i w:val="false"/>
          <w:caps w:val="false"/>
          <w:smallCaps w:val="false"/>
          <w:color w:val="000000"/>
          <w:spacing w:val="4"/>
          <w:sz w:val="18"/>
        </w:rPr>
        <w:t xml:space="preserve"> </w:t>
      </w:r>
    </w:p>
    <w:tbl>
      <w:tblPr>
        <w:tblW w:w="9305" w:type="dxa"/>
        <w:jc w:val="left"/>
        <w:tblInd w:w="900" w:type="dxa"/>
        <w:tblLayout w:type="fixed"/>
        <w:tblCellMar>
          <w:top w:w="0" w:type="dxa"/>
          <w:left w:w="0" w:type="dxa"/>
          <w:bottom w:w="0" w:type="dxa"/>
          <w:right w:w="0" w:type="dxa"/>
        </w:tblCellMar>
      </w:tblPr>
      <w:tblGrid>
        <w:gridCol w:w="124"/>
        <w:gridCol w:w="9027"/>
        <w:gridCol w:w="154"/>
      </w:tblGrid>
      <w:tr>
        <w:trPr/>
        <w:tc>
          <w:tcPr>
            <w:tcW w:w="124" w:type="dxa"/>
            <w:tcBorders/>
            <w:shd w:fill="E9F9D8" w:val="clear"/>
            <w:vAlign w:val="center"/>
          </w:tcPr>
          <w:p>
            <w:pPr>
              <w:pStyle w:val="TableContents"/>
              <w:bidi w:val="0"/>
              <w:spacing w:before="0" w:after="283"/>
              <w:jc w:val="left"/>
              <w:rPr/>
            </w:pPr>
            <w:r>
              <w:rPr/>
              <w:t>​</w:t>
            </w:r>
          </w:p>
        </w:tc>
        <w:tc>
          <w:tcPr>
            <w:tcW w:w="9027" w:type="dxa"/>
            <w:tcBorders/>
            <w:shd w:fill="E9F9D8" w:val="clear"/>
            <w:vAlign w:val="center"/>
          </w:tcPr>
          <w:p>
            <w:pPr>
              <w:pStyle w:val="TableContents"/>
              <w:bidi w:val="0"/>
              <w:spacing w:lineRule="atLeast" w:line="220" w:before="0" w:after="0"/>
              <w:jc w:val="left"/>
              <w:rPr/>
            </w:pPr>
            <w:r>
              <w:rPr>
                <w:spacing w:val="-2"/>
              </w:rPr>
              <w:t>Based on the continued achievement of operational and strategic goals in fiscal 2024, the Committee approved the grant of annual time-based equity awards to our executives at the target amounts set forth in their respective employment agreements</w:t>
            </w:r>
            <w:r>
              <w:rPr>
                <w:b w:val="false"/>
                <w:spacing w:val="-2"/>
              </w:rPr>
              <w:t xml:space="preserve">. </w:t>
            </w:r>
            <w:r>
              <w:rPr>
                <w:spacing w:val="-2"/>
              </w:rPr>
              <w:t>In the case of Mr. Holliday, the Committee also considered his role as Interim President during 2025.</w:t>
            </w:r>
            <w:r>
              <w:rPr/>
              <w:t xml:space="preserve"> </w:t>
            </w:r>
          </w:p>
        </w:tc>
        <w:tc>
          <w:tcPr>
            <w:tcW w:w="154" w:type="dxa"/>
            <w:tcBorders/>
            <w:shd w:fill="E9F9D8" w:val="clear"/>
            <w:vAlign w:val="center"/>
          </w:tcPr>
          <w:p>
            <w:pPr>
              <w:pStyle w:val="TableContents"/>
              <w:bidi w:val="0"/>
              <w:spacing w:before="0" w:after="283"/>
              <w:jc w:val="left"/>
              <w:rPr/>
            </w:pPr>
            <w:r>
              <w:rPr/>
              <w:t>​</w:t>
            </w:r>
          </w:p>
        </w:tc>
      </w:tr>
    </w:tbl>
    <w:p>
      <w:pPr>
        <w:pStyle w:val="TextBody"/>
        <w:bidi w:val="0"/>
        <w:spacing w:lineRule="atLeast" w:line="230" w:before="153" w:after="283"/>
        <w:ind w:left="9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i w:val="false"/>
          <w:caps w:val="false"/>
          <w:smallCaps w:val="false"/>
          <w:color w:val="83AD40"/>
          <w:spacing w:val="-2"/>
          <w:sz w:val="18"/>
        </w:rPr>
        <w:t>CEO Outperformance Modifier.</w:t>
      </w:r>
      <w:r>
        <w:rPr>
          <w:rFonts w:ascii="Arial;Helvetica;sans-serif" w:hAnsi="Arial;Helvetica;sans-serif"/>
          <w:b w:val="false"/>
          <w:i w:val="false"/>
          <w:caps w:val="false"/>
          <w:smallCaps w:val="false"/>
          <w:color w:val="000000"/>
          <w:spacing w:val="-2"/>
          <w:sz w:val="18"/>
        </w:rPr>
        <w:t xml:space="preserve"> The annual time-based equity award granted to our CEO includes an operational outperformance modifier (the “Outperformance Modifier”), which can increase the base award, to the extent fully vested, based on the achievement of three-year operational or financial goals. The increase to the award, if any, is 50% (at threshold), 100% (at target) and up to 200% (at maximum), subject to linear interpolation between performance levels.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The Outperformance Modifier incorporates Company performance against the same five objective criteria over a three-year performance period as the awards granted to our General Counsel. The specific metrics and weights are disclosed in the section above titled “2025 Three-Year Operational Equity Incentive.”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 xml:space="preserve">The Outperformance Modifier may only be earned if the corresponding time-based award becomes fully vested, otherwise the Outperformance Modifier is forfeited. As of December 31, 2025, based on our one-year performance of operational goals set forth in the section above titled “2025 Three-Year Operational Equity Incentive,” and assuming full vesting of his time-based award, the Outperformance Modifier would have been earned at </w:t>
      </w:r>
      <w:r>
        <w:rPr>
          <w:rFonts w:ascii="Arial;Helvetica;sans-serif" w:hAnsi="Arial;Helvetica;sans-serif"/>
          <w:b/>
          <w:i w:val="false"/>
          <w:caps w:val="false"/>
          <w:smallCaps w:val="false"/>
          <w:color w:val="000000"/>
          <w:spacing w:val="-2"/>
          <w:sz w:val="18"/>
        </w:rPr>
        <w:t>an estimated 112% of target</w:t>
      </w:r>
      <w:r>
        <w:rPr>
          <w:rFonts w:ascii="Arial;Helvetica;sans-serif" w:hAnsi="Arial;Helvetica;sans-serif"/>
          <w:b w:val="false"/>
          <w:i w:val="false"/>
          <w:caps w:val="false"/>
          <w:smallCaps w:val="false"/>
          <w:color w:val="000000"/>
          <w:spacing w:val="-2"/>
          <w:sz w:val="18"/>
        </w:rPr>
        <w:t>.</w:t>
      </w:r>
      <w:r>
        <w:rPr>
          <w:rFonts w:ascii="Arial;Helvetica;sans-serif" w:hAnsi="Arial;Helvetica;sans-serif"/>
          <w:b w:val="false"/>
          <w:i w:val="false"/>
          <w:caps w:val="false"/>
          <w:smallCaps w:val="false"/>
          <w:color w:val="000000"/>
          <w:spacing w:val="4"/>
          <w:sz w:val="18"/>
        </w:rPr>
        <w:t xml:space="preserve"> </w:t>
      </w:r>
    </w:p>
    <w:tbl>
      <w:tblPr>
        <w:tblW w:w="9305" w:type="dxa"/>
        <w:jc w:val="left"/>
        <w:tblInd w:w="900" w:type="dxa"/>
        <w:tblLayout w:type="fixed"/>
        <w:tblCellMar>
          <w:top w:w="0" w:type="dxa"/>
          <w:left w:w="0" w:type="dxa"/>
          <w:bottom w:w="0" w:type="dxa"/>
          <w:right w:w="0" w:type="dxa"/>
        </w:tblCellMar>
      </w:tblPr>
      <w:tblGrid>
        <w:gridCol w:w="124"/>
        <w:gridCol w:w="9027"/>
        <w:gridCol w:w="154"/>
      </w:tblGrid>
      <w:tr>
        <w:trPr/>
        <w:tc>
          <w:tcPr>
            <w:tcW w:w="124" w:type="dxa"/>
            <w:tcBorders/>
            <w:shd w:fill="E9F9D8" w:val="clear"/>
            <w:vAlign w:val="center"/>
          </w:tcPr>
          <w:p>
            <w:pPr>
              <w:pStyle w:val="TableContents"/>
              <w:bidi w:val="0"/>
              <w:spacing w:before="0" w:after="283"/>
              <w:jc w:val="left"/>
              <w:rPr/>
            </w:pPr>
            <w:r>
              <w:rPr/>
              <w:t>​</w:t>
            </w:r>
          </w:p>
        </w:tc>
        <w:tc>
          <w:tcPr>
            <w:tcW w:w="9027" w:type="dxa"/>
            <w:tcBorders/>
            <w:shd w:fill="E9F9D8" w:val="clear"/>
            <w:vAlign w:val="center"/>
          </w:tcPr>
          <w:p>
            <w:pPr>
              <w:pStyle w:val="TableContents"/>
              <w:bidi w:val="0"/>
              <w:spacing w:lineRule="atLeast" w:line="220" w:before="0" w:after="0"/>
              <w:jc w:val="left"/>
              <w:rPr/>
            </w:pPr>
            <w:r>
              <w:rPr>
                <w:spacing w:val="-2"/>
              </w:rPr>
              <w:t xml:space="preserve">The Compensation </w:t>
            </w:r>
            <w:r>
              <w:rPr>
                <w:b/>
                <w:spacing w:val="-2"/>
              </w:rPr>
              <w:t>Committee added the Outperformance Modifier to our CEO’s time-based equity awards recognizing the importance of ensuring management’s focus on long-term financial and operational performance as a key driver to sustainable stockholder value creation</w:t>
            </w:r>
            <w:r>
              <w:rPr>
                <w:spacing w:val="-2"/>
              </w:rPr>
              <w:t>. The Outperformance Modifier metrics are aligned with the three-year performance goals in the performance-based equity incentives to our General Counsel for 2025.</w:t>
            </w:r>
            <w:r>
              <w:rPr/>
              <w:t xml:space="preserve"> </w:t>
            </w:r>
          </w:p>
        </w:tc>
        <w:tc>
          <w:tcPr>
            <w:tcW w:w="154" w:type="dxa"/>
            <w:tcBorders/>
            <w:shd w:fill="E9F9D8" w:val="clear"/>
            <w:vAlign w:val="center"/>
          </w:tcPr>
          <w:p>
            <w:pPr>
              <w:pStyle w:val="TableContents"/>
              <w:bidi w:val="0"/>
              <w:spacing w:before="0" w:after="283"/>
              <w:jc w:val="left"/>
              <w:rPr/>
            </w:pPr>
            <w:r>
              <w:rPr/>
              <w:t>​</w:t>
            </w:r>
          </w:p>
        </w:tc>
      </w:tr>
    </w:tbl>
    <w:p>
      <w:pPr>
        <w:pStyle w:val="TextBody"/>
        <w:bidi w:val="0"/>
        <w:spacing w:lineRule="atLeast" w:line="220" w:before="153" w:after="283"/>
        <w:ind w:left="900" w:right="0" w:hanging="0"/>
        <w:jc w:val="left"/>
        <w:rPr>
          <w:rFonts w:ascii="Arial;Helvetica;sans-serif" w:hAnsi="Arial;Helvetica;sans-serif"/>
          <w:b/>
          <w:i w:val="false"/>
          <w:caps w:val="false"/>
          <w:smallCaps w:val="false"/>
          <w:color w:val="1F2668"/>
          <w:sz w:val="18"/>
        </w:rPr>
      </w:pPr>
      <w:r>
        <w:rPr>
          <w:rFonts w:ascii="Arial;Helvetica;sans-serif" w:hAnsi="Arial;Helvetica;sans-serif"/>
          <w:b/>
          <w:i w:val="false"/>
          <w:caps w:val="false"/>
          <w:smallCaps w:val="false"/>
          <w:color w:val="1F2668"/>
          <w:spacing w:val="-2"/>
          <w:sz w:val="18"/>
        </w:rPr>
        <w:t>OPPORTUNISTIC DEBT FUND INCENTIVES</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Our NEOs have carried interests in the Company’s opportunistic debt fund (the “Fund”) that are contingent on the profitability of the Fund. The Fund’s investment strategy is to capitalize on market dislocations in high-quality New York City commercial assets. The Company is an investor in the Fund, and serves as the general partner of the Fund. The Fund has $1.3 billion in committed capital.</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The Fund’s incentive structure aligns the interests of the NEOs with those of the Company’s stockholders and the Fund’s external investors. This alignment is achieved through a performance-based framework that ensures incentive distributions are earned only after meeting rigorous financial thresholds. All Fund investors, including the Company, must receive an internal rate of return (IRR) sufficient to satisfy the applicable hurdle rate before any carried interest is payable to the NEOs. The Fund’s hurdle rates are comparable to the returns commonly required by investors in similar funds. The Committee anticipates that any carried interest distribution to NEOs, if realized, will not occur for several years.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Carried interest arrangements for fund management professionals are common and expected by institutional fund investors to align the interests of fund managers with investment performance. These performance-based incentives ensure that the NEOs participate in the Fund’s success only after investors have received their committed capital and preferred returns, thereby mitigating excessive risk-taking and encouraging long-term value creation.</w:t>
      </w:r>
      <w:r>
        <w:rPr>
          <w:rFonts w:ascii="Arial;Helvetica;sans-serif" w:hAnsi="Arial;Helvetica;sans-serif"/>
          <w:b w:val="false"/>
          <w:i w:val="false"/>
          <w:caps w:val="false"/>
          <w:smallCaps w:val="false"/>
          <w:color w:val="000000"/>
          <w:spacing w:val="4"/>
          <w:sz w:val="18"/>
        </w:rPr>
        <w:t xml:space="preserve"> </w:t>
      </w:r>
    </w:p>
    <w:tbl>
      <w:tblPr>
        <w:tblW w:w="9305" w:type="dxa"/>
        <w:jc w:val="left"/>
        <w:tblInd w:w="900" w:type="dxa"/>
        <w:tblLayout w:type="fixed"/>
        <w:tblCellMar>
          <w:top w:w="0" w:type="dxa"/>
          <w:left w:w="0" w:type="dxa"/>
          <w:bottom w:w="0" w:type="dxa"/>
          <w:right w:w="0" w:type="dxa"/>
        </w:tblCellMar>
      </w:tblPr>
      <w:tblGrid>
        <w:gridCol w:w="124"/>
        <w:gridCol w:w="9027"/>
        <w:gridCol w:w="154"/>
      </w:tblGrid>
      <w:tr>
        <w:trPr/>
        <w:tc>
          <w:tcPr>
            <w:tcW w:w="124" w:type="dxa"/>
            <w:tcBorders/>
            <w:shd w:fill="E9F9D8" w:val="clear"/>
            <w:vAlign w:val="center"/>
          </w:tcPr>
          <w:p>
            <w:pPr>
              <w:pStyle w:val="TableContents"/>
              <w:bidi w:val="0"/>
              <w:spacing w:before="0" w:after="283"/>
              <w:jc w:val="left"/>
              <w:rPr/>
            </w:pPr>
            <w:r>
              <w:rPr/>
              <w:t>​</w:t>
            </w:r>
          </w:p>
        </w:tc>
        <w:tc>
          <w:tcPr>
            <w:tcW w:w="9027" w:type="dxa"/>
            <w:tcBorders/>
            <w:shd w:fill="E9F9D8" w:val="clear"/>
            <w:vAlign w:val="center"/>
          </w:tcPr>
          <w:p>
            <w:pPr>
              <w:pStyle w:val="TableContents"/>
              <w:bidi w:val="0"/>
              <w:spacing w:lineRule="atLeast" w:line="220" w:before="0" w:after="0"/>
              <w:jc w:val="left"/>
              <w:rPr/>
            </w:pPr>
            <w:r>
              <w:rPr>
                <w:spacing w:val="-2"/>
              </w:rPr>
              <w:t xml:space="preserve">The Fund’s incentive program was designed following a review of alternative compensation structures used by companies that operate similar funds. </w:t>
            </w:r>
            <w:r>
              <w:rPr>
                <w:b/>
                <w:spacing w:val="-2"/>
              </w:rPr>
              <w:t>These incentives are performance-based, and will be paid ONLY IF the applicable performance conditions are satisfied. The Committee approved these incentives determining they are strongly aligned with long-term stockholder value creation</w:t>
            </w:r>
            <w:r>
              <w:rPr>
                <w:spacing w:val="-2"/>
              </w:rPr>
              <w:t>.</w:t>
            </w:r>
            <w:r>
              <w:rPr/>
              <w:t xml:space="preserve"> </w:t>
            </w:r>
          </w:p>
        </w:tc>
        <w:tc>
          <w:tcPr>
            <w:tcW w:w="154" w:type="dxa"/>
            <w:tcBorders/>
            <w:shd w:fill="E9F9D8" w:val="clear"/>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225" w:type="dxa"/>
        <w:jc w:val="left"/>
        <w:tblInd w:w="900" w:type="dxa"/>
        <w:tblLayout w:type="fixed"/>
        <w:tblCellMar>
          <w:top w:w="0" w:type="dxa"/>
          <w:left w:w="0" w:type="dxa"/>
          <w:bottom w:w="0" w:type="dxa"/>
          <w:right w:w="0" w:type="dxa"/>
        </w:tblCellMar>
      </w:tblPr>
      <w:tblGrid>
        <w:gridCol w:w="124"/>
        <w:gridCol w:w="346"/>
        <w:gridCol w:w="109"/>
        <w:gridCol w:w="109"/>
        <w:gridCol w:w="4383"/>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54</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383" w:type="dxa"/>
            <w:tcBorders/>
            <w:vAlign w:val="center"/>
          </w:tcPr>
          <w:p>
            <w:pPr>
              <w:pStyle w:val="TableContents"/>
              <w:bidi w:val="0"/>
              <w:spacing w:lineRule="atLeast" w:line="200" w:before="0" w:after="0"/>
              <w:jc w:val="left"/>
              <w:rPr/>
            </w:pPr>
            <w:r>
              <w:rPr>
                <w:spacing w:val="-2"/>
              </w:rPr>
              <w:t>    </w:t>
            </w:r>
            <w:r>
              <w:rPr>
                <w:spacing w:val="-2"/>
                <w:sz w:val="16"/>
              </w:rPr>
              <w:t>SL GREEN REALTY CORP. 2026 PROXY STATEMENT</w:t>
            </w:r>
            <w:r>
              <w:rPr>
                <w:sz w:val="16"/>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20" w:before="560" w:after="154"/>
        <w:ind w:left="900" w:right="0" w:hanging="0"/>
        <w:jc w:val="left"/>
        <w:rPr>
          <w:rFonts w:ascii="Arial;Helvetica;sans-serif" w:hAnsi="Arial;Helvetica;sans-serif"/>
          <w:b/>
          <w:i w:val="false"/>
          <w:caps w:val="false"/>
          <w:smallCaps w:val="false"/>
          <w:color w:val="1F2668"/>
          <w:sz w:val="18"/>
        </w:rPr>
      </w:pPr>
      <w:r>
        <w:rPr>
          <w:rFonts w:ascii="Arial;Helvetica;sans-serif" w:hAnsi="Arial;Helvetica;sans-serif"/>
          <w:b/>
          <w:i w:val="false"/>
          <w:caps w:val="false"/>
          <w:smallCaps w:val="false"/>
          <w:color w:val="1F2668"/>
          <w:spacing w:val="-2"/>
          <w:sz w:val="18"/>
        </w:rPr>
        <w:t>CASINO INCENTIVE (Legacy)</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As part of his employment agreement, Mr. Holliday was eligible to receive a cash incentive of $10.0 million only if (i) the building at 1515 Broadway, New York, New York was redeveloped into a hotel/casino, and (ii) the completed project commenced operating revenue and achieved a specific projected EBITDA milestone. As New York State did not approve our gaming license application, this incentive is no longer applicable.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300" w:before="360" w:after="283"/>
        <w:jc w:val="left"/>
        <w:rPr>
          <w:rFonts w:ascii="Arial;Helvetica;sans-serif" w:hAnsi="Arial;Helvetica;sans-serif"/>
          <w:b/>
          <w:i w:val="false"/>
          <w:caps w:val="false"/>
          <w:smallCaps w:val="false"/>
          <w:color w:val="1F2668"/>
          <w:sz w:val="26"/>
        </w:rPr>
      </w:pPr>
      <w:r>
        <w:rPr>
          <w:rFonts w:ascii="Arial;Helvetica;sans-serif" w:hAnsi="Arial;Helvetica;sans-serif"/>
          <w:b/>
          <w:i w:val="false"/>
          <w:caps w:val="false"/>
          <w:smallCaps w:val="false"/>
          <w:color w:val="1F2668"/>
          <w:spacing w:val="-3"/>
          <w:sz w:val="26"/>
        </w:rPr>
        <w:t>2025 NEO Scorecards</w:t>
      </w:r>
      <w:r>
        <w:rPr>
          <w:rFonts w:ascii="Arial;Helvetica;sans-serif" w:hAnsi="Arial;Helvetica;sans-serif"/>
          <w:b/>
          <w:i w:val="false"/>
          <w:caps w:val="false"/>
          <w:smallCaps w:val="false"/>
          <w:color w:val="000000"/>
          <w:spacing w:val="5"/>
          <w:sz w:val="26"/>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The following scorecards summarize each element of compensation received by our NEOs for 2025 as of December 31, 2025.</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For purposes of framing the compensation decisions and pay outcomes, we present the “Total Direct Compensation,” or TDC, amounts awarded for 2025 and contrast such amounts to SEC-mandated disclosure rules for the Summary Compensation Table, or SCT, for 2025. We believe this presentation provides investors with a clearer understanding of the compensation decisions made by the Committee.</w:t>
      </w:r>
      <w:r>
        <w:rPr>
          <w:rFonts w:ascii="Arial;Helvetica;sans-serif" w:hAnsi="Arial;Helvetica;sans-serif"/>
          <w:b w:val="false"/>
          <w:i w:val="false"/>
          <w:caps w:val="false"/>
          <w:smallCaps w:val="false"/>
          <w:color w:val="000000"/>
          <w:spacing w:val="4"/>
          <w:sz w:val="18"/>
        </w:rPr>
        <w:t xml:space="preserve"> </w:t>
      </w:r>
    </w:p>
    <w:tbl>
      <w:tblPr>
        <w:tblW w:w="9305" w:type="dxa"/>
        <w:jc w:val="left"/>
        <w:tblInd w:w="900" w:type="dxa"/>
        <w:tblLayout w:type="fixed"/>
        <w:tblCellMar>
          <w:top w:w="0" w:type="dxa"/>
          <w:left w:w="0" w:type="dxa"/>
          <w:bottom w:w="0" w:type="dxa"/>
          <w:right w:w="0" w:type="dxa"/>
        </w:tblCellMar>
      </w:tblPr>
      <w:tblGrid>
        <w:gridCol w:w="124"/>
        <w:gridCol w:w="9027"/>
        <w:gridCol w:w="154"/>
      </w:tblGrid>
      <w:tr>
        <w:trPr/>
        <w:tc>
          <w:tcPr>
            <w:tcW w:w="124" w:type="dxa"/>
            <w:tcBorders/>
            <w:shd w:fill="E9F9D8" w:val="clear"/>
            <w:vAlign w:val="center"/>
          </w:tcPr>
          <w:p>
            <w:pPr>
              <w:pStyle w:val="TableContents"/>
              <w:bidi w:val="0"/>
              <w:spacing w:before="0" w:after="283"/>
              <w:jc w:val="left"/>
              <w:rPr/>
            </w:pPr>
            <w:r>
              <w:rPr/>
              <w:t>​</w:t>
            </w:r>
          </w:p>
        </w:tc>
        <w:tc>
          <w:tcPr>
            <w:tcW w:w="9027" w:type="dxa"/>
            <w:tcBorders/>
            <w:shd w:fill="E9F9D8" w:val="clear"/>
            <w:vAlign w:val="center"/>
          </w:tcPr>
          <w:p>
            <w:pPr>
              <w:pStyle w:val="TableContents"/>
              <w:bidi w:val="0"/>
              <w:spacing w:lineRule="atLeast" w:line="220" w:before="0" w:after="0"/>
              <w:jc w:val="left"/>
              <w:rPr/>
            </w:pPr>
            <w:r>
              <w:rPr>
                <w:spacing w:val="-2"/>
              </w:rPr>
              <w:t>Due to the timing and required reporting of certain elements of our compensation program, the 2025 Total Direct Compensation of our NEOs, which reflects the amounts actually approved by the Committee, is different than the compensation reported in the Summary Compensation Table.</w:t>
            </w:r>
            <w:r>
              <w:rPr/>
              <w:t xml:space="preserve"> </w:t>
            </w:r>
          </w:p>
        </w:tc>
        <w:tc>
          <w:tcPr>
            <w:tcW w:w="154" w:type="dxa"/>
            <w:tcBorders/>
            <w:shd w:fill="E9F9D8" w:val="clear"/>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4330" w:type="dxa"/>
        <w:jc w:val="left"/>
        <w:tblInd w:w="900" w:type="dxa"/>
        <w:tblLayout w:type="fixed"/>
        <w:tblCellMar>
          <w:top w:w="0" w:type="dxa"/>
          <w:left w:w="0" w:type="dxa"/>
          <w:bottom w:w="0" w:type="dxa"/>
          <w:right w:w="0" w:type="dxa"/>
        </w:tblCellMar>
      </w:tblPr>
      <w:tblGrid>
        <w:gridCol w:w="124"/>
        <w:gridCol w:w="3488"/>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3488" w:type="dxa"/>
            <w:tcBorders/>
            <w:vAlign w:val="center"/>
          </w:tcPr>
          <w:p>
            <w:pPr>
              <w:pStyle w:val="TableContents"/>
              <w:bidi w:val="0"/>
              <w:spacing w:lineRule="atLeast" w:line="200" w:before="0" w:after="0"/>
              <w:jc w:val="left"/>
              <w:rPr/>
            </w:pPr>
            <w:r>
              <w:rPr>
                <w:spacing w:val="-2"/>
              </w:rPr>
              <w:t>EXECUTIVE COMPENSATION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color w:val="1F2668"/>
                <w:sz w:val="24"/>
              </w:rPr>
            </w:pPr>
            <w:r>
              <w:rPr>
                <w:color w:val="1F2668"/>
                <w:sz w:val="24"/>
              </w:rPr>
              <w:t>55</w:t>
            </w:r>
          </w:p>
        </w:tc>
        <w:tc>
          <w:tcPr>
            <w:tcW w:w="154" w:type="dxa"/>
            <w:tcBorders/>
            <w:vAlign w:val="center"/>
          </w:tcPr>
          <w:p>
            <w:pPr>
              <w:pStyle w:val="TableContents"/>
              <w:bidi w:val="0"/>
              <w:spacing w:before="0" w:after="283"/>
              <w:jc w:val="left"/>
              <w:rPr/>
            </w:pPr>
            <w:r>
              <w:rPr/>
              <w:t>​</w:t>
            </w:r>
          </w:p>
        </w:tc>
      </w:tr>
    </w:tbl>
    <w:p>
      <w:pPr>
        <w:pStyle w:val="TextBody"/>
        <w:bidi w:val="0"/>
        <w:spacing w:before="0" w:after="1379"/>
        <w:ind w:left="900" w:right="0" w:hanging="0"/>
        <w:jc w:val="left"/>
        <w:rPr>
          <w:caps w:val="false"/>
          <w:smallCaps w:val="false"/>
          <w:color w:val="000000"/>
        </w:rPr>
      </w:pPr>
      <w:r>
        <w:rPr>
          <w:caps w:val="false"/>
          <w:smallCaps w:val="false"/>
          <w:color w:val="000000"/>
        </w:rPr>
        <w:t>​</w:t>
      </w:r>
      <w:r>
        <mc:AlternateContent>
          <mc:Choice Requires="wps">
            <w:drawing>
              <wp:anchor behindDoc="0" distT="0" distB="0" distL="571500" distR="0" simplePos="0" locked="0" layoutInCell="1" allowOverlap="1" relativeHeight="232">
                <wp:simplePos x="0" y="0"/>
                <wp:positionH relativeFrom="column">
                  <wp:align>left</wp:align>
                </wp:positionH>
                <wp:positionV relativeFrom="line">
                  <wp:posOffset>635</wp:posOffset>
                </wp:positionV>
                <wp:extent cx="1790700" cy="7677150"/>
                <wp:effectExtent l="0" t="0" r="0" b="0"/>
                <wp:wrapSquare wrapText="right"/>
                <wp:docPr id="702" name="Frame385"/>
                <a:graphic xmlns:a="http://schemas.openxmlformats.org/drawingml/2006/main">
                  <a:graphicData uri="http://schemas.microsoft.com/office/word/2010/wordprocessingShape">
                    <wps:wsp>
                      <wps:cNvSpPr txBox="1"/>
                      <wps:spPr>
                        <a:xfrm>
                          <a:off x="0" y="0"/>
                          <a:ext cx="1790700" cy="7677150"/>
                        </a:xfrm>
                        <a:prstGeom prst="rect"/>
                        <a:solidFill>
                          <a:srgbClr val="FFFFFF"/>
                        </a:solidFill>
                      </wps:spPr>
                      <wps:txbx>
                        <w:txbxContent>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10205" w:type="dxa"/>
                              <w:jc w:val="left"/>
                              <w:tblInd w:w="0" w:type="dxa"/>
                              <w:tblLayout w:type="fixed"/>
                              <w:tblCellMar>
                                <w:top w:w="0" w:type="dxa"/>
                                <w:left w:w="0" w:type="dxa"/>
                                <w:bottom w:w="0" w:type="dxa"/>
                                <w:right w:w="0" w:type="dxa"/>
                              </w:tblCellMar>
                            </w:tblPr>
                            <w:tblGrid>
                              <w:gridCol w:w="124"/>
                              <w:gridCol w:w="109"/>
                              <w:gridCol w:w="97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709" w:type="dxa"/>
                                  <w:tcBorders/>
                                  <w:shd w:fill="1F2668" w:val="clear"/>
                                  <w:vAlign w:val="center"/>
                                </w:tcPr>
                                <w:p>
                                  <w:pPr>
                                    <w:pStyle w:val="TableContents"/>
                                    <w:bidi w:val="0"/>
                                    <w:spacing w:lineRule="atLeast" w:line="300" w:before="0" w:after="0"/>
                                    <w:ind w:left="0" w:right="160" w:hanging="0"/>
                                    <w:jc w:val="left"/>
                                    <w:rPr>
                                      <w:b/>
                                      <w:sz w:val="26"/>
                                    </w:rPr>
                                  </w:pPr>
                                  <w:r>
                                    <w:rPr>
                                      <w:b/>
                                      <w:spacing w:val="-3"/>
                                      <w:sz w:val="26"/>
                                    </w:rPr>
                                    <w:t xml:space="preserve">MARC </w:t>
                                    <w:br/>
                                    <w:t>HOLLIDAY</w:t>
                                  </w:r>
                                  <w:r>
                                    <w:rPr>
                                      <w:b/>
                                      <w:sz w:val="26"/>
                                    </w:rPr>
                                    <w:t xml:space="preserve"> </w:t>
                                  </w:r>
                                </w:p>
                                <w:p>
                                  <w:pPr>
                                    <w:pStyle w:val="TableContents"/>
                                    <w:bidi w:val="0"/>
                                    <w:spacing w:before="126" w:after="283"/>
                                    <w:ind w:left="0" w:right="160" w:hanging="0"/>
                                    <w:jc w:val="center"/>
                                    <w:rPr/>
                                  </w:pPr>
                                  <w:r>
                                    <w:rPr/>
                                    <w:drawing>
                                      <wp:inline distT="0" distB="0" distL="0" distR="0">
                                        <wp:extent cx="1209675" cy="1457325"/>
                                        <wp:effectExtent l="0" t="0" r="0" b="0"/>
                                        <wp:docPr id="703" name="Image2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3" name="Image234" descr=""/>
                                                <pic:cNvPicPr>
                                                  <a:picLocks noChangeAspect="1" noChangeArrowheads="1"/>
                                                </pic:cNvPicPr>
                                              </pic:nvPicPr>
                                              <pic:blipFill>
                                                <a:blip r:embed="rId325"/>
                                                <a:stretch>
                                                  <a:fillRect/>
                                                </a:stretch>
                                              </pic:blipFill>
                                              <pic:spPr bwMode="auto">
                                                <a:xfrm>
                                                  <a:off x="0" y="0"/>
                                                  <a:ext cx="1209675" cy="1457325"/>
                                                </a:xfrm>
                                                <a:prstGeom prst="rect">
                                                  <a:avLst/>
                                                </a:prstGeom>
                                              </pic:spPr>
                                            </pic:pic>
                                          </a:graphicData>
                                        </a:graphic>
                                      </wp:inline>
                                    </w:drawing>
                                  </w:r>
                                  <w:r>
                                    <w:rPr/>
                                    <w:t xml:space="preserve"> </w:t>
                                  </w:r>
                                </w:p>
                                <w:p>
                                  <w:pPr>
                                    <w:pStyle w:val="TableContents"/>
                                    <w:bidi w:val="0"/>
                                    <w:spacing w:lineRule="atLeast" w:line="162" w:before="204" w:after="283"/>
                                    <w:ind w:left="0" w:right="160" w:hanging="0"/>
                                    <w:jc w:val="left"/>
                                    <w:rPr>
                                      <w:b/>
                                    </w:rPr>
                                  </w:pPr>
                                  <w:r>
                                    <w:rPr>
                                      <w:b/>
                                      <w:spacing w:val="-2"/>
                                    </w:rPr>
                                    <w:t>Chief Executive Officer and Chairman of the Board</w:t>
                                  </w:r>
                                  <w:r>
                                    <w:rPr>
                                      <w:b/>
                                    </w:rPr>
                                    <w:t xml:space="preserve"> </w:t>
                                  </w:r>
                                </w:p>
                                <w:p>
                                  <w:pPr>
                                    <w:pStyle w:val="TableContents"/>
                                    <w:bidi w:val="0"/>
                                    <w:spacing w:lineRule="atLeast" w:line="162" w:before="106" w:after="283"/>
                                    <w:ind w:left="0" w:right="160" w:hanging="0"/>
                                    <w:jc w:val="left"/>
                                    <w:rPr/>
                                  </w:pPr>
                                  <w:r>
                                    <w:rPr>
                                      <w:spacing w:val="-2"/>
                                    </w:rPr>
                                    <w:t>Mr. Holliday’s 2025 compensation exemplifies our pay-for-performance philosophy and recognizes the critical leadership role he played in delivering strong operational results, balance-sheet optimization and strategic execution, each advancing the Company’s long-term strategy despite a challenging macroeconomic environment.</w:t>
                                  </w:r>
                                  <w:r>
                                    <w:rPr/>
                                    <w:t xml:space="preserve"> </w:t>
                                  </w:r>
                                </w:p>
                                <w:p>
                                  <w:pPr>
                                    <w:pStyle w:val="TableContents"/>
                                    <w:bidi w:val="0"/>
                                    <w:spacing w:lineRule="atLeast" w:line="162" w:before="106" w:after="283"/>
                                    <w:ind w:left="0" w:right="160" w:hanging="0"/>
                                    <w:jc w:val="left"/>
                                    <w:rPr/>
                                  </w:pPr>
                                  <w:r>
                                    <w:rPr>
                                      <w:spacing w:val="-2"/>
                                    </w:rPr>
                                    <w:t>Under Mr. Holliday’s leadership, the Company advanced multiple transformational goals in 2025, including the following achievements:</w:t>
                                  </w:r>
                                  <w:r>
                                    <w:rPr/>
                                    <w:t xml:space="preserve"> </w:t>
                                  </w:r>
                                </w:p>
                                <w:p>
                                  <w:pPr>
                                    <w:pStyle w:val="TableContents"/>
                                    <w:bidi w:val="0"/>
                                    <w:spacing w:lineRule="atLeast" w:line="162" w:before="126" w:after="0"/>
                                    <w:ind w:left="180" w:right="160" w:hanging="0"/>
                                    <w:jc w:val="left"/>
                                    <w:rPr>
                                      <w:b/>
                                      <w:spacing w:val="-2"/>
                                    </w:rPr>
                                  </w:pPr>
                                  <w:r>
                                    <w:rPr>
                                      <w:b/>
                                      <w:spacing w:val="-2"/>
                                    </w:rPr>
                                    <w:t xml:space="preserve">outstanding operating performance, highlighted by the signing of approximately 2.5 million square feet of Manhattan office space and positive mark-to-market leasing; </w:t>
                                  </w:r>
                                </w:p>
                                <w:p>
                                  <w:pPr>
                                    <w:pStyle w:val="TableContents"/>
                                    <w:bidi w:val="0"/>
                                    <w:spacing w:before="0" w:after="0"/>
                                    <w:ind w:left="0" w:right="0" w:hanging="0"/>
                                    <w:jc w:val="left"/>
                                    <w:rPr/>
                                  </w:pPr>
                                  <w:r>
                                    <w:rPr/>
                                    <w:t>​</w:t>
                                  </w:r>
                                </w:p>
                                <w:p>
                                  <w:pPr>
                                    <w:pStyle w:val="TableContents"/>
                                    <w:bidi w:val="0"/>
                                    <w:spacing w:lineRule="atLeast" w:line="162" w:before="126" w:after="0"/>
                                    <w:ind w:left="180" w:right="160" w:hanging="0"/>
                                    <w:jc w:val="left"/>
                                    <w:rPr>
                                      <w:b/>
                                    </w:rPr>
                                  </w:pPr>
                                  <w:r>
                                    <w:rPr>
                                      <w:b/>
                                      <w:spacing w:val="-2"/>
                                    </w:rPr>
                                    <w:t>disciplined capital allocation and balance sheet management; strategic portfolio growth and repositioning through $1 billion of acquisitions; execution at flagship assets; and</w:t>
                                  </w:r>
                                  <w:r>
                                    <w:rPr>
                                      <w:b/>
                                    </w:rPr>
                                    <w:t xml:space="preserve"> </w:t>
                                  </w:r>
                                </w:p>
                                <w:p>
                                  <w:pPr>
                                    <w:pStyle w:val="TableContents"/>
                                    <w:bidi w:val="0"/>
                                    <w:spacing w:before="0" w:after="0"/>
                                    <w:ind w:left="0" w:right="0" w:hanging="0"/>
                                    <w:jc w:val="left"/>
                                    <w:rPr/>
                                  </w:pPr>
                                  <w:r>
                                    <w:rPr/>
                                    <w:t>​</w:t>
                                  </w:r>
                                </w:p>
                                <w:p>
                                  <w:pPr>
                                    <w:pStyle w:val="TableContents"/>
                                    <w:bidi w:val="0"/>
                                    <w:spacing w:lineRule="atLeast" w:line="162" w:before="126" w:after="0"/>
                                    <w:ind w:left="180" w:right="160" w:hanging="0"/>
                                    <w:jc w:val="left"/>
                                    <w:rPr>
                                      <w:b/>
                                    </w:rPr>
                                  </w:pPr>
                                  <w:r>
                                    <w:rPr>
                                      <w:b/>
                                      <w:spacing w:val="-2"/>
                                    </w:rPr>
                                    <w:t>expanding the fee-based business</w:t>
                                  </w:r>
                                  <w:r>
                                    <w:rPr>
                                      <w:b w:val="false"/>
                                      <w:spacing w:val="-2"/>
                                    </w:rPr>
                                    <w:t>.</w:t>
                                  </w:r>
                                  <w:r>
                                    <w:rPr>
                                      <w:b/>
                                    </w:rPr>
                                    <w:t xml:space="preserve"> </w:t>
                                  </w:r>
                                </w:p>
                                <w:p>
                                  <w:pPr>
                                    <w:pStyle w:val="TableContents"/>
                                    <w:bidi w:val="0"/>
                                    <w:spacing w:before="0" w:after="0"/>
                                    <w:ind w:left="0" w:right="0" w:hanging="0"/>
                                    <w:jc w:val="left"/>
                                    <w:rPr/>
                                  </w:pPr>
                                  <w:r>
                                    <w:rPr/>
                                    <w:t>​</w:t>
                                  </w:r>
                                </w:p>
                                <w:p>
                                  <w:pPr>
                                    <w:pStyle w:val="TableContents"/>
                                    <w:bidi w:val="0"/>
                                    <w:spacing w:lineRule="atLeast" w:line="162" w:before="106" w:after="283"/>
                                    <w:ind w:left="0" w:right="160" w:hanging="0"/>
                                    <w:jc w:val="left"/>
                                    <w:rPr/>
                                  </w:pPr>
                                  <w:r>
                                    <w:rPr>
                                      <w:spacing w:val="-2"/>
                                    </w:rPr>
                                    <w:t>In recognition of our continued meaningful achievements and in light of Mr. Holliday continuing to serve as interim President throughout 2025, Total Direct Compensation remains substantially consistent year-over-year under the first full year of his new employment agreement. Compared to the SCT, Mr. Holliday’s 2025 TDC was approximately 14% higher and weighted meaningfully towards performance-based awards.</w:t>
                                  </w:r>
                                  <w:r>
                                    <w:rPr/>
                                    <w:t xml:space="preserve"> </w:t>
                                  </w:r>
                                </w:p>
                              </w:tc>
                              <w:tc>
                                <w:tcPr>
                                  <w:tcW w:w="109" w:type="dxa"/>
                                  <w:tcBorders/>
                                  <w:vAlign w:val="center"/>
                                </w:tcPr>
                                <w:p>
                                  <w:pPr>
                                    <w:pStyle w:val="TableContents"/>
                                    <w:bidi w:val="0"/>
                                    <w:spacing w:before="0" w:after="283"/>
                                    <w:jc w:val="left"/>
                                    <w:rPr/>
                                  </w:pPr>
                                  <w:r>
                                    <w:rPr/>
                                    <w:t>​</w:t>
                                  </w:r>
                                </w:p>
                              </w:tc>
                              <w:tc>
                                <w:tcPr>
                                  <w:tcW w:w="154" w:type="dxa"/>
                                  <w:tcBorders/>
                                  <w:shd w:fill="1F2668" w:val="clear"/>
                                  <w:vAlign w:val="center"/>
                                </w:tcPr>
                                <w:p>
                                  <w:pPr>
                                    <w:pStyle w:val="TableContents"/>
                                    <w:bidi w:val="0"/>
                                    <w:spacing w:before="0" w:after="283"/>
                                    <w:jc w:val="left"/>
                                    <w:rPr/>
                                  </w:pPr>
                                  <w:r>
                                    <w:rPr/>
                                    <w:t>​</w:t>
                                  </w:r>
                                </w:p>
                              </w:tc>
                            </w:tr>
                          </w:tbl>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41pt;height:604.5pt;mso-wrap-distance-left:45pt;mso-wrap-distance-right:0pt;mso-wrap-distance-top:0pt;mso-wrap-distance-bottom:0pt;margin-top:0pt;mso-position-vertical:top;mso-position-vertical-relative:text;margin-left:45pt;mso-position-horizontal:left;mso-position-horizontal-relative:text">
                <v:textbox>
                  <w:txbxContent>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10205" w:type="dxa"/>
                        <w:jc w:val="left"/>
                        <w:tblInd w:w="0" w:type="dxa"/>
                        <w:tblLayout w:type="fixed"/>
                        <w:tblCellMar>
                          <w:top w:w="0" w:type="dxa"/>
                          <w:left w:w="0" w:type="dxa"/>
                          <w:bottom w:w="0" w:type="dxa"/>
                          <w:right w:w="0" w:type="dxa"/>
                        </w:tblCellMar>
                      </w:tblPr>
                      <w:tblGrid>
                        <w:gridCol w:w="124"/>
                        <w:gridCol w:w="109"/>
                        <w:gridCol w:w="97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709" w:type="dxa"/>
                            <w:tcBorders/>
                            <w:shd w:fill="1F2668" w:val="clear"/>
                            <w:vAlign w:val="center"/>
                          </w:tcPr>
                          <w:p>
                            <w:pPr>
                              <w:pStyle w:val="TableContents"/>
                              <w:bidi w:val="0"/>
                              <w:spacing w:lineRule="atLeast" w:line="300" w:before="0" w:after="0"/>
                              <w:ind w:left="0" w:right="160" w:hanging="0"/>
                              <w:jc w:val="left"/>
                              <w:rPr>
                                <w:b/>
                                <w:sz w:val="26"/>
                              </w:rPr>
                            </w:pPr>
                            <w:r>
                              <w:rPr>
                                <w:b/>
                                <w:spacing w:val="-3"/>
                                <w:sz w:val="26"/>
                              </w:rPr>
                              <w:t xml:space="preserve">MARC </w:t>
                              <w:br/>
                              <w:t>HOLLIDAY</w:t>
                            </w:r>
                            <w:r>
                              <w:rPr>
                                <w:b/>
                                <w:sz w:val="26"/>
                              </w:rPr>
                              <w:t xml:space="preserve"> </w:t>
                            </w:r>
                          </w:p>
                          <w:p>
                            <w:pPr>
                              <w:pStyle w:val="TableContents"/>
                              <w:bidi w:val="0"/>
                              <w:spacing w:before="126" w:after="283"/>
                              <w:ind w:left="0" w:right="160" w:hanging="0"/>
                              <w:jc w:val="center"/>
                              <w:rPr/>
                            </w:pPr>
                            <w:r>
                              <w:rPr/>
                              <w:drawing>
                                <wp:inline distT="0" distB="0" distL="0" distR="0">
                                  <wp:extent cx="1209675" cy="1457325"/>
                                  <wp:effectExtent l="0" t="0" r="0" b="0"/>
                                  <wp:docPr id="704" name="Image2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4" name="Image234" descr=""/>
                                          <pic:cNvPicPr>
                                            <a:picLocks noChangeAspect="1" noChangeArrowheads="1"/>
                                          </pic:cNvPicPr>
                                        </pic:nvPicPr>
                                        <pic:blipFill>
                                          <a:blip r:embed="rId326"/>
                                          <a:stretch>
                                            <a:fillRect/>
                                          </a:stretch>
                                        </pic:blipFill>
                                        <pic:spPr bwMode="auto">
                                          <a:xfrm>
                                            <a:off x="0" y="0"/>
                                            <a:ext cx="1209675" cy="1457325"/>
                                          </a:xfrm>
                                          <a:prstGeom prst="rect">
                                            <a:avLst/>
                                          </a:prstGeom>
                                        </pic:spPr>
                                      </pic:pic>
                                    </a:graphicData>
                                  </a:graphic>
                                </wp:inline>
                              </w:drawing>
                            </w:r>
                            <w:r>
                              <w:rPr/>
                              <w:t xml:space="preserve"> </w:t>
                            </w:r>
                          </w:p>
                          <w:p>
                            <w:pPr>
                              <w:pStyle w:val="TableContents"/>
                              <w:bidi w:val="0"/>
                              <w:spacing w:lineRule="atLeast" w:line="162" w:before="204" w:after="283"/>
                              <w:ind w:left="0" w:right="160" w:hanging="0"/>
                              <w:jc w:val="left"/>
                              <w:rPr>
                                <w:b/>
                              </w:rPr>
                            </w:pPr>
                            <w:r>
                              <w:rPr>
                                <w:b/>
                                <w:spacing w:val="-2"/>
                              </w:rPr>
                              <w:t>Chief Executive Officer and Chairman of the Board</w:t>
                            </w:r>
                            <w:r>
                              <w:rPr>
                                <w:b/>
                              </w:rPr>
                              <w:t xml:space="preserve"> </w:t>
                            </w:r>
                          </w:p>
                          <w:p>
                            <w:pPr>
                              <w:pStyle w:val="TableContents"/>
                              <w:bidi w:val="0"/>
                              <w:spacing w:lineRule="atLeast" w:line="162" w:before="106" w:after="283"/>
                              <w:ind w:left="0" w:right="160" w:hanging="0"/>
                              <w:jc w:val="left"/>
                              <w:rPr/>
                            </w:pPr>
                            <w:r>
                              <w:rPr>
                                <w:spacing w:val="-2"/>
                              </w:rPr>
                              <w:t>Mr. Holliday’s 2025 compensation exemplifies our pay-for-performance philosophy and recognizes the critical leadership role he played in delivering strong operational results, balance-sheet optimization and strategic execution, each advancing the Company’s long-term strategy despite a challenging macroeconomic environment.</w:t>
                            </w:r>
                            <w:r>
                              <w:rPr/>
                              <w:t xml:space="preserve"> </w:t>
                            </w:r>
                          </w:p>
                          <w:p>
                            <w:pPr>
                              <w:pStyle w:val="TableContents"/>
                              <w:bidi w:val="0"/>
                              <w:spacing w:lineRule="atLeast" w:line="162" w:before="106" w:after="283"/>
                              <w:ind w:left="0" w:right="160" w:hanging="0"/>
                              <w:jc w:val="left"/>
                              <w:rPr/>
                            </w:pPr>
                            <w:r>
                              <w:rPr>
                                <w:spacing w:val="-2"/>
                              </w:rPr>
                              <w:t>Under Mr. Holliday’s leadership, the Company advanced multiple transformational goals in 2025, including the following achievements:</w:t>
                            </w:r>
                            <w:r>
                              <w:rPr/>
                              <w:t xml:space="preserve"> </w:t>
                            </w:r>
                          </w:p>
                          <w:p>
                            <w:pPr>
                              <w:pStyle w:val="TableContents"/>
                              <w:bidi w:val="0"/>
                              <w:spacing w:lineRule="atLeast" w:line="162" w:before="126" w:after="0"/>
                              <w:ind w:left="180" w:right="160" w:hanging="0"/>
                              <w:jc w:val="left"/>
                              <w:rPr>
                                <w:b/>
                                <w:spacing w:val="-2"/>
                              </w:rPr>
                            </w:pPr>
                            <w:r>
                              <w:rPr>
                                <w:b/>
                                <w:spacing w:val="-2"/>
                              </w:rPr>
                              <w:t xml:space="preserve">outstanding operating performance, highlighted by the signing of approximately 2.5 million square feet of Manhattan office space and positive mark-to-market leasing; </w:t>
                            </w:r>
                          </w:p>
                          <w:p>
                            <w:pPr>
                              <w:pStyle w:val="TableContents"/>
                              <w:bidi w:val="0"/>
                              <w:spacing w:before="0" w:after="0"/>
                              <w:ind w:left="0" w:right="0" w:hanging="0"/>
                              <w:jc w:val="left"/>
                              <w:rPr/>
                            </w:pPr>
                            <w:r>
                              <w:rPr/>
                              <w:t>​</w:t>
                            </w:r>
                          </w:p>
                          <w:p>
                            <w:pPr>
                              <w:pStyle w:val="TableContents"/>
                              <w:bidi w:val="0"/>
                              <w:spacing w:lineRule="atLeast" w:line="162" w:before="126" w:after="0"/>
                              <w:ind w:left="180" w:right="160" w:hanging="0"/>
                              <w:jc w:val="left"/>
                              <w:rPr>
                                <w:b/>
                              </w:rPr>
                            </w:pPr>
                            <w:r>
                              <w:rPr>
                                <w:b/>
                                <w:spacing w:val="-2"/>
                              </w:rPr>
                              <w:t>disciplined capital allocation and balance sheet management; strategic portfolio growth and repositioning through $1 billion of acquisitions; execution at flagship assets; and</w:t>
                            </w:r>
                            <w:r>
                              <w:rPr>
                                <w:b/>
                              </w:rPr>
                              <w:t xml:space="preserve"> </w:t>
                            </w:r>
                          </w:p>
                          <w:p>
                            <w:pPr>
                              <w:pStyle w:val="TableContents"/>
                              <w:bidi w:val="0"/>
                              <w:spacing w:before="0" w:after="0"/>
                              <w:ind w:left="0" w:right="0" w:hanging="0"/>
                              <w:jc w:val="left"/>
                              <w:rPr/>
                            </w:pPr>
                            <w:r>
                              <w:rPr/>
                              <w:t>​</w:t>
                            </w:r>
                          </w:p>
                          <w:p>
                            <w:pPr>
                              <w:pStyle w:val="TableContents"/>
                              <w:bidi w:val="0"/>
                              <w:spacing w:lineRule="atLeast" w:line="162" w:before="126" w:after="0"/>
                              <w:ind w:left="180" w:right="160" w:hanging="0"/>
                              <w:jc w:val="left"/>
                              <w:rPr>
                                <w:b/>
                              </w:rPr>
                            </w:pPr>
                            <w:r>
                              <w:rPr>
                                <w:b/>
                                <w:spacing w:val="-2"/>
                              </w:rPr>
                              <w:t>expanding the fee-based business</w:t>
                            </w:r>
                            <w:r>
                              <w:rPr>
                                <w:b w:val="false"/>
                                <w:spacing w:val="-2"/>
                              </w:rPr>
                              <w:t>.</w:t>
                            </w:r>
                            <w:r>
                              <w:rPr>
                                <w:b/>
                              </w:rPr>
                              <w:t xml:space="preserve"> </w:t>
                            </w:r>
                          </w:p>
                          <w:p>
                            <w:pPr>
                              <w:pStyle w:val="TableContents"/>
                              <w:bidi w:val="0"/>
                              <w:spacing w:before="0" w:after="0"/>
                              <w:ind w:left="0" w:right="0" w:hanging="0"/>
                              <w:jc w:val="left"/>
                              <w:rPr/>
                            </w:pPr>
                            <w:r>
                              <w:rPr/>
                              <w:t>​</w:t>
                            </w:r>
                          </w:p>
                          <w:p>
                            <w:pPr>
                              <w:pStyle w:val="TableContents"/>
                              <w:bidi w:val="0"/>
                              <w:spacing w:lineRule="atLeast" w:line="162" w:before="106" w:after="283"/>
                              <w:ind w:left="0" w:right="160" w:hanging="0"/>
                              <w:jc w:val="left"/>
                              <w:rPr/>
                            </w:pPr>
                            <w:r>
                              <w:rPr>
                                <w:spacing w:val="-2"/>
                              </w:rPr>
                              <w:t>In recognition of our continued meaningful achievements and in light of Mr. Holliday continuing to serve as interim President throughout 2025, Total Direct Compensation remains substantially consistent year-over-year under the first full year of his new employment agreement. Compared to the SCT, Mr. Holliday’s 2025 TDC was approximately 14% higher and weighted meaningfully towards performance-based awards.</w:t>
                            </w:r>
                            <w:r>
                              <w:rPr/>
                              <w:t xml:space="preserve"> </w:t>
                            </w:r>
                          </w:p>
                        </w:tc>
                        <w:tc>
                          <w:tcPr>
                            <w:tcW w:w="109" w:type="dxa"/>
                            <w:tcBorders/>
                            <w:vAlign w:val="center"/>
                          </w:tcPr>
                          <w:p>
                            <w:pPr>
                              <w:pStyle w:val="TableContents"/>
                              <w:bidi w:val="0"/>
                              <w:spacing w:before="0" w:after="283"/>
                              <w:jc w:val="left"/>
                              <w:rPr/>
                            </w:pPr>
                            <w:r>
                              <w:rPr/>
                              <w:t>​</w:t>
                            </w:r>
                          </w:p>
                        </w:tc>
                        <w:tc>
                          <w:tcPr>
                            <w:tcW w:w="154" w:type="dxa"/>
                            <w:tcBorders/>
                            <w:shd w:fill="1F2668" w:val="clear"/>
                            <w:vAlign w:val="center"/>
                          </w:tcPr>
                          <w:p>
                            <w:pPr>
                              <w:pStyle w:val="TableContents"/>
                              <w:bidi w:val="0"/>
                              <w:spacing w:before="0" w:after="283"/>
                              <w:jc w:val="left"/>
                              <w:rPr/>
                            </w:pPr>
                            <w:r>
                              <w:rPr/>
                              <w:t>​</w:t>
                            </w:r>
                          </w:p>
                        </w:tc>
                      </w:tr>
                    </w:tbl>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203200" distR="0" simplePos="0" locked="0" layoutInCell="1" allowOverlap="1" relativeHeight="651">
                <wp:simplePos x="0" y="0"/>
                <wp:positionH relativeFrom="column">
                  <wp:align>left</wp:align>
                </wp:positionH>
                <wp:positionV relativeFrom="line">
                  <wp:posOffset>635</wp:posOffset>
                </wp:positionV>
                <wp:extent cx="4406900" cy="9972040"/>
                <wp:effectExtent l="0" t="0" r="0" b="0"/>
                <wp:wrapSquare wrapText="right"/>
                <wp:docPr id="705" name="Frame389"/>
                <a:graphic xmlns:a="http://schemas.openxmlformats.org/drawingml/2006/main">
                  <a:graphicData uri="http://schemas.microsoft.com/office/word/2010/wordprocessingShape">
                    <wps:wsp>
                      <wps:cNvSpPr txBox="1"/>
                      <wps:spPr>
                        <a:xfrm>
                          <a:off x="0" y="0"/>
                          <a:ext cx="4406900" cy="9972040"/>
                        </a:xfrm>
                        <a:prstGeom prst="rect"/>
                        <a:solidFill>
                          <a:srgbClr val="FFFFFF"/>
                        </a:solidFill>
                      </wps:spPr>
                      <wps:txbx>
                        <w:txbxContent>
                          <w:p>
                            <w:pPr>
                              <w:pStyle w:val="TextBody"/>
                              <w:bidi w:val="0"/>
                              <w:spacing w:lineRule="atLeast" w:line="270" w:before="260" w:after="283"/>
                              <w:jc w:val="left"/>
                              <w:rPr>
                                <w:b/>
                                <w:color w:val="83AD40"/>
                                <w:sz w:val="22"/>
                              </w:rPr>
                            </w:pPr>
                            <w:r>
                              <w:rPr>
                                <w:b/>
                                <w:color w:val="83AD40"/>
                                <w:spacing w:val="-2"/>
                                <w:sz w:val="22"/>
                              </w:rPr>
                              <w:t xml:space="preserve">2025 Performance and Compensation— </w:t>
                              <w:br/>
                              <w:t>Total Direct Compensation vs. Summary Compensation Table</w:t>
                            </w:r>
                            <w:r>
                              <w:rPr>
                                <w:b/>
                                <w:color w:val="000000"/>
                                <w:spacing w:val="4"/>
                                <w:sz w:val="22"/>
                              </w:rPr>
                              <w:t xml:space="preserve"> </w:t>
                            </w:r>
                          </w:p>
                          <w:tbl>
                            <w:tblPr>
                              <w:tblW w:w="10205" w:type="dxa"/>
                              <w:jc w:val="left"/>
                              <w:tblInd w:w="0" w:type="dxa"/>
                              <w:tblLayout w:type="fixed"/>
                              <w:tblCellMar>
                                <w:top w:w="0" w:type="dxa"/>
                                <w:left w:w="0" w:type="dxa"/>
                                <w:bottom w:w="28" w:type="dxa"/>
                                <w:right w:w="0" w:type="dxa"/>
                              </w:tblCellMar>
                            </w:tblPr>
                            <w:tblGrid>
                              <w:gridCol w:w="124"/>
                              <w:gridCol w:w="1295"/>
                              <w:gridCol w:w="109"/>
                              <w:gridCol w:w="109"/>
                              <w:gridCol w:w="1177"/>
                              <w:gridCol w:w="109"/>
                              <w:gridCol w:w="109"/>
                              <w:gridCol w:w="7017"/>
                              <w:gridCol w:w="156"/>
                            </w:tblGrid>
                            <w:tr>
                              <w:trPr/>
                              <w:tc>
                                <w:tcPr>
                                  <w:tcW w:w="124" w:type="dxa"/>
                                  <w:tcBorders>
                                    <w:bottom w:val="single" w:sz="8" w:space="0" w:color="1F2668"/>
                                  </w:tcBorders>
                                  <w:shd w:fill="E9F9D8" w:val="clear"/>
                                  <w:vAlign w:val="center"/>
                                </w:tcPr>
                                <w:p>
                                  <w:pPr>
                                    <w:pStyle w:val="TableContents"/>
                                    <w:bidi w:val="0"/>
                                    <w:spacing w:before="0" w:after="283"/>
                                    <w:jc w:val="left"/>
                                    <w:rPr/>
                                  </w:pPr>
                                  <w:r>
                                    <w:rPr/>
                                    <w:t>​</w:t>
                                  </w:r>
                                </w:p>
                              </w:tc>
                              <w:tc>
                                <w:tcPr>
                                  <w:tcW w:w="1295" w:type="dxa"/>
                                  <w:tcBorders>
                                    <w:bottom w:val="single" w:sz="8" w:space="0" w:color="1F2668"/>
                                  </w:tcBorders>
                                  <w:shd w:fill="E9F9D8" w:val="clear"/>
                                  <w:tcMar>
                                    <w:bottom w:w="50" w:type="dxa"/>
                                  </w:tcMar>
                                  <w:vAlign w:val="center"/>
                                </w:tcPr>
                                <w:p>
                                  <w:pPr>
                                    <w:pStyle w:val="TableContents"/>
                                    <w:bidi w:val="0"/>
                                    <w:spacing w:before="0" w:after="0"/>
                                    <w:jc w:val="left"/>
                                    <w:rPr>
                                      <w:spacing w:val="-2"/>
                                    </w:rPr>
                                  </w:pPr>
                                  <w:r>
                                    <w:rPr>
                                      <w:spacing w:val="-2"/>
                                    </w:rPr>
                                    <w:t xml:space="preserve">TDC </w:t>
                                  </w:r>
                                </w:p>
                              </w:tc>
                              <w:tc>
                                <w:tcPr>
                                  <w:tcW w:w="109" w:type="dxa"/>
                                  <w:tcBorders>
                                    <w:bottom w:val="single" w:sz="8" w:space="0" w:color="1F2668"/>
                                  </w:tcBorders>
                                  <w:shd w:fill="E9F9D8" w:val="clear"/>
                                  <w:vAlign w:val="center"/>
                                </w:tcPr>
                                <w:p>
                                  <w:pPr>
                                    <w:pStyle w:val="TableContents"/>
                                    <w:bidi w:val="0"/>
                                    <w:spacing w:before="0" w:after="283"/>
                                    <w:jc w:val="left"/>
                                    <w:rPr/>
                                  </w:pPr>
                                  <w:r>
                                    <w:rPr/>
                                    <w:t>​</w:t>
                                  </w:r>
                                </w:p>
                              </w:tc>
                              <w:tc>
                                <w:tcPr>
                                  <w:tcW w:w="109" w:type="dxa"/>
                                  <w:tcBorders>
                                    <w:bottom w:val="single" w:sz="8" w:space="0" w:color="1F2668"/>
                                  </w:tcBorders>
                                  <w:vAlign w:val="center"/>
                                </w:tcPr>
                                <w:p>
                                  <w:pPr>
                                    <w:pStyle w:val="TableContents"/>
                                    <w:bidi w:val="0"/>
                                    <w:spacing w:before="0" w:after="283"/>
                                    <w:jc w:val="left"/>
                                    <w:rPr/>
                                  </w:pPr>
                                  <w:r>
                                    <w:rPr/>
                                    <w:t>​</w:t>
                                  </w:r>
                                </w:p>
                              </w:tc>
                              <w:tc>
                                <w:tcPr>
                                  <w:tcW w:w="1177" w:type="dxa"/>
                                  <w:tcBorders>
                                    <w:bottom w:val="single" w:sz="8" w:space="0" w:color="1F2668"/>
                                  </w:tcBorders>
                                  <w:tcMar>
                                    <w:bottom w:w="50" w:type="dxa"/>
                                  </w:tcMar>
                                  <w:vAlign w:val="center"/>
                                </w:tcPr>
                                <w:p>
                                  <w:pPr>
                                    <w:pStyle w:val="TableContents"/>
                                    <w:bidi w:val="0"/>
                                    <w:spacing w:before="0" w:after="0"/>
                                    <w:jc w:val="left"/>
                                    <w:rPr>
                                      <w:spacing w:val="-2"/>
                                    </w:rPr>
                                  </w:pPr>
                                  <w:r>
                                    <w:rPr>
                                      <w:spacing w:val="-2"/>
                                    </w:rPr>
                                    <w:t xml:space="preserve">SCT </w:t>
                                  </w:r>
                                </w:p>
                              </w:tc>
                              <w:tc>
                                <w:tcPr>
                                  <w:tcW w:w="109" w:type="dxa"/>
                                  <w:tcBorders>
                                    <w:bottom w:val="single" w:sz="8" w:space="0" w:color="1F2668"/>
                                  </w:tcBorders>
                                  <w:vAlign w:val="center"/>
                                </w:tcPr>
                                <w:p>
                                  <w:pPr>
                                    <w:pStyle w:val="TableContents"/>
                                    <w:bidi w:val="0"/>
                                    <w:spacing w:before="0" w:after="283"/>
                                    <w:jc w:val="left"/>
                                    <w:rPr/>
                                  </w:pPr>
                                  <w:r>
                                    <w:rPr/>
                                    <w:t>​</w:t>
                                  </w:r>
                                </w:p>
                              </w:tc>
                              <w:tc>
                                <w:tcPr>
                                  <w:tcW w:w="109" w:type="dxa"/>
                                  <w:tcBorders>
                                    <w:bottom w:val="single" w:sz="8" w:space="0" w:color="1F2668"/>
                                  </w:tcBorders>
                                  <w:vAlign w:val="center"/>
                                </w:tcPr>
                                <w:p>
                                  <w:pPr>
                                    <w:pStyle w:val="TableContents"/>
                                    <w:bidi w:val="0"/>
                                    <w:spacing w:before="0" w:after="283"/>
                                    <w:jc w:val="left"/>
                                    <w:rPr/>
                                  </w:pPr>
                                  <w:r>
                                    <w:rPr/>
                                    <w:t>​</w:t>
                                  </w:r>
                                </w:p>
                              </w:tc>
                              <w:tc>
                                <w:tcPr>
                                  <w:tcW w:w="7017" w:type="dxa"/>
                                  <w:tcBorders>
                                    <w:bottom w:val="single" w:sz="8" w:space="0" w:color="1F2668"/>
                                  </w:tcBorders>
                                  <w:tcMar>
                                    <w:bottom w:w="50" w:type="dxa"/>
                                  </w:tcMar>
                                  <w:vAlign w:val="center"/>
                                </w:tcPr>
                                <w:p>
                                  <w:pPr>
                                    <w:pStyle w:val="TableContents"/>
                                    <w:bidi w:val="0"/>
                                    <w:spacing w:before="0" w:after="0"/>
                                    <w:jc w:val="left"/>
                                    <w:rPr>
                                      <w:spacing w:val="-2"/>
                                    </w:rPr>
                                  </w:pPr>
                                  <w:r>
                                    <w:rPr>
                                      <w:spacing w:val="-2"/>
                                    </w:rPr>
                                    <w:t xml:space="preserve">Element of Compensation </w:t>
                                  </w:r>
                                </w:p>
                              </w:tc>
                              <w:tc>
                                <w:tcPr>
                                  <w:tcW w:w="156" w:type="dxa"/>
                                  <w:tcBorders>
                                    <w:bottom w:val="single" w:sz="8" w:space="0" w:color="1F2668"/>
                                  </w:tcBorders>
                                  <w:vAlign w:val="center"/>
                                </w:tcPr>
                                <w:p>
                                  <w:pPr>
                                    <w:pStyle w:val="TableContents"/>
                                    <w:bidi w:val="0"/>
                                    <w:spacing w:before="0" w:after="283"/>
                                    <w:jc w:val="left"/>
                                    <w:rPr/>
                                  </w:pPr>
                                  <w:r>
                                    <w:rPr/>
                                    <w:t>​</w:t>
                                  </w:r>
                                </w:p>
                              </w:tc>
                            </w:tr>
                            <w:tr>
                              <w:trPr/>
                              <w:tc>
                                <w:tcPr>
                                  <w:tcW w:w="124" w:type="dxa"/>
                                  <w:tcBorders>
                                    <w:bottom w:val="single" w:sz="2" w:space="0" w:color="4B5088"/>
                                  </w:tcBorders>
                                  <w:shd w:fill="E9F9D8" w:val="clear"/>
                                  <w:vAlign w:val="center"/>
                                </w:tcPr>
                                <w:p>
                                  <w:pPr>
                                    <w:pStyle w:val="TableContents"/>
                                    <w:bidi w:val="0"/>
                                    <w:spacing w:before="0" w:after="283"/>
                                    <w:jc w:val="left"/>
                                    <w:rPr/>
                                  </w:pPr>
                                  <w:r>
                                    <w:rPr/>
                                    <w:t>​</w:t>
                                  </w:r>
                                </w:p>
                              </w:tc>
                              <w:tc>
                                <w:tcPr>
                                  <w:tcW w:w="1295" w:type="dxa"/>
                                  <w:tcBorders>
                                    <w:bottom w:val="single" w:sz="2" w:space="0" w:color="4B5088"/>
                                  </w:tcBorders>
                                  <w:shd w:fill="E9F9D8" w:val="clear"/>
                                  <w:tcMar>
                                    <w:bottom w:w="69" w:type="dxa"/>
                                  </w:tcMar>
                                  <w:vAlign w:val="center"/>
                                </w:tcPr>
                                <w:p>
                                  <w:pPr>
                                    <w:pStyle w:val="TableContents"/>
                                    <w:bidi w:val="0"/>
                                    <w:spacing w:before="0" w:after="0"/>
                                    <w:jc w:val="left"/>
                                    <w:rPr>
                                      <w:color w:val="1F2668"/>
                                      <w:sz w:val="36"/>
                                    </w:rPr>
                                  </w:pPr>
                                  <w:r>
                                    <w:rPr>
                                      <w:color w:val="1F2668"/>
                                      <w:sz w:val="36"/>
                                    </w:rPr>
                                    <w:t>7%</w:t>
                                  </w:r>
                                </w:p>
                                <w:p>
                                  <w:pPr>
                                    <w:pStyle w:val="TableContents"/>
                                    <w:bidi w:val="0"/>
                                    <w:spacing w:lineRule="atLeast" w:line="196" w:before="35" w:after="283"/>
                                    <w:jc w:val="left"/>
                                    <w:rPr>
                                      <w:b/>
                                    </w:rPr>
                                  </w:pPr>
                                  <w:r>
                                    <w:rPr>
                                      <w:b/>
                                      <w:spacing w:val="-2"/>
                                    </w:rPr>
                                    <w:t>$1,400,000</w:t>
                                  </w:r>
                                  <w:r>
                                    <w:rPr>
                                      <w:b/>
                                    </w:rPr>
                                    <w:t xml:space="preserve"> </w:t>
                                  </w:r>
                                </w:p>
                              </w:tc>
                              <w:tc>
                                <w:tcPr>
                                  <w:tcW w:w="109" w:type="dxa"/>
                                  <w:tcBorders>
                                    <w:bottom w:val="single" w:sz="2" w:space="0" w:color="4B5088"/>
                                  </w:tcBorders>
                                  <w:shd w:fill="E9F9D8" w:val="clear"/>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1177" w:type="dxa"/>
                                  <w:tcBorders>
                                    <w:bottom w:val="single" w:sz="2" w:space="0" w:color="4B5088"/>
                                  </w:tcBorders>
                                  <w:tcMar>
                                    <w:bottom w:w="69" w:type="dxa"/>
                                  </w:tcMar>
                                  <w:vAlign w:val="center"/>
                                </w:tcPr>
                                <w:p>
                                  <w:pPr>
                                    <w:pStyle w:val="TableContents"/>
                                    <w:bidi w:val="0"/>
                                    <w:spacing w:before="0" w:after="0"/>
                                    <w:jc w:val="left"/>
                                    <w:rPr>
                                      <w:color w:val="1F2668"/>
                                      <w:sz w:val="36"/>
                                    </w:rPr>
                                  </w:pPr>
                                  <w:r>
                                    <w:rPr>
                                      <w:color w:val="1F2668"/>
                                      <w:sz w:val="36"/>
                                    </w:rPr>
                                    <w:t>8%</w:t>
                                  </w:r>
                                </w:p>
                                <w:p>
                                  <w:pPr>
                                    <w:pStyle w:val="TableContents"/>
                                    <w:bidi w:val="0"/>
                                    <w:spacing w:lineRule="atLeast" w:line="196" w:before="35" w:after="283"/>
                                    <w:jc w:val="left"/>
                                    <w:rPr>
                                      <w:b/>
                                    </w:rPr>
                                  </w:pPr>
                                  <w:r>
                                    <w:rPr>
                                      <w:b/>
                                      <w:spacing w:val="-2"/>
                                    </w:rPr>
                                    <w:t>$1,400,000</w:t>
                                  </w:r>
                                  <w:r>
                                    <w:rPr>
                                      <w:b/>
                                    </w:rPr>
                                    <w:t xml:space="preserve"> </w:t>
                                  </w:r>
                                </w:p>
                              </w:tc>
                              <w:tc>
                                <w:tcPr>
                                  <w:tcW w:w="109"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7017" w:type="dxa"/>
                                  <w:tcBorders>
                                    <w:bottom w:val="single" w:sz="2" w:space="0" w:color="4B5088"/>
                                  </w:tcBorders>
                                  <w:tcMar>
                                    <w:bottom w:w="69" w:type="dxa"/>
                                  </w:tcMar>
                                  <w:vAlign w:val="center"/>
                                </w:tcPr>
                                <w:p>
                                  <w:pPr>
                                    <w:pStyle w:val="TableContents"/>
                                    <w:bidi w:val="0"/>
                                    <w:spacing w:lineRule="atLeast" w:line="194" w:before="0" w:after="0"/>
                                    <w:jc w:val="left"/>
                                    <w:rPr>
                                      <w:b/>
                                      <w:sz w:val="18"/>
                                    </w:rPr>
                                  </w:pPr>
                                  <w:r>
                                    <w:rPr>
                                      <w:b/>
                                      <w:spacing w:val="-2"/>
                                      <w:sz w:val="18"/>
                                    </w:rPr>
                                    <w:t>Annual Base Salary</w:t>
                                  </w:r>
                                  <w:r>
                                    <w:rPr>
                                      <w:b/>
                                      <w:sz w:val="18"/>
                                    </w:rPr>
                                    <w:t xml:space="preserve"> </w:t>
                                  </w:r>
                                </w:p>
                                <w:p>
                                  <w:pPr>
                                    <w:pStyle w:val="TableContents"/>
                                    <w:bidi w:val="0"/>
                                    <w:spacing w:lineRule="atLeast" w:line="174" w:before="14" w:after="283"/>
                                    <w:jc w:val="left"/>
                                    <w:rPr>
                                      <w:spacing w:val="-2"/>
                                    </w:rPr>
                                  </w:pPr>
                                  <w:r>
                                    <w:rPr>
                                      <w:spacing w:val="-2"/>
                                    </w:rPr>
                                    <w:t xml:space="preserve">Mr. Holliday’s base salary was equal to the minimum set forth in his employment agreement. In connection with Mr. Holliday’s new employment agreement, his base salary increased by 10.7% to better align with market. Prior to 2025, there had been no change to his base salary since it was retroactively reduced in 2018. </w:t>
                                  </w:r>
                                </w:p>
                              </w:tc>
                              <w:tc>
                                <w:tcPr>
                                  <w:tcW w:w="156" w:type="dxa"/>
                                  <w:tcBorders>
                                    <w:bottom w:val="single" w:sz="2" w:space="0" w:color="4B5088"/>
                                  </w:tcBorders>
                                  <w:vAlign w:val="center"/>
                                </w:tcPr>
                                <w:p>
                                  <w:pPr>
                                    <w:pStyle w:val="TableContents"/>
                                    <w:bidi w:val="0"/>
                                    <w:spacing w:before="0" w:after="283"/>
                                    <w:jc w:val="left"/>
                                    <w:rPr/>
                                  </w:pPr>
                                  <w:r>
                                    <w:rPr/>
                                    <w:t>​</w:t>
                                  </w:r>
                                </w:p>
                              </w:tc>
                            </w:tr>
                            <w:tr>
                              <w:trPr/>
                              <w:tc>
                                <w:tcPr>
                                  <w:tcW w:w="124" w:type="dxa"/>
                                  <w:tcBorders>
                                    <w:bottom w:val="single" w:sz="2" w:space="0" w:color="4B5088"/>
                                  </w:tcBorders>
                                  <w:shd w:fill="E9F9D8" w:val="clear"/>
                                  <w:vAlign w:val="center"/>
                                </w:tcPr>
                                <w:p>
                                  <w:pPr>
                                    <w:pStyle w:val="TableContents"/>
                                    <w:bidi w:val="0"/>
                                    <w:spacing w:before="0" w:after="283"/>
                                    <w:jc w:val="left"/>
                                    <w:rPr/>
                                  </w:pPr>
                                  <w:r>
                                    <w:rPr/>
                                    <w:t>​</w:t>
                                  </w:r>
                                </w:p>
                              </w:tc>
                              <w:tc>
                                <w:tcPr>
                                  <w:tcW w:w="1295" w:type="dxa"/>
                                  <w:tcBorders>
                                    <w:bottom w:val="single" w:sz="2" w:space="0" w:color="4B5088"/>
                                  </w:tcBorders>
                                  <w:shd w:fill="E9F9D8" w:val="clear"/>
                                  <w:tcMar>
                                    <w:bottom w:w="69" w:type="dxa"/>
                                  </w:tcMar>
                                  <w:vAlign w:val="center"/>
                                </w:tcPr>
                                <w:p>
                                  <w:pPr>
                                    <w:pStyle w:val="TableContents"/>
                                    <w:bidi w:val="0"/>
                                    <w:spacing w:before="0" w:after="0"/>
                                    <w:jc w:val="left"/>
                                    <w:rPr>
                                      <w:color w:val="1F2668"/>
                                      <w:sz w:val="36"/>
                                    </w:rPr>
                                  </w:pPr>
                                  <w:r>
                                    <w:rPr>
                                      <w:color w:val="1F2668"/>
                                      <w:sz w:val="36"/>
                                    </w:rPr>
                                    <w:t>17%</w:t>
                                  </w:r>
                                </w:p>
                                <w:p>
                                  <w:pPr>
                                    <w:pStyle w:val="TableContents"/>
                                    <w:bidi w:val="0"/>
                                    <w:spacing w:lineRule="atLeast" w:line="196" w:before="36" w:after="283"/>
                                    <w:jc w:val="left"/>
                                    <w:rPr>
                                      <w:b/>
                                    </w:rPr>
                                  </w:pPr>
                                  <w:r>
                                    <w:rPr>
                                      <w:b/>
                                      <w:spacing w:val="-2"/>
                                    </w:rPr>
                                    <w:t>$3,278,750</w:t>
                                  </w:r>
                                  <w:r>
                                    <w:rPr>
                                      <w:b/>
                                    </w:rPr>
                                    <w:t xml:space="preserve"> </w:t>
                                  </w:r>
                                </w:p>
                              </w:tc>
                              <w:tc>
                                <w:tcPr>
                                  <w:tcW w:w="109" w:type="dxa"/>
                                  <w:tcBorders>
                                    <w:bottom w:val="single" w:sz="2" w:space="0" w:color="4B5088"/>
                                  </w:tcBorders>
                                  <w:shd w:fill="E9F9D8" w:val="clear"/>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1177" w:type="dxa"/>
                                  <w:tcBorders>
                                    <w:bottom w:val="single" w:sz="2" w:space="0" w:color="4B5088"/>
                                  </w:tcBorders>
                                  <w:tcMar>
                                    <w:bottom w:w="69" w:type="dxa"/>
                                  </w:tcMar>
                                  <w:vAlign w:val="center"/>
                                </w:tcPr>
                                <w:p>
                                  <w:pPr>
                                    <w:pStyle w:val="TableContents"/>
                                    <w:bidi w:val="0"/>
                                    <w:spacing w:before="0" w:after="0"/>
                                    <w:jc w:val="left"/>
                                    <w:rPr>
                                      <w:color w:val="1F2668"/>
                                      <w:sz w:val="36"/>
                                    </w:rPr>
                                  </w:pPr>
                                  <w:r>
                                    <w:rPr>
                                      <w:color w:val="1F2668"/>
                                      <w:sz w:val="36"/>
                                    </w:rPr>
                                    <w:t>7%</w:t>
                                  </w:r>
                                </w:p>
                                <w:p>
                                  <w:pPr>
                                    <w:pStyle w:val="TableContents"/>
                                    <w:bidi w:val="0"/>
                                    <w:spacing w:lineRule="atLeast" w:line="196" w:before="36" w:after="283"/>
                                    <w:jc w:val="left"/>
                                    <w:rPr>
                                      <w:b/>
                                    </w:rPr>
                                  </w:pPr>
                                  <w:r>
                                    <w:rPr>
                                      <w:b/>
                                      <w:spacing w:val="-2"/>
                                    </w:rPr>
                                    <w:t>$2,919,703</w:t>
                                  </w:r>
                                  <w:r>
                                    <w:rPr>
                                      <w:b/>
                                    </w:rPr>
                                    <w:t xml:space="preserve"> </w:t>
                                  </w:r>
                                </w:p>
                              </w:tc>
                              <w:tc>
                                <w:tcPr>
                                  <w:tcW w:w="109"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7017" w:type="dxa"/>
                                  <w:tcBorders>
                                    <w:bottom w:val="single" w:sz="2" w:space="0" w:color="4B5088"/>
                                  </w:tcBorders>
                                  <w:tcMar>
                                    <w:bottom w:w="69" w:type="dxa"/>
                                  </w:tcMar>
                                  <w:vAlign w:val="center"/>
                                </w:tcPr>
                                <w:p>
                                  <w:pPr>
                                    <w:pStyle w:val="TableContents"/>
                                    <w:bidi w:val="0"/>
                                    <w:spacing w:lineRule="atLeast" w:line="194" w:before="0" w:after="0"/>
                                    <w:jc w:val="left"/>
                                    <w:rPr>
                                      <w:b/>
                                      <w:sz w:val="18"/>
                                    </w:rPr>
                                  </w:pPr>
                                  <w:r>
                                    <w:rPr>
                                      <w:b/>
                                      <w:spacing w:val="-2"/>
                                      <w:sz w:val="18"/>
                                    </w:rPr>
                                    <w:t>100% Formulaic Annual Bonus</w:t>
                                  </w:r>
                                  <w:r>
                                    <w:rPr>
                                      <w:b/>
                                      <w:sz w:val="18"/>
                                    </w:rPr>
                                    <w:t xml:space="preserve"> </w:t>
                                  </w:r>
                                </w:p>
                                <w:p>
                                  <w:pPr>
                                    <w:pStyle w:val="TableContents"/>
                                    <w:bidi w:val="0"/>
                                    <w:spacing w:lineRule="atLeast" w:line="174" w:before="14" w:after="283"/>
                                    <w:jc w:val="left"/>
                                    <w:rPr/>
                                  </w:pPr>
                                  <w:r>
                                    <w:rPr>
                                      <w:spacing w:val="-2"/>
                                    </w:rPr>
                                    <w:t xml:space="preserve">Determined formulaically based on performance relative to preset objective bonus criteria established by the Committee in January 2025. The TDC amount reflects the earning of </w:t>
                                  </w:r>
                                  <w:r>
                                    <w:rPr>
                                      <w:b/>
                                      <w:spacing w:val="-2"/>
                                    </w:rPr>
                                    <w:t>120%</w:t>
                                  </w:r>
                                  <w:r>
                                    <w:rPr>
                                      <w:spacing w:val="-2"/>
                                    </w:rPr>
                                    <w:t xml:space="preserve"> of the target bonus amount.</w:t>
                                  </w:r>
                                  <w:r>
                                    <w:rPr/>
                                    <w:t xml:space="preserve"> </w:t>
                                  </w:r>
                                </w:p>
                                <w:p>
                                  <w:pPr>
                                    <w:pStyle w:val="TableContents"/>
                                    <w:bidi w:val="0"/>
                                    <w:spacing w:lineRule="atLeast" w:line="174" w:before="60" w:after="283"/>
                                    <w:jc w:val="left"/>
                                    <w:rPr/>
                                  </w:pPr>
                                  <w:r>
                                    <w:rPr>
                                      <w:spacing w:val="-2"/>
                                    </w:rPr>
                                    <w:t xml:space="preserve">The SCT amount reflects the grant date value of the bonus, which was paid </w:t>
                                  </w:r>
                                  <w:r>
                                    <w:rPr>
                                      <w:b/>
                                      <w:spacing w:val="-2"/>
                                    </w:rPr>
                                    <w:t>50%</w:t>
                                  </w:r>
                                  <w:r>
                                    <w:rPr>
                                      <w:spacing w:val="-2"/>
                                    </w:rPr>
                                    <w:t xml:space="preserve"> in cash and </w:t>
                                  </w:r>
                                  <w:r>
                                    <w:rPr>
                                      <w:b/>
                                      <w:spacing w:val="-2"/>
                                    </w:rPr>
                                    <w:t>50%</w:t>
                                  </w:r>
                                  <w:r>
                                    <w:rPr>
                                      <w:spacing w:val="-2"/>
                                    </w:rPr>
                                    <w:t xml:space="preserve"> in equity at Mr. Holliday’s election, in the form of 35,833 LTIP units granted in December 2025. These LTIP units were fully vested upon grant, but remain subject to a three-year no-sell restriction. </w:t>
                                  </w:r>
                                </w:p>
                              </w:tc>
                              <w:tc>
                                <w:tcPr>
                                  <w:tcW w:w="156" w:type="dxa"/>
                                  <w:tcBorders>
                                    <w:bottom w:val="single" w:sz="2" w:space="0" w:color="4B5088"/>
                                  </w:tcBorders>
                                  <w:vAlign w:val="center"/>
                                </w:tcPr>
                                <w:p>
                                  <w:pPr>
                                    <w:pStyle w:val="TableContents"/>
                                    <w:bidi w:val="0"/>
                                    <w:spacing w:before="0" w:after="283"/>
                                    <w:jc w:val="left"/>
                                    <w:rPr/>
                                  </w:pPr>
                                  <w:r>
                                    <w:rPr/>
                                    <w:t>​</w:t>
                                  </w:r>
                                </w:p>
                              </w:tc>
                            </w:tr>
                            <w:tr>
                              <w:trPr/>
                              <w:tc>
                                <w:tcPr>
                                  <w:tcW w:w="124" w:type="dxa"/>
                                  <w:tcBorders/>
                                  <w:shd w:fill="E9F9D8" w:val="clear"/>
                                  <w:tcMar>
                                    <w:bottom w:w="0" w:type="dxa"/>
                                  </w:tcMar>
                                  <w:vAlign w:val="center"/>
                                </w:tcPr>
                                <w:p>
                                  <w:pPr>
                                    <w:pStyle w:val="TableContents"/>
                                    <w:bidi w:val="0"/>
                                    <w:spacing w:before="0" w:after="283"/>
                                    <w:jc w:val="left"/>
                                    <w:rPr/>
                                  </w:pPr>
                                  <w:r>
                                    <w:rPr/>
                                    <w:t>​</w:t>
                                  </w:r>
                                </w:p>
                              </w:tc>
                              <w:tc>
                                <w:tcPr>
                                  <w:tcW w:w="1295" w:type="dxa"/>
                                  <w:tcBorders/>
                                  <w:shd w:fill="E9F9D8" w:val="clear"/>
                                  <w:tcMar>
                                    <w:bottom w:w="0" w:type="dxa"/>
                                  </w:tcMar>
                                  <w:vAlign w:val="center"/>
                                </w:tcPr>
                                <w:p>
                                  <w:pPr>
                                    <w:pStyle w:val="TableContents"/>
                                    <w:bidi w:val="0"/>
                                    <w:spacing w:before="0" w:after="0"/>
                                    <w:jc w:val="left"/>
                                    <w:rPr>
                                      <w:color w:val="1F2668"/>
                                      <w:sz w:val="36"/>
                                    </w:rPr>
                                  </w:pPr>
                                  <w:r>
                                    <w:rPr>
                                      <w:color w:val="1F2668"/>
                                      <w:sz w:val="36"/>
                                    </w:rPr>
                                    <w:t>51%</w:t>
                                  </w:r>
                                </w:p>
                                <w:p>
                                  <w:pPr>
                                    <w:pStyle w:val="TableContents"/>
                                    <w:bidi w:val="0"/>
                                    <w:spacing w:lineRule="atLeast" w:line="196" w:before="36" w:after="283"/>
                                    <w:jc w:val="left"/>
                                    <w:rPr>
                                      <w:b/>
                                    </w:rPr>
                                  </w:pPr>
                                  <w:r>
                                    <w:rPr>
                                      <w:b/>
                                      <w:spacing w:val="-2"/>
                                    </w:rPr>
                                    <w:t>$10,000,000</w:t>
                                  </w:r>
                                  <w:r>
                                    <w:rPr>
                                      <w:b/>
                                    </w:rPr>
                                    <w:t xml:space="preserve"> </w:t>
                                  </w:r>
                                </w:p>
                              </w:tc>
                              <w:tc>
                                <w:tcPr>
                                  <w:tcW w:w="109" w:type="dxa"/>
                                  <w:tcBorders/>
                                  <w:shd w:fill="E9F9D8"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7" w:type="dxa"/>
                                  <w:tcBorders/>
                                  <w:tcMar>
                                    <w:bottom w:w="0" w:type="dxa"/>
                                  </w:tcMar>
                                  <w:vAlign w:val="center"/>
                                </w:tcPr>
                                <w:p>
                                  <w:pPr>
                                    <w:pStyle w:val="TableContents"/>
                                    <w:bidi w:val="0"/>
                                    <w:spacing w:before="0" w:after="0"/>
                                    <w:jc w:val="left"/>
                                    <w:rPr>
                                      <w:color w:val="1F2668"/>
                                      <w:sz w:val="36"/>
                                    </w:rPr>
                                  </w:pPr>
                                  <w:r>
                                    <w:rPr>
                                      <w:color w:val="1F2668"/>
                                      <w:sz w:val="36"/>
                                    </w:rPr>
                                    <w:t>38%</w:t>
                                  </w:r>
                                </w:p>
                                <w:p>
                                  <w:pPr>
                                    <w:pStyle w:val="TableContents"/>
                                    <w:bidi w:val="0"/>
                                    <w:spacing w:lineRule="atLeast" w:line="196" w:before="36" w:after="283"/>
                                    <w:jc w:val="left"/>
                                    <w:rPr>
                                      <w:b/>
                                    </w:rPr>
                                  </w:pPr>
                                  <w:r>
                                    <w:rPr>
                                      <w:b/>
                                      <w:spacing w:val="-2"/>
                                    </w:rPr>
                                    <w:t>$6,653,741</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017" w:type="dxa"/>
                                  <w:tcBorders/>
                                  <w:tcMar>
                                    <w:bottom w:w="0" w:type="dxa"/>
                                  </w:tcMar>
                                  <w:vAlign w:val="center"/>
                                </w:tcPr>
                                <w:p>
                                  <w:pPr>
                                    <w:pStyle w:val="TableContents"/>
                                    <w:bidi w:val="0"/>
                                    <w:spacing w:lineRule="atLeast" w:line="194" w:before="0" w:after="0"/>
                                    <w:jc w:val="left"/>
                                    <w:rPr>
                                      <w:b/>
                                      <w:sz w:val="18"/>
                                    </w:rPr>
                                  </w:pPr>
                                  <w:r>
                                    <w:rPr>
                                      <w:b/>
                                      <w:spacing w:val="-2"/>
                                      <w:sz w:val="18"/>
                                    </w:rPr>
                                    <w:t>Performance-Based Equity Awards</w:t>
                                  </w:r>
                                  <w:r>
                                    <w:rPr>
                                      <w:b/>
                                      <w:sz w:val="18"/>
                                    </w:rPr>
                                    <w:t xml:space="preserve"> </w:t>
                                  </w:r>
                                </w:p>
                                <w:p>
                                  <w:pPr>
                                    <w:pStyle w:val="TableContents"/>
                                    <w:bidi w:val="0"/>
                                    <w:spacing w:lineRule="atLeast" w:line="174" w:before="14" w:after="283"/>
                                    <w:jc w:val="left"/>
                                    <w:rPr/>
                                  </w:pPr>
                                  <w:r>
                                    <w:rPr>
                                      <w:spacing w:val="-2"/>
                                    </w:rPr>
                                    <w:t xml:space="preserve">The TDC amount reflects the target notional value of </w:t>
                                  </w:r>
                                  <w:r>
                                    <w:rPr>
                                      <w:b/>
                                      <w:spacing w:val="-2"/>
                                    </w:rPr>
                                    <w:t>$5,000,000</w:t>
                                  </w:r>
                                  <w:r>
                                    <w:rPr>
                                      <w:spacing w:val="-2"/>
                                    </w:rPr>
                                    <w:t xml:space="preserve">, consistent with the target amount set forth in Mr. Holliday’s employment agreement, plus an additional </w:t>
                                  </w:r>
                                  <w:r>
                                    <w:rPr>
                                      <w:b/>
                                      <w:spacing w:val="-2"/>
                                    </w:rPr>
                                    <w:t>$5,000,000</w:t>
                                  </w:r>
                                  <w:r>
                                    <w:rPr>
                                      <w:spacing w:val="-2"/>
                                    </w:rPr>
                                    <w:t xml:space="preserve"> as the Outperformance Modifier, granted in 2026. </w:t>
                                  </w:r>
                                  <w:r>
                                    <w:rPr>
                                      <w:b/>
                                      <w:spacing w:val="-2"/>
                                    </w:rPr>
                                    <w:t>The SCT amount reflects the grant date value of his 2024 performance-based award, granted in 2025</w:t>
                                  </w:r>
                                  <w:r>
                                    <w:rPr>
                                      <w:spacing w:val="-2"/>
                                    </w:rPr>
                                    <w:t>.</w:t>
                                  </w:r>
                                  <w:r>
                                    <w:rPr/>
                                    <w:t xml:space="preserve"> </w:t>
                                  </w:r>
                                </w:p>
                                <w:p>
                                  <w:pPr>
                                    <w:pStyle w:val="TableContents"/>
                                    <w:bidi w:val="0"/>
                                    <w:spacing w:lineRule="atLeast" w:line="174" w:before="60" w:after="283"/>
                                    <w:jc w:val="left"/>
                                    <w:rPr/>
                                  </w:pPr>
                                  <w:r>
                                    <w:rPr>
                                      <w:spacing w:val="-2"/>
                                    </w:rPr>
                                    <w:t>The annual performance-based award relates to the corresponding number of LTIP units set forth below:</w:t>
                                  </w:r>
                                  <w:r>
                                    <w:rPr/>
                                    <w:t xml:space="preserve"> </w:t>
                                  </w:r>
                                </w:p>
                              </w:tc>
                              <w:tc>
                                <w:tcPr>
                                  <w:tcW w:w="156" w:type="dxa"/>
                                  <w:tcBorders/>
                                  <w:tcMar>
                                    <w:bottom w:w="0" w:type="dxa"/>
                                  </w:tcMar>
                                  <w:vAlign w:val="center"/>
                                </w:tcPr>
                                <w:p>
                                  <w:pPr>
                                    <w:pStyle w:val="TableContents"/>
                                    <w:bidi w:val="0"/>
                                    <w:spacing w:before="0" w:after="283"/>
                                    <w:jc w:val="left"/>
                                    <w:rPr/>
                                  </w:pPr>
                                  <w:r>
                                    <w:rPr/>
                                    <w:t>​</w:t>
                                  </w:r>
                                </w:p>
                              </w:tc>
                            </w:tr>
                          </w:tbl>
                          <w:tbl>
                            <w:tblPr>
                              <w:tblW w:w="6274" w:type="dxa"/>
                              <w:jc w:val="left"/>
                              <w:tblInd w:w="0" w:type="dxa"/>
                              <w:tblLayout w:type="fixed"/>
                              <w:tblCellMar>
                                <w:top w:w="0" w:type="dxa"/>
                                <w:left w:w="0" w:type="dxa"/>
                                <w:bottom w:w="0" w:type="dxa"/>
                                <w:right w:w="0" w:type="dxa"/>
                              </w:tblCellMar>
                            </w:tblPr>
                            <w:tblGrid>
                              <w:gridCol w:w="124"/>
                              <w:gridCol w:w="109"/>
                              <w:gridCol w:w="109"/>
                              <w:gridCol w:w="109"/>
                              <w:gridCol w:w="109"/>
                              <w:gridCol w:w="109"/>
                              <w:gridCol w:w="1110"/>
                              <w:gridCol w:w="109"/>
                              <w:gridCol w:w="109"/>
                              <w:gridCol w:w="816"/>
                              <w:gridCol w:w="109"/>
                              <w:gridCol w:w="109"/>
                              <w:gridCol w:w="1129"/>
                              <w:gridCol w:w="109"/>
                              <w:gridCol w:w="109"/>
                              <w:gridCol w:w="1742"/>
                              <w:gridCol w:w="154"/>
                            </w:tblGrid>
                            <w:tr>
                              <w:trPr/>
                              <w:tc>
                                <w:tcPr>
                                  <w:tcW w:w="124" w:type="dxa"/>
                                  <w:tcBorders/>
                                  <w:shd w:fill="E9F9D8" w:val="clear"/>
                                  <w:vAlign w:val="center"/>
                                </w:tcPr>
                                <w:p>
                                  <w:pPr>
                                    <w:pStyle w:val="TableContents"/>
                                    <w:bidi w:val="0"/>
                                    <w:spacing w:before="0" w:after="283"/>
                                    <w:jc w:val="left"/>
                                    <w:rPr/>
                                  </w:pPr>
                                  <w:r>
                                    <w:rPr/>
                                    <w:t>​</w:t>
                                  </w:r>
                                </w:p>
                              </w:tc>
                              <w:tc>
                                <w:tcPr>
                                  <w:tcW w:w="109" w:type="dxa"/>
                                  <w:tcBorders/>
                                  <w:shd w:fill="E9F9D8" w:val="cle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top w:val="single" w:sz="16" w:space="0" w:color="1F2668"/>
                                    <w:bottom w:val="single" w:sz="16" w:space="0" w:color="1F2668"/>
                                  </w:tcBorders>
                                  <w:tcMar>
                                    <w:top w:w="28" w:type="dxa"/>
                                    <w:bottom w:w="28" w:type="dxa"/>
                                  </w:tcMar>
                                  <w:vAlign w:val="center"/>
                                </w:tcPr>
                                <w:p>
                                  <w:pPr>
                                    <w:pStyle w:val="TableContents"/>
                                    <w:bidi w:val="0"/>
                                    <w:spacing w:before="0" w:after="283"/>
                                    <w:jc w:val="left"/>
                                    <w:rPr/>
                                  </w:pPr>
                                  <w:r>
                                    <w:rPr/>
                                    <w:t>​</w:t>
                                  </w:r>
                                </w:p>
                              </w:tc>
                              <w:tc>
                                <w:tcPr>
                                  <w:tcW w:w="5451" w:type="dxa"/>
                                  <w:gridSpan w:val="10"/>
                                  <w:tcBorders>
                                    <w:top w:val="single" w:sz="16" w:space="0" w:color="1F2668"/>
                                    <w:bottom w:val="single" w:sz="16" w:space="0" w:color="1F2668"/>
                                  </w:tcBorders>
                                  <w:tcMar>
                                    <w:top w:w="57" w:type="dxa"/>
                                    <w:bottom w:w="28" w:type="dxa"/>
                                  </w:tcMar>
                                  <w:vAlign w:val="center"/>
                                </w:tcPr>
                                <w:p>
                                  <w:pPr>
                                    <w:pStyle w:val="TableContents"/>
                                    <w:bidi w:val="0"/>
                                    <w:spacing w:before="0" w:after="0"/>
                                    <w:jc w:val="center"/>
                                    <w:rPr>
                                      <w:spacing w:val="-2"/>
                                    </w:rPr>
                                  </w:pPr>
                                  <w:r>
                                    <w:rPr>
                                      <w:spacing w:val="-2"/>
                                    </w:rPr>
                                    <w:t xml:space="preserve">2025 Annual Performance-Based Award— </w:t>
                                    <w:br/>
                                    <w:t xml:space="preserve">Number of LTIP Units Granted </w:t>
                                  </w:r>
                                </w:p>
                              </w:tc>
                              <w:tc>
                                <w:tcPr>
                                  <w:tcW w:w="154" w:type="dxa"/>
                                  <w:tcBorders>
                                    <w:top w:val="single" w:sz="16" w:space="0" w:color="1F2668"/>
                                    <w:bottom w:val="single" w:sz="16" w:space="0" w:color="1F2668"/>
                                  </w:tcBorders>
                                  <w:tcMar>
                                    <w:top w:w="28" w:type="dxa"/>
                                    <w:bottom w:w="28" w:type="dxa"/>
                                  </w:tcMar>
                                  <w:vAlign w:val="center"/>
                                </w:tcPr>
                                <w:p>
                                  <w:pPr>
                                    <w:pStyle w:val="TableContents"/>
                                    <w:bidi w:val="0"/>
                                    <w:spacing w:before="0" w:after="283"/>
                                    <w:jc w:val="left"/>
                                    <w:rPr/>
                                  </w:pPr>
                                  <w:r>
                                    <w:rPr/>
                                    <w:t>​</w:t>
                                  </w:r>
                                </w:p>
                              </w:tc>
                            </w:tr>
                            <w:tr>
                              <w:trPr/>
                              <w:tc>
                                <w:tcPr>
                                  <w:tcW w:w="124"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4B5088"/>
                                  </w:tcBorders>
                                  <w:tcMar>
                                    <w:bottom w:w="28" w:type="dxa"/>
                                  </w:tcMar>
                                  <w:vAlign w:val="center"/>
                                </w:tcPr>
                                <w:p>
                                  <w:pPr>
                                    <w:pStyle w:val="TableContents"/>
                                    <w:bidi w:val="0"/>
                                    <w:spacing w:before="0" w:after="283"/>
                                    <w:jc w:val="left"/>
                                    <w:rPr/>
                                  </w:pPr>
                                  <w:r>
                                    <w:rPr/>
                                    <w:t>​</w:t>
                                  </w:r>
                                </w:p>
                              </w:tc>
                              <w:tc>
                                <w:tcPr>
                                  <w:tcW w:w="1110" w:type="dxa"/>
                                  <w:tcBorders>
                                    <w:bottom w:val="single" w:sz="12" w:space="0" w:color="4B5088"/>
                                  </w:tcBorders>
                                  <w:tcMar>
                                    <w:bottom w:w="33" w:type="dxa"/>
                                  </w:tcMar>
                                  <w:vAlign w:val="center"/>
                                </w:tcPr>
                                <w:p>
                                  <w:pPr>
                                    <w:pStyle w:val="TableContents"/>
                                    <w:bidi w:val="0"/>
                                    <w:spacing w:before="0" w:after="0"/>
                                    <w:jc w:val="right"/>
                                    <w:rPr/>
                                  </w:pPr>
                                  <w:r>
                                    <w:rPr>
                                      <w:spacing w:val="-2"/>
                                    </w:rPr>
                                    <w:t>Threshold</w:t>
                                  </w:r>
                                  <w:r>
                                    <w:rPr/>
                                    <w:t xml:space="preserve"> </w:t>
                                  </w:r>
                                </w:p>
                              </w:tc>
                              <w:tc>
                                <w:tcPr>
                                  <w:tcW w:w="109" w:type="dxa"/>
                                  <w:tcBorders>
                                    <w:bottom w:val="single" w:sz="12" w:space="0" w:color="4B5088"/>
                                  </w:tcBorders>
                                  <w:tcMar>
                                    <w:bottom w:w="28" w:type="dxa"/>
                                  </w:tcMar>
                                  <w:vAlign w:val="center"/>
                                </w:tcPr>
                                <w:p>
                                  <w:pPr>
                                    <w:pStyle w:val="TableContents"/>
                                    <w:bidi w:val="0"/>
                                    <w:spacing w:before="0" w:after="283"/>
                                    <w:jc w:val="left"/>
                                    <w:rPr/>
                                  </w:pPr>
                                  <w:r>
                                    <w:rPr/>
                                    <w:t>​</w:t>
                                  </w:r>
                                </w:p>
                              </w:tc>
                              <w:tc>
                                <w:tcPr>
                                  <w:tcW w:w="109" w:type="dxa"/>
                                  <w:tcBorders>
                                    <w:bottom w:val="single" w:sz="12" w:space="0" w:color="4B5088"/>
                                  </w:tcBorders>
                                  <w:tcMar>
                                    <w:bottom w:w="28" w:type="dxa"/>
                                  </w:tcMar>
                                  <w:vAlign w:val="center"/>
                                </w:tcPr>
                                <w:p>
                                  <w:pPr>
                                    <w:pStyle w:val="TableContents"/>
                                    <w:bidi w:val="0"/>
                                    <w:spacing w:before="0" w:after="283"/>
                                    <w:jc w:val="left"/>
                                    <w:rPr/>
                                  </w:pPr>
                                  <w:r>
                                    <w:rPr/>
                                    <w:t>​</w:t>
                                  </w:r>
                                </w:p>
                              </w:tc>
                              <w:tc>
                                <w:tcPr>
                                  <w:tcW w:w="816" w:type="dxa"/>
                                  <w:tcBorders>
                                    <w:bottom w:val="single" w:sz="12" w:space="0" w:color="4B5088"/>
                                  </w:tcBorders>
                                  <w:tcMar>
                                    <w:bottom w:w="33" w:type="dxa"/>
                                  </w:tcMar>
                                  <w:vAlign w:val="center"/>
                                </w:tcPr>
                                <w:p>
                                  <w:pPr>
                                    <w:pStyle w:val="TableContents"/>
                                    <w:bidi w:val="0"/>
                                    <w:spacing w:before="0" w:after="0"/>
                                    <w:jc w:val="right"/>
                                    <w:rPr/>
                                  </w:pPr>
                                  <w:r>
                                    <w:rPr>
                                      <w:spacing w:val="-2"/>
                                    </w:rPr>
                                    <w:t>Target</w:t>
                                  </w:r>
                                  <w:r>
                                    <w:rPr/>
                                    <w:t xml:space="preserve"> </w:t>
                                  </w:r>
                                </w:p>
                              </w:tc>
                              <w:tc>
                                <w:tcPr>
                                  <w:tcW w:w="109" w:type="dxa"/>
                                  <w:tcBorders>
                                    <w:bottom w:val="single" w:sz="12" w:space="0" w:color="4B5088"/>
                                  </w:tcBorders>
                                  <w:tcMar>
                                    <w:bottom w:w="28" w:type="dxa"/>
                                  </w:tcMar>
                                  <w:vAlign w:val="center"/>
                                </w:tcPr>
                                <w:p>
                                  <w:pPr>
                                    <w:pStyle w:val="TableContents"/>
                                    <w:bidi w:val="0"/>
                                    <w:spacing w:before="0" w:after="283"/>
                                    <w:jc w:val="left"/>
                                    <w:rPr/>
                                  </w:pPr>
                                  <w:r>
                                    <w:rPr/>
                                    <w:t>​</w:t>
                                  </w:r>
                                </w:p>
                              </w:tc>
                              <w:tc>
                                <w:tcPr>
                                  <w:tcW w:w="109" w:type="dxa"/>
                                  <w:tcBorders>
                                    <w:bottom w:val="single" w:sz="12" w:space="0" w:color="4B5088"/>
                                  </w:tcBorders>
                                  <w:tcMar>
                                    <w:bottom w:w="28" w:type="dxa"/>
                                  </w:tcMar>
                                  <w:vAlign w:val="center"/>
                                </w:tcPr>
                                <w:p>
                                  <w:pPr>
                                    <w:pStyle w:val="TableContents"/>
                                    <w:bidi w:val="0"/>
                                    <w:spacing w:before="0" w:after="283"/>
                                    <w:jc w:val="left"/>
                                    <w:rPr/>
                                  </w:pPr>
                                  <w:r>
                                    <w:rPr/>
                                    <w:t>​</w:t>
                                  </w:r>
                                </w:p>
                              </w:tc>
                              <w:tc>
                                <w:tcPr>
                                  <w:tcW w:w="1129" w:type="dxa"/>
                                  <w:tcBorders>
                                    <w:bottom w:val="single" w:sz="12" w:space="0" w:color="4B5088"/>
                                  </w:tcBorders>
                                  <w:tcMar>
                                    <w:bottom w:w="33" w:type="dxa"/>
                                  </w:tcMar>
                                  <w:vAlign w:val="center"/>
                                </w:tcPr>
                                <w:p>
                                  <w:pPr>
                                    <w:pStyle w:val="TableContents"/>
                                    <w:bidi w:val="0"/>
                                    <w:spacing w:before="0" w:after="0"/>
                                    <w:jc w:val="right"/>
                                    <w:rPr/>
                                  </w:pPr>
                                  <w:r>
                                    <w:rPr>
                                      <w:spacing w:val="-2"/>
                                    </w:rPr>
                                    <w:t>Maximum</w:t>
                                  </w:r>
                                  <w:r>
                                    <w:rPr/>
                                    <w:t xml:space="preserve"> </w:t>
                                  </w:r>
                                </w:p>
                              </w:tc>
                              <w:tc>
                                <w:tcPr>
                                  <w:tcW w:w="109" w:type="dxa"/>
                                  <w:tcBorders>
                                    <w:bottom w:val="single" w:sz="12" w:space="0" w:color="4B5088"/>
                                  </w:tcBorders>
                                  <w:tcMar>
                                    <w:bottom w:w="28" w:type="dxa"/>
                                  </w:tcMar>
                                  <w:vAlign w:val="center"/>
                                </w:tcPr>
                                <w:p>
                                  <w:pPr>
                                    <w:pStyle w:val="TableContents"/>
                                    <w:bidi w:val="0"/>
                                    <w:spacing w:before="0" w:after="283"/>
                                    <w:jc w:val="left"/>
                                    <w:rPr/>
                                  </w:pPr>
                                  <w:r>
                                    <w:rPr/>
                                    <w:t>​</w:t>
                                  </w:r>
                                </w:p>
                              </w:tc>
                              <w:tc>
                                <w:tcPr>
                                  <w:tcW w:w="109" w:type="dxa"/>
                                  <w:tcBorders>
                                    <w:bottom w:val="single" w:sz="12" w:space="0" w:color="4B5088"/>
                                  </w:tcBorders>
                                  <w:tcMar>
                                    <w:bottom w:w="28" w:type="dxa"/>
                                  </w:tcMar>
                                  <w:vAlign w:val="center"/>
                                </w:tcPr>
                                <w:p>
                                  <w:pPr>
                                    <w:pStyle w:val="TableContents"/>
                                    <w:bidi w:val="0"/>
                                    <w:spacing w:before="0" w:after="283"/>
                                    <w:jc w:val="left"/>
                                    <w:rPr/>
                                  </w:pPr>
                                  <w:r>
                                    <w:rPr/>
                                    <w:t>​</w:t>
                                  </w:r>
                                </w:p>
                              </w:tc>
                              <w:tc>
                                <w:tcPr>
                                  <w:tcW w:w="1742" w:type="dxa"/>
                                  <w:tcBorders>
                                    <w:bottom w:val="single" w:sz="12" w:space="0" w:color="4B5088"/>
                                  </w:tcBorders>
                                  <w:tcMar>
                                    <w:bottom w:w="33" w:type="dxa"/>
                                  </w:tcMar>
                                  <w:vAlign w:val="center"/>
                                </w:tcPr>
                                <w:p>
                                  <w:pPr>
                                    <w:pStyle w:val="TableContents"/>
                                    <w:bidi w:val="0"/>
                                    <w:spacing w:before="0" w:after="0"/>
                                    <w:jc w:val="right"/>
                                    <w:rPr/>
                                  </w:pPr>
                                  <w:r>
                                    <w:rPr>
                                      <w:spacing w:val="-2"/>
                                    </w:rPr>
                                    <w:t xml:space="preserve">Projected </w:t>
                                    <w:br/>
                                    <w:t xml:space="preserve">Earned </w:t>
                                    <w:br/>
                                    <w:t>as of 12/31/2025</w:t>
                                  </w:r>
                                  <w:r>
                                    <w:rPr/>
                                    <w:t xml:space="preserve"> </w:t>
                                  </w:r>
                                </w:p>
                              </w:tc>
                              <w:tc>
                                <w:tcPr>
                                  <w:tcW w:w="154" w:type="dxa"/>
                                  <w:tcBorders>
                                    <w:bottom w:val="single" w:sz="12" w:space="0" w:color="4B508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E9F9D8"/>
                                  </w:tcBorders>
                                  <w:shd w:fill="E9F9D8" w:val="clear"/>
                                  <w:tcMar>
                                    <w:bottom w:w="70"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110" w:type="dxa"/>
                                  <w:tcBorders>
                                    <w:bottom w:val="single" w:sz="2" w:space="0" w:color="4B5088"/>
                                  </w:tcBorders>
                                  <w:tcMar>
                                    <w:bottom w:w="33" w:type="dxa"/>
                                  </w:tcMar>
                                  <w:vAlign w:val="center"/>
                                </w:tcPr>
                                <w:p>
                                  <w:pPr>
                                    <w:pStyle w:val="TableContents"/>
                                    <w:bidi w:val="0"/>
                                    <w:spacing w:before="0" w:after="0"/>
                                    <w:jc w:val="right"/>
                                    <w:rPr/>
                                  </w:pPr>
                                  <w:r>
                                    <w:rPr>
                                      <w:spacing w:val="-2"/>
                                    </w:rPr>
                                    <w:t>18,321</w:t>
                                  </w:r>
                                  <w:r>
                                    <w:rPr/>
                                    <w:t xml:space="preserve">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816" w:type="dxa"/>
                                  <w:tcBorders>
                                    <w:bottom w:val="single" w:sz="2" w:space="0" w:color="4B5088"/>
                                  </w:tcBorders>
                                  <w:tcMar>
                                    <w:bottom w:w="33" w:type="dxa"/>
                                  </w:tcMar>
                                  <w:vAlign w:val="center"/>
                                </w:tcPr>
                                <w:p>
                                  <w:pPr>
                                    <w:pStyle w:val="TableContents"/>
                                    <w:bidi w:val="0"/>
                                    <w:spacing w:before="0" w:after="0"/>
                                    <w:jc w:val="right"/>
                                    <w:rPr/>
                                  </w:pPr>
                                  <w:r>
                                    <w:rPr>
                                      <w:spacing w:val="-2"/>
                                    </w:rPr>
                                    <w:t>73,283</w:t>
                                  </w:r>
                                  <w:r>
                                    <w:rPr/>
                                    <w:t xml:space="preserve">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129" w:type="dxa"/>
                                  <w:tcBorders>
                                    <w:bottom w:val="single" w:sz="2" w:space="0" w:color="4B5088"/>
                                  </w:tcBorders>
                                  <w:tcMar>
                                    <w:bottom w:w="33" w:type="dxa"/>
                                  </w:tcMar>
                                  <w:vAlign w:val="center"/>
                                </w:tcPr>
                                <w:p>
                                  <w:pPr>
                                    <w:pStyle w:val="TableContents"/>
                                    <w:bidi w:val="0"/>
                                    <w:spacing w:before="0" w:after="0"/>
                                    <w:jc w:val="right"/>
                                    <w:rPr/>
                                  </w:pPr>
                                  <w:r>
                                    <w:rPr>
                                      <w:spacing w:val="-2"/>
                                    </w:rPr>
                                    <w:t>201,527</w:t>
                                  </w:r>
                                  <w:r>
                                    <w:rPr/>
                                    <w:t xml:space="preserve">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742" w:type="dxa"/>
                                  <w:tcBorders>
                                    <w:bottom w:val="single" w:sz="2" w:space="0" w:color="4B5088"/>
                                  </w:tcBorders>
                                  <w:tcMar>
                                    <w:bottom w:w="33" w:type="dxa"/>
                                  </w:tcMar>
                                  <w:vAlign w:val="center"/>
                                </w:tcPr>
                                <w:p>
                                  <w:pPr>
                                    <w:pStyle w:val="TableContents"/>
                                    <w:bidi w:val="0"/>
                                    <w:spacing w:before="0" w:after="0"/>
                                    <w:jc w:val="right"/>
                                    <w:rPr/>
                                  </w:pPr>
                                  <w:r>
                                    <w:rPr>
                                      <w:spacing w:val="-2"/>
                                    </w:rPr>
                                    <w:t>0</w:t>
                                  </w:r>
                                  <w:r>
                                    <w:rPr/>
                                    <w:t xml:space="preserve"> </w:t>
                                  </w:r>
                                </w:p>
                              </w:tc>
                              <w:tc>
                                <w:tcPr>
                                  <w:tcW w:w="154" w:type="dxa"/>
                                  <w:tcBorders>
                                    <w:bottom w:val="single" w:sz="2" w:space="0" w:color="4B5088"/>
                                  </w:tcBorders>
                                  <w:tcMar>
                                    <w:bottom w:w="28" w:type="dxa"/>
                                  </w:tcMar>
                                  <w:vAlign w:val="center"/>
                                </w:tcPr>
                                <w:p>
                                  <w:pPr>
                                    <w:pStyle w:val="TableContents"/>
                                    <w:bidi w:val="0"/>
                                    <w:spacing w:before="0" w:after="283"/>
                                    <w:jc w:val="left"/>
                                    <w:rPr/>
                                  </w:pPr>
                                  <w:r>
                                    <w:rPr/>
                                    <w:t>​</w:t>
                                  </w:r>
                                </w:p>
                              </w:tc>
                            </w:tr>
                          </w:tbl>
                          <w:tbl>
                            <w:tblPr>
                              <w:tblW w:w="10205" w:type="dxa"/>
                              <w:jc w:val="left"/>
                              <w:tblInd w:w="0" w:type="dxa"/>
                              <w:tblLayout w:type="fixed"/>
                              <w:tblCellMar>
                                <w:top w:w="0" w:type="dxa"/>
                                <w:left w:w="0" w:type="dxa"/>
                                <w:bottom w:w="28" w:type="dxa"/>
                                <w:right w:w="0" w:type="dxa"/>
                              </w:tblCellMar>
                            </w:tblPr>
                            <w:tblGrid>
                              <w:gridCol w:w="124"/>
                              <w:gridCol w:w="1294"/>
                              <w:gridCol w:w="109"/>
                              <w:gridCol w:w="109"/>
                              <w:gridCol w:w="1294"/>
                              <w:gridCol w:w="109"/>
                              <w:gridCol w:w="109"/>
                              <w:gridCol w:w="6901"/>
                              <w:gridCol w:w="156"/>
                            </w:tblGrid>
                            <w:tr>
                              <w:trPr/>
                              <w:tc>
                                <w:tcPr>
                                  <w:tcW w:w="124" w:type="dxa"/>
                                  <w:tcBorders>
                                    <w:bottom w:val="single" w:sz="2" w:space="0" w:color="4B5088"/>
                                  </w:tcBorders>
                                  <w:shd w:fill="E9F9D8" w:val="clear"/>
                                  <w:vAlign w:val="center"/>
                                </w:tcPr>
                                <w:p>
                                  <w:pPr>
                                    <w:pStyle w:val="TableContents"/>
                                    <w:bidi w:val="0"/>
                                    <w:spacing w:before="0" w:after="283"/>
                                    <w:jc w:val="left"/>
                                    <w:rPr/>
                                  </w:pPr>
                                  <w:r>
                                    <w:rPr/>
                                    <w:t>​</w:t>
                                  </w:r>
                                </w:p>
                              </w:tc>
                              <w:tc>
                                <w:tcPr>
                                  <w:tcW w:w="1294" w:type="dxa"/>
                                  <w:tcBorders>
                                    <w:bottom w:val="single" w:sz="2" w:space="0" w:color="4B5088"/>
                                  </w:tcBorders>
                                  <w:shd w:fill="E9F9D8" w:val="clear"/>
                                  <w:tcMar>
                                    <w:bottom w:w="81"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1294" w:type="dxa"/>
                                  <w:tcBorders>
                                    <w:bottom w:val="single" w:sz="2" w:space="0" w:color="4B5088"/>
                                  </w:tcBorders>
                                  <w:tcMar>
                                    <w:bottom w:w="81" w:type="dxa"/>
                                  </w:tcMar>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6901" w:type="dxa"/>
                                  <w:tcBorders>
                                    <w:bottom w:val="single" w:sz="2" w:space="0" w:color="4B5088"/>
                                  </w:tcBorders>
                                  <w:tcMar>
                                    <w:bottom w:w="81" w:type="dxa"/>
                                  </w:tcMar>
                                  <w:vAlign w:val="center"/>
                                </w:tcPr>
                                <w:p>
                                  <w:pPr>
                                    <w:pStyle w:val="TableContents"/>
                                    <w:bidi w:val="0"/>
                                    <w:spacing w:lineRule="atLeast" w:line="174" w:before="0" w:after="0"/>
                                    <w:jc w:val="left"/>
                                    <w:rPr/>
                                  </w:pPr>
                                  <w:r>
                                    <w:rPr>
                                      <w:spacing w:val="-2"/>
                                    </w:rPr>
                                    <w:t>The actual number of LTIP units earned will be determined based on Company performance measured after the end of the full performance period ending December 31, 2027, based on our three-year relative TSR, with earned LTIP units vesting in full as of December 31, 2027</w:t>
                                  </w:r>
                                  <w:r>
                                    <w:rPr/>
                                    <w:t xml:space="preserve"> </w:t>
                                  </w:r>
                                </w:p>
                                <w:p>
                                  <w:pPr>
                                    <w:pStyle w:val="TableContents"/>
                                    <w:bidi w:val="0"/>
                                    <w:spacing w:lineRule="atLeast" w:line="174" w:before="60" w:after="283"/>
                                    <w:jc w:val="left"/>
                                    <w:rPr>
                                      <w:spacing w:val="-2"/>
                                    </w:rPr>
                                  </w:pPr>
                                  <w:r>
                                    <w:rPr>
                                      <w:spacing w:val="-2"/>
                                    </w:rPr>
                                    <w:t xml:space="preserve">Pursuant to the Outperformance Modifier, Mr. Holliday was granted an additional 220,774 LTIP Units, subject to forfeiture to the extent the required three-year operational performance metrics are not achieved. See “—Elements of Compensation—Annual Equity Awards—Time-Based Equity Awards—CEO Outperformance Modifier” above for a full description of the Outperformance Modifier. </w:t>
                                  </w:r>
                                </w:p>
                              </w:tc>
                              <w:tc>
                                <w:tcPr>
                                  <w:tcW w:w="156" w:type="dxa"/>
                                  <w:tcBorders>
                                    <w:bottom w:val="single" w:sz="2" w:space="0" w:color="4B5088"/>
                                  </w:tcBorders>
                                  <w:vAlign w:val="center"/>
                                </w:tcPr>
                                <w:p>
                                  <w:pPr>
                                    <w:pStyle w:val="TableContents"/>
                                    <w:bidi w:val="0"/>
                                    <w:spacing w:before="0" w:after="283"/>
                                    <w:jc w:val="left"/>
                                    <w:rPr/>
                                  </w:pPr>
                                  <w:r>
                                    <w:rPr/>
                                    <w:t>​</w:t>
                                  </w:r>
                                </w:p>
                              </w:tc>
                            </w:tr>
                            <w:tr>
                              <w:trPr/>
                              <w:tc>
                                <w:tcPr>
                                  <w:tcW w:w="124" w:type="dxa"/>
                                  <w:tcBorders>
                                    <w:bottom w:val="single" w:sz="2" w:space="0" w:color="4B5088"/>
                                  </w:tcBorders>
                                  <w:shd w:fill="E9F9D8" w:val="clear"/>
                                  <w:vAlign w:val="center"/>
                                </w:tcPr>
                                <w:p>
                                  <w:pPr>
                                    <w:pStyle w:val="TableContents"/>
                                    <w:bidi w:val="0"/>
                                    <w:spacing w:before="0" w:after="283"/>
                                    <w:jc w:val="left"/>
                                    <w:rPr/>
                                  </w:pPr>
                                  <w:r>
                                    <w:rPr/>
                                    <w:t>​</w:t>
                                  </w:r>
                                </w:p>
                              </w:tc>
                              <w:tc>
                                <w:tcPr>
                                  <w:tcW w:w="1294" w:type="dxa"/>
                                  <w:tcBorders>
                                    <w:bottom w:val="single" w:sz="2" w:space="0" w:color="4B5088"/>
                                  </w:tcBorders>
                                  <w:shd w:fill="E9F9D8" w:val="clear"/>
                                  <w:tcMar>
                                    <w:bottom w:w="68" w:type="dxa"/>
                                  </w:tcMar>
                                  <w:vAlign w:val="center"/>
                                </w:tcPr>
                                <w:p>
                                  <w:pPr>
                                    <w:pStyle w:val="TableContents"/>
                                    <w:bidi w:val="0"/>
                                    <w:spacing w:before="0" w:after="0"/>
                                    <w:jc w:val="left"/>
                                    <w:rPr>
                                      <w:color w:val="1F2668"/>
                                      <w:sz w:val="36"/>
                                    </w:rPr>
                                  </w:pPr>
                                  <w:r>
                                    <w:rPr>
                                      <w:color w:val="1F2668"/>
                                      <w:sz w:val="36"/>
                                    </w:rPr>
                                    <w:t>25%</w:t>
                                  </w:r>
                                </w:p>
                                <w:p>
                                  <w:pPr>
                                    <w:pStyle w:val="TableContents"/>
                                    <w:bidi w:val="0"/>
                                    <w:spacing w:lineRule="atLeast" w:line="196" w:before="36" w:after="283"/>
                                    <w:jc w:val="left"/>
                                    <w:rPr>
                                      <w:b/>
                                    </w:rPr>
                                  </w:pPr>
                                  <w:r>
                                    <w:rPr>
                                      <w:b/>
                                      <w:spacing w:val="-2"/>
                                    </w:rPr>
                                    <w:t>$5,000,000</w:t>
                                  </w:r>
                                  <w:r>
                                    <w:rPr>
                                      <w:b/>
                                    </w:rPr>
                                    <w:t xml:space="preserve"> </w:t>
                                  </w:r>
                                </w:p>
                              </w:tc>
                              <w:tc>
                                <w:tcPr>
                                  <w:tcW w:w="109" w:type="dxa"/>
                                  <w:tcBorders>
                                    <w:bottom w:val="single" w:sz="2" w:space="0" w:color="4B5088"/>
                                  </w:tcBorders>
                                  <w:shd w:fill="E9F9D8" w:val="clear"/>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1294" w:type="dxa"/>
                                  <w:tcBorders>
                                    <w:bottom w:val="single" w:sz="2" w:space="0" w:color="4B5088"/>
                                  </w:tcBorders>
                                  <w:tcMar>
                                    <w:bottom w:w="68" w:type="dxa"/>
                                  </w:tcMar>
                                  <w:vAlign w:val="center"/>
                                </w:tcPr>
                                <w:p>
                                  <w:pPr>
                                    <w:pStyle w:val="TableContents"/>
                                    <w:bidi w:val="0"/>
                                    <w:spacing w:before="0" w:after="0"/>
                                    <w:jc w:val="left"/>
                                    <w:rPr>
                                      <w:color w:val="1F2668"/>
                                      <w:sz w:val="36"/>
                                    </w:rPr>
                                  </w:pPr>
                                  <w:r>
                                    <w:rPr>
                                      <w:color w:val="1F2668"/>
                                      <w:sz w:val="36"/>
                                    </w:rPr>
                                    <w:t>37%</w:t>
                                  </w:r>
                                </w:p>
                                <w:p>
                                  <w:pPr>
                                    <w:pStyle w:val="TableContents"/>
                                    <w:bidi w:val="0"/>
                                    <w:spacing w:lineRule="atLeast" w:line="196" w:before="36" w:after="283"/>
                                    <w:jc w:val="left"/>
                                    <w:rPr>
                                      <w:b/>
                                    </w:rPr>
                                  </w:pPr>
                                  <w:r>
                                    <w:rPr>
                                      <w:b/>
                                      <w:spacing w:val="-2"/>
                                    </w:rPr>
                                    <w:t>$6,337,602</w:t>
                                  </w:r>
                                  <w:r>
                                    <w:rPr>
                                      <w:b/>
                                    </w:rPr>
                                    <w:t xml:space="preserve"> </w:t>
                                  </w:r>
                                </w:p>
                              </w:tc>
                              <w:tc>
                                <w:tcPr>
                                  <w:tcW w:w="109"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6901" w:type="dxa"/>
                                  <w:tcBorders>
                                    <w:bottom w:val="single" w:sz="2" w:space="0" w:color="4B5088"/>
                                  </w:tcBorders>
                                  <w:tcMar>
                                    <w:bottom w:w="68" w:type="dxa"/>
                                  </w:tcMar>
                                  <w:vAlign w:val="center"/>
                                </w:tcPr>
                                <w:p>
                                  <w:pPr>
                                    <w:pStyle w:val="TableContents"/>
                                    <w:bidi w:val="0"/>
                                    <w:spacing w:lineRule="atLeast" w:line="194" w:before="0" w:after="0"/>
                                    <w:jc w:val="left"/>
                                    <w:rPr>
                                      <w:b/>
                                      <w:sz w:val="18"/>
                                    </w:rPr>
                                  </w:pPr>
                                  <w:r>
                                    <w:rPr>
                                      <w:b/>
                                      <w:spacing w:val="-2"/>
                                      <w:sz w:val="18"/>
                                    </w:rPr>
                                    <w:t>Time-Based Equity Awards</w:t>
                                  </w:r>
                                  <w:r>
                                    <w:rPr>
                                      <w:b/>
                                      <w:sz w:val="18"/>
                                    </w:rPr>
                                    <w:t xml:space="preserve"> </w:t>
                                  </w:r>
                                </w:p>
                                <w:p>
                                  <w:pPr>
                                    <w:pStyle w:val="TableContents"/>
                                    <w:bidi w:val="0"/>
                                    <w:spacing w:lineRule="atLeast" w:line="174" w:before="14" w:after="283"/>
                                    <w:jc w:val="left"/>
                                    <w:rPr/>
                                  </w:pPr>
                                  <w:r>
                                    <w:rPr>
                                      <w:spacing w:val="-2"/>
                                    </w:rPr>
                                    <w:t xml:space="preserve">The Committee granted time-based awards in February 2026 based on the Company’s 2025 performance. The awards had a target value of </w:t>
                                  </w:r>
                                  <w:r>
                                    <w:rPr>
                                      <w:b/>
                                      <w:spacing w:val="-2"/>
                                    </w:rPr>
                                    <w:t>$5,000,000</w:t>
                                  </w:r>
                                  <w:r>
                                    <w:rPr>
                                      <w:spacing w:val="-2"/>
                                    </w:rPr>
                                    <w:t xml:space="preserve">, with the corresponding </w:t>
                                  </w:r>
                                  <w:r>
                                    <w:rPr>
                                      <w:b/>
                                      <w:spacing w:val="-2"/>
                                    </w:rPr>
                                    <w:t>110,387</w:t>
                                  </w:r>
                                  <w:r>
                                    <w:rPr>
                                      <w:spacing w:val="-2"/>
                                    </w:rPr>
                                    <w:t xml:space="preserve"> LTIP units vesting in three equal installments on January 1, 2027, January 1, 2028 and January 1, 2029, subject to continued employment.</w:t>
                                  </w:r>
                                  <w:r>
                                    <w:rPr/>
                                    <w:t xml:space="preserve"> </w:t>
                                  </w:r>
                                </w:p>
                                <w:p>
                                  <w:pPr>
                                    <w:pStyle w:val="TableContents"/>
                                    <w:bidi w:val="0"/>
                                    <w:spacing w:lineRule="atLeast" w:line="174" w:before="60" w:after="283"/>
                                    <w:jc w:val="left"/>
                                    <w:rPr>
                                      <w:b/>
                                    </w:rPr>
                                  </w:pPr>
                                  <w:r>
                                    <w:rPr>
                                      <w:b/>
                                      <w:spacing w:val="-2"/>
                                    </w:rPr>
                                    <w:t>The SCT amount represents the grant date value of the awards granted retrospectively in January 2025 based on the Company’s 2024 performance.</w:t>
                                  </w:r>
                                  <w:r>
                                    <w:rPr>
                                      <w:b/>
                                    </w:rPr>
                                    <w:t xml:space="preserve"> </w:t>
                                  </w:r>
                                </w:p>
                              </w:tc>
                              <w:tc>
                                <w:tcPr>
                                  <w:tcW w:w="156" w:type="dxa"/>
                                  <w:tcBorders>
                                    <w:bottom w:val="single" w:sz="2" w:space="0" w:color="4B5088"/>
                                  </w:tcBorders>
                                  <w:vAlign w:val="center"/>
                                </w:tcPr>
                                <w:p>
                                  <w:pPr>
                                    <w:pStyle w:val="TableContents"/>
                                    <w:bidi w:val="0"/>
                                    <w:spacing w:before="0" w:after="283"/>
                                    <w:jc w:val="left"/>
                                    <w:rPr/>
                                  </w:pPr>
                                  <w:r>
                                    <w:rPr/>
                                    <w:t>​</w:t>
                                  </w:r>
                                </w:p>
                              </w:tc>
                            </w:tr>
                            <w:tr>
                              <w:trPr/>
                              <w:tc>
                                <w:tcPr>
                                  <w:tcW w:w="124" w:type="dxa"/>
                                  <w:tcBorders>
                                    <w:bottom w:val="single" w:sz="8" w:space="0" w:color="1F2668"/>
                                  </w:tcBorders>
                                  <w:shd w:fill="E9F9D8" w:val="clear"/>
                                  <w:vAlign w:val="center"/>
                                </w:tcPr>
                                <w:p>
                                  <w:pPr>
                                    <w:pStyle w:val="TableContents"/>
                                    <w:bidi w:val="0"/>
                                    <w:spacing w:before="0" w:after="283"/>
                                    <w:jc w:val="left"/>
                                    <w:rPr/>
                                  </w:pPr>
                                  <w:r>
                                    <w:rPr/>
                                    <w:t>​</w:t>
                                  </w:r>
                                </w:p>
                              </w:tc>
                              <w:tc>
                                <w:tcPr>
                                  <w:tcW w:w="1294" w:type="dxa"/>
                                  <w:tcBorders>
                                    <w:bottom w:val="single" w:sz="8" w:space="0" w:color="1F2668"/>
                                  </w:tcBorders>
                                  <w:shd w:fill="E9F9D8" w:val="clear"/>
                                  <w:tcMar>
                                    <w:bottom w:w="68" w:type="dxa"/>
                                  </w:tcMar>
                                  <w:vAlign w:val="center"/>
                                </w:tcPr>
                                <w:p>
                                  <w:pPr>
                                    <w:pStyle w:val="TableContents"/>
                                    <w:bidi w:val="0"/>
                                    <w:spacing w:before="0" w:after="0"/>
                                    <w:jc w:val="left"/>
                                    <w:rPr>
                                      <w:color w:val="1F2668"/>
                                      <w:sz w:val="36"/>
                                    </w:rPr>
                                  </w:pPr>
                                  <w:r>
                                    <w:rPr>
                                      <w:color w:val="1F2668"/>
                                      <w:sz w:val="36"/>
                                    </w:rPr>
                                    <w:t>100%</w:t>
                                  </w:r>
                                </w:p>
                                <w:p>
                                  <w:pPr>
                                    <w:pStyle w:val="TableContents"/>
                                    <w:bidi w:val="0"/>
                                    <w:spacing w:lineRule="atLeast" w:line="196" w:before="35" w:after="283"/>
                                    <w:jc w:val="left"/>
                                    <w:rPr>
                                      <w:b/>
                                    </w:rPr>
                                  </w:pPr>
                                  <w:r>
                                    <w:rPr>
                                      <w:b/>
                                      <w:spacing w:val="-2"/>
                                    </w:rPr>
                                    <w:t>$19,724,530</w:t>
                                  </w:r>
                                  <w:r>
                                    <w:rPr>
                                      <w:b/>
                                    </w:rPr>
                                    <w:t xml:space="preserve"> </w:t>
                                  </w:r>
                                </w:p>
                              </w:tc>
                              <w:tc>
                                <w:tcPr>
                                  <w:tcW w:w="109" w:type="dxa"/>
                                  <w:tcBorders>
                                    <w:bottom w:val="single" w:sz="8" w:space="0" w:color="1F2668"/>
                                  </w:tcBorders>
                                  <w:shd w:fill="E9F9D8" w:val="clear"/>
                                  <w:vAlign w:val="center"/>
                                </w:tcPr>
                                <w:p>
                                  <w:pPr>
                                    <w:pStyle w:val="TableContents"/>
                                    <w:bidi w:val="0"/>
                                    <w:spacing w:before="0" w:after="283"/>
                                    <w:jc w:val="left"/>
                                    <w:rPr/>
                                  </w:pPr>
                                  <w:r>
                                    <w:rPr/>
                                    <w:t>​</w:t>
                                  </w:r>
                                </w:p>
                              </w:tc>
                              <w:tc>
                                <w:tcPr>
                                  <w:tcW w:w="109" w:type="dxa"/>
                                  <w:tcBorders>
                                    <w:bottom w:val="single" w:sz="8" w:space="0" w:color="1F2668"/>
                                  </w:tcBorders>
                                  <w:vAlign w:val="center"/>
                                </w:tcPr>
                                <w:p>
                                  <w:pPr>
                                    <w:pStyle w:val="TableContents"/>
                                    <w:bidi w:val="0"/>
                                    <w:spacing w:before="0" w:after="283"/>
                                    <w:jc w:val="left"/>
                                    <w:rPr/>
                                  </w:pPr>
                                  <w:r>
                                    <w:rPr/>
                                    <w:t>​</w:t>
                                  </w:r>
                                </w:p>
                              </w:tc>
                              <w:tc>
                                <w:tcPr>
                                  <w:tcW w:w="1294" w:type="dxa"/>
                                  <w:tcBorders>
                                    <w:bottom w:val="single" w:sz="8" w:space="0" w:color="1F2668"/>
                                  </w:tcBorders>
                                  <w:tcMar>
                                    <w:bottom w:w="68" w:type="dxa"/>
                                  </w:tcMar>
                                  <w:vAlign w:val="center"/>
                                </w:tcPr>
                                <w:p>
                                  <w:pPr>
                                    <w:pStyle w:val="TableContents"/>
                                    <w:bidi w:val="0"/>
                                    <w:spacing w:before="0" w:after="0"/>
                                    <w:jc w:val="left"/>
                                    <w:rPr>
                                      <w:color w:val="1F2668"/>
                                      <w:sz w:val="36"/>
                                    </w:rPr>
                                  </w:pPr>
                                  <w:r>
                                    <w:rPr>
                                      <w:color w:val="1F2668"/>
                                      <w:sz w:val="36"/>
                                    </w:rPr>
                                    <w:t>100%</w:t>
                                  </w:r>
                                </w:p>
                                <w:p>
                                  <w:pPr>
                                    <w:pStyle w:val="TableContents"/>
                                    <w:bidi w:val="0"/>
                                    <w:spacing w:lineRule="atLeast" w:line="196" w:before="35" w:after="283"/>
                                    <w:jc w:val="left"/>
                                    <w:rPr>
                                      <w:b/>
                                    </w:rPr>
                                  </w:pPr>
                                  <w:r>
                                    <w:rPr>
                                      <w:b/>
                                      <w:spacing w:val="-2"/>
                                    </w:rPr>
                                    <w:t>$17,356,826</w:t>
                                  </w:r>
                                  <w:r>
                                    <w:rPr>
                                      <w:b/>
                                    </w:rPr>
                                    <w:t xml:space="preserve"> </w:t>
                                  </w:r>
                                </w:p>
                              </w:tc>
                              <w:tc>
                                <w:tcPr>
                                  <w:tcW w:w="109" w:type="dxa"/>
                                  <w:tcBorders>
                                    <w:bottom w:val="single" w:sz="8" w:space="0" w:color="1F2668"/>
                                  </w:tcBorders>
                                  <w:vAlign w:val="center"/>
                                </w:tcPr>
                                <w:p>
                                  <w:pPr>
                                    <w:pStyle w:val="TableContents"/>
                                    <w:bidi w:val="0"/>
                                    <w:spacing w:before="0" w:after="283"/>
                                    <w:jc w:val="left"/>
                                    <w:rPr/>
                                  </w:pPr>
                                  <w:r>
                                    <w:rPr/>
                                    <w:t>​</w:t>
                                  </w:r>
                                </w:p>
                              </w:tc>
                              <w:tc>
                                <w:tcPr>
                                  <w:tcW w:w="109" w:type="dxa"/>
                                  <w:tcBorders>
                                    <w:bottom w:val="single" w:sz="8" w:space="0" w:color="1F2668"/>
                                  </w:tcBorders>
                                  <w:vAlign w:val="center"/>
                                </w:tcPr>
                                <w:p>
                                  <w:pPr>
                                    <w:pStyle w:val="TableContents"/>
                                    <w:bidi w:val="0"/>
                                    <w:spacing w:before="0" w:after="283"/>
                                    <w:jc w:val="left"/>
                                    <w:rPr/>
                                  </w:pPr>
                                  <w:r>
                                    <w:rPr/>
                                    <w:t>​</w:t>
                                  </w:r>
                                </w:p>
                              </w:tc>
                              <w:tc>
                                <w:tcPr>
                                  <w:tcW w:w="6901" w:type="dxa"/>
                                  <w:tcBorders>
                                    <w:bottom w:val="single" w:sz="8" w:space="0" w:color="1F2668"/>
                                  </w:tcBorders>
                                  <w:tcMar>
                                    <w:bottom w:w="68" w:type="dxa"/>
                                  </w:tcMar>
                                  <w:vAlign w:val="center"/>
                                </w:tcPr>
                                <w:p>
                                  <w:pPr>
                                    <w:pStyle w:val="TableContents"/>
                                    <w:bidi w:val="0"/>
                                    <w:spacing w:lineRule="atLeast" w:line="174" w:before="0" w:after="0"/>
                                    <w:jc w:val="left"/>
                                    <w:rPr/>
                                  </w:pPr>
                                  <w:r>
                                    <w:rPr>
                                      <w:spacing w:val="-2"/>
                                    </w:rPr>
                                    <w:t>Both totals include $45,780 of “Other Compensation,” as reflected in the Summary Compensation Table.</w:t>
                                  </w:r>
                                  <w:r>
                                    <w:rPr/>
                                    <w:t xml:space="preserve"> </w:t>
                                  </w:r>
                                </w:p>
                              </w:tc>
                              <w:tc>
                                <w:tcPr>
                                  <w:tcW w:w="156" w:type="dxa"/>
                                  <w:tcBorders>
                                    <w:bottom w:val="single" w:sz="8" w:space="0" w:color="1F2668"/>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47pt;height:785.2pt;mso-wrap-distance-left:16pt;mso-wrap-distance-right:0pt;mso-wrap-distance-top:0pt;mso-wrap-distance-bottom:0pt;margin-top:0pt;mso-position-vertical:top;mso-position-vertical-relative:text;margin-left:16pt;mso-position-horizontal:left;mso-position-horizontal-relative:text">
                <v:textbox>
                  <w:txbxContent>
                    <w:p>
                      <w:pPr>
                        <w:pStyle w:val="TextBody"/>
                        <w:bidi w:val="0"/>
                        <w:spacing w:lineRule="atLeast" w:line="270" w:before="260" w:after="283"/>
                        <w:jc w:val="left"/>
                        <w:rPr>
                          <w:b/>
                          <w:color w:val="83AD40"/>
                          <w:sz w:val="22"/>
                        </w:rPr>
                      </w:pPr>
                      <w:r>
                        <w:rPr>
                          <w:b/>
                          <w:color w:val="83AD40"/>
                          <w:spacing w:val="-2"/>
                          <w:sz w:val="22"/>
                        </w:rPr>
                        <w:t xml:space="preserve">2025 Performance and Compensation— </w:t>
                        <w:br/>
                        <w:t>Total Direct Compensation vs. Summary Compensation Table</w:t>
                      </w:r>
                      <w:r>
                        <w:rPr>
                          <w:b/>
                          <w:color w:val="000000"/>
                          <w:spacing w:val="4"/>
                          <w:sz w:val="22"/>
                        </w:rPr>
                        <w:t xml:space="preserve"> </w:t>
                      </w:r>
                    </w:p>
                    <w:tbl>
                      <w:tblPr>
                        <w:tblW w:w="10205" w:type="dxa"/>
                        <w:jc w:val="left"/>
                        <w:tblInd w:w="0" w:type="dxa"/>
                        <w:tblLayout w:type="fixed"/>
                        <w:tblCellMar>
                          <w:top w:w="0" w:type="dxa"/>
                          <w:left w:w="0" w:type="dxa"/>
                          <w:bottom w:w="28" w:type="dxa"/>
                          <w:right w:w="0" w:type="dxa"/>
                        </w:tblCellMar>
                      </w:tblPr>
                      <w:tblGrid>
                        <w:gridCol w:w="124"/>
                        <w:gridCol w:w="1295"/>
                        <w:gridCol w:w="109"/>
                        <w:gridCol w:w="109"/>
                        <w:gridCol w:w="1177"/>
                        <w:gridCol w:w="109"/>
                        <w:gridCol w:w="109"/>
                        <w:gridCol w:w="7017"/>
                        <w:gridCol w:w="156"/>
                      </w:tblGrid>
                      <w:tr>
                        <w:trPr/>
                        <w:tc>
                          <w:tcPr>
                            <w:tcW w:w="124" w:type="dxa"/>
                            <w:tcBorders>
                              <w:bottom w:val="single" w:sz="8" w:space="0" w:color="1F2668"/>
                            </w:tcBorders>
                            <w:shd w:fill="E9F9D8" w:val="clear"/>
                            <w:vAlign w:val="center"/>
                          </w:tcPr>
                          <w:p>
                            <w:pPr>
                              <w:pStyle w:val="TableContents"/>
                              <w:bidi w:val="0"/>
                              <w:spacing w:before="0" w:after="283"/>
                              <w:jc w:val="left"/>
                              <w:rPr/>
                            </w:pPr>
                            <w:r>
                              <w:rPr/>
                              <w:t>​</w:t>
                            </w:r>
                          </w:p>
                        </w:tc>
                        <w:tc>
                          <w:tcPr>
                            <w:tcW w:w="1295" w:type="dxa"/>
                            <w:tcBorders>
                              <w:bottom w:val="single" w:sz="8" w:space="0" w:color="1F2668"/>
                            </w:tcBorders>
                            <w:shd w:fill="E9F9D8" w:val="clear"/>
                            <w:tcMar>
                              <w:bottom w:w="50" w:type="dxa"/>
                            </w:tcMar>
                            <w:vAlign w:val="center"/>
                          </w:tcPr>
                          <w:p>
                            <w:pPr>
                              <w:pStyle w:val="TableContents"/>
                              <w:bidi w:val="0"/>
                              <w:spacing w:before="0" w:after="0"/>
                              <w:jc w:val="left"/>
                              <w:rPr>
                                <w:spacing w:val="-2"/>
                              </w:rPr>
                            </w:pPr>
                            <w:r>
                              <w:rPr>
                                <w:spacing w:val="-2"/>
                              </w:rPr>
                              <w:t xml:space="preserve">TDC </w:t>
                            </w:r>
                          </w:p>
                        </w:tc>
                        <w:tc>
                          <w:tcPr>
                            <w:tcW w:w="109" w:type="dxa"/>
                            <w:tcBorders>
                              <w:bottom w:val="single" w:sz="8" w:space="0" w:color="1F2668"/>
                            </w:tcBorders>
                            <w:shd w:fill="E9F9D8" w:val="clear"/>
                            <w:vAlign w:val="center"/>
                          </w:tcPr>
                          <w:p>
                            <w:pPr>
                              <w:pStyle w:val="TableContents"/>
                              <w:bidi w:val="0"/>
                              <w:spacing w:before="0" w:after="283"/>
                              <w:jc w:val="left"/>
                              <w:rPr/>
                            </w:pPr>
                            <w:r>
                              <w:rPr/>
                              <w:t>​</w:t>
                            </w:r>
                          </w:p>
                        </w:tc>
                        <w:tc>
                          <w:tcPr>
                            <w:tcW w:w="109" w:type="dxa"/>
                            <w:tcBorders>
                              <w:bottom w:val="single" w:sz="8" w:space="0" w:color="1F2668"/>
                            </w:tcBorders>
                            <w:vAlign w:val="center"/>
                          </w:tcPr>
                          <w:p>
                            <w:pPr>
                              <w:pStyle w:val="TableContents"/>
                              <w:bidi w:val="0"/>
                              <w:spacing w:before="0" w:after="283"/>
                              <w:jc w:val="left"/>
                              <w:rPr/>
                            </w:pPr>
                            <w:r>
                              <w:rPr/>
                              <w:t>​</w:t>
                            </w:r>
                          </w:p>
                        </w:tc>
                        <w:tc>
                          <w:tcPr>
                            <w:tcW w:w="1177" w:type="dxa"/>
                            <w:tcBorders>
                              <w:bottom w:val="single" w:sz="8" w:space="0" w:color="1F2668"/>
                            </w:tcBorders>
                            <w:tcMar>
                              <w:bottom w:w="50" w:type="dxa"/>
                            </w:tcMar>
                            <w:vAlign w:val="center"/>
                          </w:tcPr>
                          <w:p>
                            <w:pPr>
                              <w:pStyle w:val="TableContents"/>
                              <w:bidi w:val="0"/>
                              <w:spacing w:before="0" w:after="0"/>
                              <w:jc w:val="left"/>
                              <w:rPr>
                                <w:spacing w:val="-2"/>
                              </w:rPr>
                            </w:pPr>
                            <w:r>
                              <w:rPr>
                                <w:spacing w:val="-2"/>
                              </w:rPr>
                              <w:t xml:space="preserve">SCT </w:t>
                            </w:r>
                          </w:p>
                        </w:tc>
                        <w:tc>
                          <w:tcPr>
                            <w:tcW w:w="109" w:type="dxa"/>
                            <w:tcBorders>
                              <w:bottom w:val="single" w:sz="8" w:space="0" w:color="1F2668"/>
                            </w:tcBorders>
                            <w:vAlign w:val="center"/>
                          </w:tcPr>
                          <w:p>
                            <w:pPr>
                              <w:pStyle w:val="TableContents"/>
                              <w:bidi w:val="0"/>
                              <w:spacing w:before="0" w:after="283"/>
                              <w:jc w:val="left"/>
                              <w:rPr/>
                            </w:pPr>
                            <w:r>
                              <w:rPr/>
                              <w:t>​</w:t>
                            </w:r>
                          </w:p>
                        </w:tc>
                        <w:tc>
                          <w:tcPr>
                            <w:tcW w:w="109" w:type="dxa"/>
                            <w:tcBorders>
                              <w:bottom w:val="single" w:sz="8" w:space="0" w:color="1F2668"/>
                            </w:tcBorders>
                            <w:vAlign w:val="center"/>
                          </w:tcPr>
                          <w:p>
                            <w:pPr>
                              <w:pStyle w:val="TableContents"/>
                              <w:bidi w:val="0"/>
                              <w:spacing w:before="0" w:after="283"/>
                              <w:jc w:val="left"/>
                              <w:rPr/>
                            </w:pPr>
                            <w:r>
                              <w:rPr/>
                              <w:t>​</w:t>
                            </w:r>
                          </w:p>
                        </w:tc>
                        <w:tc>
                          <w:tcPr>
                            <w:tcW w:w="7017" w:type="dxa"/>
                            <w:tcBorders>
                              <w:bottom w:val="single" w:sz="8" w:space="0" w:color="1F2668"/>
                            </w:tcBorders>
                            <w:tcMar>
                              <w:bottom w:w="50" w:type="dxa"/>
                            </w:tcMar>
                            <w:vAlign w:val="center"/>
                          </w:tcPr>
                          <w:p>
                            <w:pPr>
                              <w:pStyle w:val="TableContents"/>
                              <w:bidi w:val="0"/>
                              <w:spacing w:before="0" w:after="0"/>
                              <w:jc w:val="left"/>
                              <w:rPr>
                                <w:spacing w:val="-2"/>
                              </w:rPr>
                            </w:pPr>
                            <w:r>
                              <w:rPr>
                                <w:spacing w:val="-2"/>
                              </w:rPr>
                              <w:t xml:space="preserve">Element of Compensation </w:t>
                            </w:r>
                          </w:p>
                        </w:tc>
                        <w:tc>
                          <w:tcPr>
                            <w:tcW w:w="156" w:type="dxa"/>
                            <w:tcBorders>
                              <w:bottom w:val="single" w:sz="8" w:space="0" w:color="1F2668"/>
                            </w:tcBorders>
                            <w:vAlign w:val="center"/>
                          </w:tcPr>
                          <w:p>
                            <w:pPr>
                              <w:pStyle w:val="TableContents"/>
                              <w:bidi w:val="0"/>
                              <w:spacing w:before="0" w:after="283"/>
                              <w:jc w:val="left"/>
                              <w:rPr/>
                            </w:pPr>
                            <w:r>
                              <w:rPr/>
                              <w:t>​</w:t>
                            </w:r>
                          </w:p>
                        </w:tc>
                      </w:tr>
                      <w:tr>
                        <w:trPr/>
                        <w:tc>
                          <w:tcPr>
                            <w:tcW w:w="124" w:type="dxa"/>
                            <w:tcBorders>
                              <w:bottom w:val="single" w:sz="2" w:space="0" w:color="4B5088"/>
                            </w:tcBorders>
                            <w:shd w:fill="E9F9D8" w:val="clear"/>
                            <w:vAlign w:val="center"/>
                          </w:tcPr>
                          <w:p>
                            <w:pPr>
                              <w:pStyle w:val="TableContents"/>
                              <w:bidi w:val="0"/>
                              <w:spacing w:before="0" w:after="283"/>
                              <w:jc w:val="left"/>
                              <w:rPr/>
                            </w:pPr>
                            <w:r>
                              <w:rPr/>
                              <w:t>​</w:t>
                            </w:r>
                          </w:p>
                        </w:tc>
                        <w:tc>
                          <w:tcPr>
                            <w:tcW w:w="1295" w:type="dxa"/>
                            <w:tcBorders>
                              <w:bottom w:val="single" w:sz="2" w:space="0" w:color="4B5088"/>
                            </w:tcBorders>
                            <w:shd w:fill="E9F9D8" w:val="clear"/>
                            <w:tcMar>
                              <w:bottom w:w="69" w:type="dxa"/>
                            </w:tcMar>
                            <w:vAlign w:val="center"/>
                          </w:tcPr>
                          <w:p>
                            <w:pPr>
                              <w:pStyle w:val="TableContents"/>
                              <w:bidi w:val="0"/>
                              <w:spacing w:before="0" w:after="0"/>
                              <w:jc w:val="left"/>
                              <w:rPr>
                                <w:color w:val="1F2668"/>
                                <w:sz w:val="36"/>
                              </w:rPr>
                            </w:pPr>
                            <w:r>
                              <w:rPr>
                                <w:color w:val="1F2668"/>
                                <w:sz w:val="36"/>
                              </w:rPr>
                              <w:t>7%</w:t>
                            </w:r>
                          </w:p>
                          <w:p>
                            <w:pPr>
                              <w:pStyle w:val="TableContents"/>
                              <w:bidi w:val="0"/>
                              <w:spacing w:lineRule="atLeast" w:line="196" w:before="35" w:after="283"/>
                              <w:jc w:val="left"/>
                              <w:rPr>
                                <w:b/>
                              </w:rPr>
                            </w:pPr>
                            <w:r>
                              <w:rPr>
                                <w:b/>
                                <w:spacing w:val="-2"/>
                              </w:rPr>
                              <w:t>$1,400,000</w:t>
                            </w:r>
                            <w:r>
                              <w:rPr>
                                <w:b/>
                              </w:rPr>
                              <w:t xml:space="preserve"> </w:t>
                            </w:r>
                          </w:p>
                        </w:tc>
                        <w:tc>
                          <w:tcPr>
                            <w:tcW w:w="109" w:type="dxa"/>
                            <w:tcBorders>
                              <w:bottom w:val="single" w:sz="2" w:space="0" w:color="4B5088"/>
                            </w:tcBorders>
                            <w:shd w:fill="E9F9D8" w:val="clear"/>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1177" w:type="dxa"/>
                            <w:tcBorders>
                              <w:bottom w:val="single" w:sz="2" w:space="0" w:color="4B5088"/>
                            </w:tcBorders>
                            <w:tcMar>
                              <w:bottom w:w="69" w:type="dxa"/>
                            </w:tcMar>
                            <w:vAlign w:val="center"/>
                          </w:tcPr>
                          <w:p>
                            <w:pPr>
                              <w:pStyle w:val="TableContents"/>
                              <w:bidi w:val="0"/>
                              <w:spacing w:before="0" w:after="0"/>
                              <w:jc w:val="left"/>
                              <w:rPr>
                                <w:color w:val="1F2668"/>
                                <w:sz w:val="36"/>
                              </w:rPr>
                            </w:pPr>
                            <w:r>
                              <w:rPr>
                                <w:color w:val="1F2668"/>
                                <w:sz w:val="36"/>
                              </w:rPr>
                              <w:t>8%</w:t>
                            </w:r>
                          </w:p>
                          <w:p>
                            <w:pPr>
                              <w:pStyle w:val="TableContents"/>
                              <w:bidi w:val="0"/>
                              <w:spacing w:lineRule="atLeast" w:line="196" w:before="35" w:after="283"/>
                              <w:jc w:val="left"/>
                              <w:rPr>
                                <w:b/>
                              </w:rPr>
                            </w:pPr>
                            <w:r>
                              <w:rPr>
                                <w:b/>
                                <w:spacing w:val="-2"/>
                              </w:rPr>
                              <w:t>$1,400,000</w:t>
                            </w:r>
                            <w:r>
                              <w:rPr>
                                <w:b/>
                              </w:rPr>
                              <w:t xml:space="preserve"> </w:t>
                            </w:r>
                          </w:p>
                        </w:tc>
                        <w:tc>
                          <w:tcPr>
                            <w:tcW w:w="109"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7017" w:type="dxa"/>
                            <w:tcBorders>
                              <w:bottom w:val="single" w:sz="2" w:space="0" w:color="4B5088"/>
                            </w:tcBorders>
                            <w:tcMar>
                              <w:bottom w:w="69" w:type="dxa"/>
                            </w:tcMar>
                            <w:vAlign w:val="center"/>
                          </w:tcPr>
                          <w:p>
                            <w:pPr>
                              <w:pStyle w:val="TableContents"/>
                              <w:bidi w:val="0"/>
                              <w:spacing w:lineRule="atLeast" w:line="194" w:before="0" w:after="0"/>
                              <w:jc w:val="left"/>
                              <w:rPr>
                                <w:b/>
                                <w:sz w:val="18"/>
                              </w:rPr>
                            </w:pPr>
                            <w:r>
                              <w:rPr>
                                <w:b/>
                                <w:spacing w:val="-2"/>
                                <w:sz w:val="18"/>
                              </w:rPr>
                              <w:t>Annual Base Salary</w:t>
                            </w:r>
                            <w:r>
                              <w:rPr>
                                <w:b/>
                                <w:sz w:val="18"/>
                              </w:rPr>
                              <w:t xml:space="preserve"> </w:t>
                            </w:r>
                          </w:p>
                          <w:p>
                            <w:pPr>
                              <w:pStyle w:val="TableContents"/>
                              <w:bidi w:val="0"/>
                              <w:spacing w:lineRule="atLeast" w:line="174" w:before="14" w:after="283"/>
                              <w:jc w:val="left"/>
                              <w:rPr>
                                <w:spacing w:val="-2"/>
                              </w:rPr>
                            </w:pPr>
                            <w:r>
                              <w:rPr>
                                <w:spacing w:val="-2"/>
                              </w:rPr>
                              <w:t xml:space="preserve">Mr. Holliday’s base salary was equal to the minimum set forth in his employment agreement. In connection with Mr. Holliday’s new employment agreement, his base salary increased by 10.7% to better align with market. Prior to 2025, there had been no change to his base salary since it was retroactively reduced in 2018. </w:t>
                            </w:r>
                          </w:p>
                        </w:tc>
                        <w:tc>
                          <w:tcPr>
                            <w:tcW w:w="156" w:type="dxa"/>
                            <w:tcBorders>
                              <w:bottom w:val="single" w:sz="2" w:space="0" w:color="4B5088"/>
                            </w:tcBorders>
                            <w:vAlign w:val="center"/>
                          </w:tcPr>
                          <w:p>
                            <w:pPr>
                              <w:pStyle w:val="TableContents"/>
                              <w:bidi w:val="0"/>
                              <w:spacing w:before="0" w:after="283"/>
                              <w:jc w:val="left"/>
                              <w:rPr/>
                            </w:pPr>
                            <w:r>
                              <w:rPr/>
                              <w:t>​</w:t>
                            </w:r>
                          </w:p>
                        </w:tc>
                      </w:tr>
                      <w:tr>
                        <w:trPr/>
                        <w:tc>
                          <w:tcPr>
                            <w:tcW w:w="124" w:type="dxa"/>
                            <w:tcBorders>
                              <w:bottom w:val="single" w:sz="2" w:space="0" w:color="4B5088"/>
                            </w:tcBorders>
                            <w:shd w:fill="E9F9D8" w:val="clear"/>
                            <w:vAlign w:val="center"/>
                          </w:tcPr>
                          <w:p>
                            <w:pPr>
                              <w:pStyle w:val="TableContents"/>
                              <w:bidi w:val="0"/>
                              <w:spacing w:before="0" w:after="283"/>
                              <w:jc w:val="left"/>
                              <w:rPr/>
                            </w:pPr>
                            <w:r>
                              <w:rPr/>
                              <w:t>​</w:t>
                            </w:r>
                          </w:p>
                        </w:tc>
                        <w:tc>
                          <w:tcPr>
                            <w:tcW w:w="1295" w:type="dxa"/>
                            <w:tcBorders>
                              <w:bottom w:val="single" w:sz="2" w:space="0" w:color="4B5088"/>
                            </w:tcBorders>
                            <w:shd w:fill="E9F9D8" w:val="clear"/>
                            <w:tcMar>
                              <w:bottom w:w="69" w:type="dxa"/>
                            </w:tcMar>
                            <w:vAlign w:val="center"/>
                          </w:tcPr>
                          <w:p>
                            <w:pPr>
                              <w:pStyle w:val="TableContents"/>
                              <w:bidi w:val="0"/>
                              <w:spacing w:before="0" w:after="0"/>
                              <w:jc w:val="left"/>
                              <w:rPr>
                                <w:color w:val="1F2668"/>
                                <w:sz w:val="36"/>
                              </w:rPr>
                            </w:pPr>
                            <w:r>
                              <w:rPr>
                                <w:color w:val="1F2668"/>
                                <w:sz w:val="36"/>
                              </w:rPr>
                              <w:t>17%</w:t>
                            </w:r>
                          </w:p>
                          <w:p>
                            <w:pPr>
                              <w:pStyle w:val="TableContents"/>
                              <w:bidi w:val="0"/>
                              <w:spacing w:lineRule="atLeast" w:line="196" w:before="36" w:after="283"/>
                              <w:jc w:val="left"/>
                              <w:rPr>
                                <w:b/>
                              </w:rPr>
                            </w:pPr>
                            <w:r>
                              <w:rPr>
                                <w:b/>
                                <w:spacing w:val="-2"/>
                              </w:rPr>
                              <w:t>$3,278,750</w:t>
                            </w:r>
                            <w:r>
                              <w:rPr>
                                <w:b/>
                              </w:rPr>
                              <w:t xml:space="preserve"> </w:t>
                            </w:r>
                          </w:p>
                        </w:tc>
                        <w:tc>
                          <w:tcPr>
                            <w:tcW w:w="109" w:type="dxa"/>
                            <w:tcBorders>
                              <w:bottom w:val="single" w:sz="2" w:space="0" w:color="4B5088"/>
                            </w:tcBorders>
                            <w:shd w:fill="E9F9D8" w:val="clear"/>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1177" w:type="dxa"/>
                            <w:tcBorders>
                              <w:bottom w:val="single" w:sz="2" w:space="0" w:color="4B5088"/>
                            </w:tcBorders>
                            <w:tcMar>
                              <w:bottom w:w="69" w:type="dxa"/>
                            </w:tcMar>
                            <w:vAlign w:val="center"/>
                          </w:tcPr>
                          <w:p>
                            <w:pPr>
                              <w:pStyle w:val="TableContents"/>
                              <w:bidi w:val="0"/>
                              <w:spacing w:before="0" w:after="0"/>
                              <w:jc w:val="left"/>
                              <w:rPr>
                                <w:color w:val="1F2668"/>
                                <w:sz w:val="36"/>
                              </w:rPr>
                            </w:pPr>
                            <w:r>
                              <w:rPr>
                                <w:color w:val="1F2668"/>
                                <w:sz w:val="36"/>
                              </w:rPr>
                              <w:t>7%</w:t>
                            </w:r>
                          </w:p>
                          <w:p>
                            <w:pPr>
                              <w:pStyle w:val="TableContents"/>
                              <w:bidi w:val="0"/>
                              <w:spacing w:lineRule="atLeast" w:line="196" w:before="36" w:after="283"/>
                              <w:jc w:val="left"/>
                              <w:rPr>
                                <w:b/>
                              </w:rPr>
                            </w:pPr>
                            <w:r>
                              <w:rPr>
                                <w:b/>
                                <w:spacing w:val="-2"/>
                              </w:rPr>
                              <w:t>$2,919,703</w:t>
                            </w:r>
                            <w:r>
                              <w:rPr>
                                <w:b/>
                              </w:rPr>
                              <w:t xml:space="preserve"> </w:t>
                            </w:r>
                          </w:p>
                        </w:tc>
                        <w:tc>
                          <w:tcPr>
                            <w:tcW w:w="109"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7017" w:type="dxa"/>
                            <w:tcBorders>
                              <w:bottom w:val="single" w:sz="2" w:space="0" w:color="4B5088"/>
                            </w:tcBorders>
                            <w:tcMar>
                              <w:bottom w:w="69" w:type="dxa"/>
                            </w:tcMar>
                            <w:vAlign w:val="center"/>
                          </w:tcPr>
                          <w:p>
                            <w:pPr>
                              <w:pStyle w:val="TableContents"/>
                              <w:bidi w:val="0"/>
                              <w:spacing w:lineRule="atLeast" w:line="194" w:before="0" w:after="0"/>
                              <w:jc w:val="left"/>
                              <w:rPr>
                                <w:b/>
                                <w:sz w:val="18"/>
                              </w:rPr>
                            </w:pPr>
                            <w:r>
                              <w:rPr>
                                <w:b/>
                                <w:spacing w:val="-2"/>
                                <w:sz w:val="18"/>
                              </w:rPr>
                              <w:t>100% Formulaic Annual Bonus</w:t>
                            </w:r>
                            <w:r>
                              <w:rPr>
                                <w:b/>
                                <w:sz w:val="18"/>
                              </w:rPr>
                              <w:t xml:space="preserve"> </w:t>
                            </w:r>
                          </w:p>
                          <w:p>
                            <w:pPr>
                              <w:pStyle w:val="TableContents"/>
                              <w:bidi w:val="0"/>
                              <w:spacing w:lineRule="atLeast" w:line="174" w:before="14" w:after="283"/>
                              <w:jc w:val="left"/>
                              <w:rPr/>
                            </w:pPr>
                            <w:r>
                              <w:rPr>
                                <w:spacing w:val="-2"/>
                              </w:rPr>
                              <w:t xml:space="preserve">Determined formulaically based on performance relative to preset objective bonus criteria established by the Committee in January 2025. The TDC amount reflects the earning of </w:t>
                            </w:r>
                            <w:r>
                              <w:rPr>
                                <w:b/>
                                <w:spacing w:val="-2"/>
                              </w:rPr>
                              <w:t>120%</w:t>
                            </w:r>
                            <w:r>
                              <w:rPr>
                                <w:spacing w:val="-2"/>
                              </w:rPr>
                              <w:t xml:space="preserve"> of the target bonus amount.</w:t>
                            </w:r>
                            <w:r>
                              <w:rPr/>
                              <w:t xml:space="preserve"> </w:t>
                            </w:r>
                          </w:p>
                          <w:p>
                            <w:pPr>
                              <w:pStyle w:val="TableContents"/>
                              <w:bidi w:val="0"/>
                              <w:spacing w:lineRule="atLeast" w:line="174" w:before="60" w:after="283"/>
                              <w:jc w:val="left"/>
                              <w:rPr/>
                            </w:pPr>
                            <w:r>
                              <w:rPr>
                                <w:spacing w:val="-2"/>
                              </w:rPr>
                              <w:t xml:space="preserve">The SCT amount reflects the grant date value of the bonus, which was paid </w:t>
                            </w:r>
                            <w:r>
                              <w:rPr>
                                <w:b/>
                                <w:spacing w:val="-2"/>
                              </w:rPr>
                              <w:t>50%</w:t>
                            </w:r>
                            <w:r>
                              <w:rPr>
                                <w:spacing w:val="-2"/>
                              </w:rPr>
                              <w:t xml:space="preserve"> in cash and </w:t>
                            </w:r>
                            <w:r>
                              <w:rPr>
                                <w:b/>
                                <w:spacing w:val="-2"/>
                              </w:rPr>
                              <w:t>50%</w:t>
                            </w:r>
                            <w:r>
                              <w:rPr>
                                <w:spacing w:val="-2"/>
                              </w:rPr>
                              <w:t xml:space="preserve"> in equity at Mr. Holliday’s election, in the form of 35,833 LTIP units granted in December 2025. These LTIP units were fully vested upon grant, but remain subject to a three-year no-sell restriction. </w:t>
                            </w:r>
                          </w:p>
                        </w:tc>
                        <w:tc>
                          <w:tcPr>
                            <w:tcW w:w="156" w:type="dxa"/>
                            <w:tcBorders>
                              <w:bottom w:val="single" w:sz="2" w:space="0" w:color="4B5088"/>
                            </w:tcBorders>
                            <w:vAlign w:val="center"/>
                          </w:tcPr>
                          <w:p>
                            <w:pPr>
                              <w:pStyle w:val="TableContents"/>
                              <w:bidi w:val="0"/>
                              <w:spacing w:before="0" w:after="283"/>
                              <w:jc w:val="left"/>
                              <w:rPr/>
                            </w:pPr>
                            <w:r>
                              <w:rPr/>
                              <w:t>​</w:t>
                            </w:r>
                          </w:p>
                        </w:tc>
                      </w:tr>
                      <w:tr>
                        <w:trPr/>
                        <w:tc>
                          <w:tcPr>
                            <w:tcW w:w="124" w:type="dxa"/>
                            <w:tcBorders/>
                            <w:shd w:fill="E9F9D8" w:val="clear"/>
                            <w:tcMar>
                              <w:bottom w:w="0" w:type="dxa"/>
                            </w:tcMar>
                            <w:vAlign w:val="center"/>
                          </w:tcPr>
                          <w:p>
                            <w:pPr>
                              <w:pStyle w:val="TableContents"/>
                              <w:bidi w:val="0"/>
                              <w:spacing w:before="0" w:after="283"/>
                              <w:jc w:val="left"/>
                              <w:rPr/>
                            </w:pPr>
                            <w:r>
                              <w:rPr/>
                              <w:t>​</w:t>
                            </w:r>
                          </w:p>
                        </w:tc>
                        <w:tc>
                          <w:tcPr>
                            <w:tcW w:w="1295" w:type="dxa"/>
                            <w:tcBorders/>
                            <w:shd w:fill="E9F9D8" w:val="clear"/>
                            <w:tcMar>
                              <w:bottom w:w="0" w:type="dxa"/>
                            </w:tcMar>
                            <w:vAlign w:val="center"/>
                          </w:tcPr>
                          <w:p>
                            <w:pPr>
                              <w:pStyle w:val="TableContents"/>
                              <w:bidi w:val="0"/>
                              <w:spacing w:before="0" w:after="0"/>
                              <w:jc w:val="left"/>
                              <w:rPr>
                                <w:color w:val="1F2668"/>
                                <w:sz w:val="36"/>
                              </w:rPr>
                            </w:pPr>
                            <w:r>
                              <w:rPr>
                                <w:color w:val="1F2668"/>
                                <w:sz w:val="36"/>
                              </w:rPr>
                              <w:t>51%</w:t>
                            </w:r>
                          </w:p>
                          <w:p>
                            <w:pPr>
                              <w:pStyle w:val="TableContents"/>
                              <w:bidi w:val="0"/>
                              <w:spacing w:lineRule="atLeast" w:line="196" w:before="36" w:after="283"/>
                              <w:jc w:val="left"/>
                              <w:rPr>
                                <w:b/>
                              </w:rPr>
                            </w:pPr>
                            <w:r>
                              <w:rPr>
                                <w:b/>
                                <w:spacing w:val="-2"/>
                              </w:rPr>
                              <w:t>$10,000,000</w:t>
                            </w:r>
                            <w:r>
                              <w:rPr>
                                <w:b/>
                              </w:rPr>
                              <w:t xml:space="preserve"> </w:t>
                            </w:r>
                          </w:p>
                        </w:tc>
                        <w:tc>
                          <w:tcPr>
                            <w:tcW w:w="109" w:type="dxa"/>
                            <w:tcBorders/>
                            <w:shd w:fill="E9F9D8"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7" w:type="dxa"/>
                            <w:tcBorders/>
                            <w:tcMar>
                              <w:bottom w:w="0" w:type="dxa"/>
                            </w:tcMar>
                            <w:vAlign w:val="center"/>
                          </w:tcPr>
                          <w:p>
                            <w:pPr>
                              <w:pStyle w:val="TableContents"/>
                              <w:bidi w:val="0"/>
                              <w:spacing w:before="0" w:after="0"/>
                              <w:jc w:val="left"/>
                              <w:rPr>
                                <w:color w:val="1F2668"/>
                                <w:sz w:val="36"/>
                              </w:rPr>
                            </w:pPr>
                            <w:r>
                              <w:rPr>
                                <w:color w:val="1F2668"/>
                                <w:sz w:val="36"/>
                              </w:rPr>
                              <w:t>38%</w:t>
                            </w:r>
                          </w:p>
                          <w:p>
                            <w:pPr>
                              <w:pStyle w:val="TableContents"/>
                              <w:bidi w:val="0"/>
                              <w:spacing w:lineRule="atLeast" w:line="196" w:before="36" w:after="283"/>
                              <w:jc w:val="left"/>
                              <w:rPr>
                                <w:b/>
                              </w:rPr>
                            </w:pPr>
                            <w:r>
                              <w:rPr>
                                <w:b/>
                                <w:spacing w:val="-2"/>
                              </w:rPr>
                              <w:t>$6,653,741</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017" w:type="dxa"/>
                            <w:tcBorders/>
                            <w:tcMar>
                              <w:bottom w:w="0" w:type="dxa"/>
                            </w:tcMar>
                            <w:vAlign w:val="center"/>
                          </w:tcPr>
                          <w:p>
                            <w:pPr>
                              <w:pStyle w:val="TableContents"/>
                              <w:bidi w:val="0"/>
                              <w:spacing w:lineRule="atLeast" w:line="194" w:before="0" w:after="0"/>
                              <w:jc w:val="left"/>
                              <w:rPr>
                                <w:b/>
                                <w:sz w:val="18"/>
                              </w:rPr>
                            </w:pPr>
                            <w:r>
                              <w:rPr>
                                <w:b/>
                                <w:spacing w:val="-2"/>
                                <w:sz w:val="18"/>
                              </w:rPr>
                              <w:t>Performance-Based Equity Awards</w:t>
                            </w:r>
                            <w:r>
                              <w:rPr>
                                <w:b/>
                                <w:sz w:val="18"/>
                              </w:rPr>
                              <w:t xml:space="preserve"> </w:t>
                            </w:r>
                          </w:p>
                          <w:p>
                            <w:pPr>
                              <w:pStyle w:val="TableContents"/>
                              <w:bidi w:val="0"/>
                              <w:spacing w:lineRule="atLeast" w:line="174" w:before="14" w:after="283"/>
                              <w:jc w:val="left"/>
                              <w:rPr/>
                            </w:pPr>
                            <w:r>
                              <w:rPr>
                                <w:spacing w:val="-2"/>
                              </w:rPr>
                              <w:t xml:space="preserve">The TDC amount reflects the target notional value of </w:t>
                            </w:r>
                            <w:r>
                              <w:rPr>
                                <w:b/>
                                <w:spacing w:val="-2"/>
                              </w:rPr>
                              <w:t>$5,000,000</w:t>
                            </w:r>
                            <w:r>
                              <w:rPr>
                                <w:spacing w:val="-2"/>
                              </w:rPr>
                              <w:t xml:space="preserve">, consistent with the target amount set forth in Mr. Holliday’s employment agreement, plus an additional </w:t>
                            </w:r>
                            <w:r>
                              <w:rPr>
                                <w:b/>
                                <w:spacing w:val="-2"/>
                              </w:rPr>
                              <w:t>$5,000,000</w:t>
                            </w:r>
                            <w:r>
                              <w:rPr>
                                <w:spacing w:val="-2"/>
                              </w:rPr>
                              <w:t xml:space="preserve"> as the Outperformance Modifier, granted in 2026. </w:t>
                            </w:r>
                            <w:r>
                              <w:rPr>
                                <w:b/>
                                <w:spacing w:val="-2"/>
                              </w:rPr>
                              <w:t>The SCT amount reflects the grant date value of his 2024 performance-based award, granted in 2025</w:t>
                            </w:r>
                            <w:r>
                              <w:rPr>
                                <w:spacing w:val="-2"/>
                              </w:rPr>
                              <w:t>.</w:t>
                            </w:r>
                            <w:r>
                              <w:rPr/>
                              <w:t xml:space="preserve"> </w:t>
                            </w:r>
                          </w:p>
                          <w:p>
                            <w:pPr>
                              <w:pStyle w:val="TableContents"/>
                              <w:bidi w:val="0"/>
                              <w:spacing w:lineRule="atLeast" w:line="174" w:before="60" w:after="283"/>
                              <w:jc w:val="left"/>
                              <w:rPr/>
                            </w:pPr>
                            <w:r>
                              <w:rPr>
                                <w:spacing w:val="-2"/>
                              </w:rPr>
                              <w:t>The annual performance-based award relates to the corresponding number of LTIP units set forth below:</w:t>
                            </w:r>
                            <w:r>
                              <w:rPr/>
                              <w:t xml:space="preserve"> </w:t>
                            </w:r>
                          </w:p>
                        </w:tc>
                        <w:tc>
                          <w:tcPr>
                            <w:tcW w:w="156" w:type="dxa"/>
                            <w:tcBorders/>
                            <w:tcMar>
                              <w:bottom w:w="0" w:type="dxa"/>
                            </w:tcMar>
                            <w:vAlign w:val="center"/>
                          </w:tcPr>
                          <w:p>
                            <w:pPr>
                              <w:pStyle w:val="TableContents"/>
                              <w:bidi w:val="0"/>
                              <w:spacing w:before="0" w:after="283"/>
                              <w:jc w:val="left"/>
                              <w:rPr/>
                            </w:pPr>
                            <w:r>
                              <w:rPr/>
                              <w:t>​</w:t>
                            </w:r>
                          </w:p>
                        </w:tc>
                      </w:tr>
                    </w:tbl>
                    <w:tbl>
                      <w:tblPr>
                        <w:tblW w:w="6274" w:type="dxa"/>
                        <w:jc w:val="left"/>
                        <w:tblInd w:w="0" w:type="dxa"/>
                        <w:tblLayout w:type="fixed"/>
                        <w:tblCellMar>
                          <w:top w:w="0" w:type="dxa"/>
                          <w:left w:w="0" w:type="dxa"/>
                          <w:bottom w:w="0" w:type="dxa"/>
                          <w:right w:w="0" w:type="dxa"/>
                        </w:tblCellMar>
                      </w:tblPr>
                      <w:tblGrid>
                        <w:gridCol w:w="124"/>
                        <w:gridCol w:w="109"/>
                        <w:gridCol w:w="109"/>
                        <w:gridCol w:w="109"/>
                        <w:gridCol w:w="109"/>
                        <w:gridCol w:w="109"/>
                        <w:gridCol w:w="1110"/>
                        <w:gridCol w:w="109"/>
                        <w:gridCol w:w="109"/>
                        <w:gridCol w:w="816"/>
                        <w:gridCol w:w="109"/>
                        <w:gridCol w:w="109"/>
                        <w:gridCol w:w="1129"/>
                        <w:gridCol w:w="109"/>
                        <w:gridCol w:w="109"/>
                        <w:gridCol w:w="1742"/>
                        <w:gridCol w:w="154"/>
                      </w:tblGrid>
                      <w:tr>
                        <w:trPr/>
                        <w:tc>
                          <w:tcPr>
                            <w:tcW w:w="124" w:type="dxa"/>
                            <w:tcBorders/>
                            <w:shd w:fill="E9F9D8" w:val="clear"/>
                            <w:vAlign w:val="center"/>
                          </w:tcPr>
                          <w:p>
                            <w:pPr>
                              <w:pStyle w:val="TableContents"/>
                              <w:bidi w:val="0"/>
                              <w:spacing w:before="0" w:after="283"/>
                              <w:jc w:val="left"/>
                              <w:rPr/>
                            </w:pPr>
                            <w:r>
                              <w:rPr/>
                              <w:t>​</w:t>
                            </w:r>
                          </w:p>
                        </w:tc>
                        <w:tc>
                          <w:tcPr>
                            <w:tcW w:w="109" w:type="dxa"/>
                            <w:tcBorders/>
                            <w:shd w:fill="E9F9D8" w:val="cle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top w:val="single" w:sz="16" w:space="0" w:color="1F2668"/>
                              <w:bottom w:val="single" w:sz="16" w:space="0" w:color="1F2668"/>
                            </w:tcBorders>
                            <w:tcMar>
                              <w:top w:w="28" w:type="dxa"/>
                              <w:bottom w:w="28" w:type="dxa"/>
                            </w:tcMar>
                            <w:vAlign w:val="center"/>
                          </w:tcPr>
                          <w:p>
                            <w:pPr>
                              <w:pStyle w:val="TableContents"/>
                              <w:bidi w:val="0"/>
                              <w:spacing w:before="0" w:after="283"/>
                              <w:jc w:val="left"/>
                              <w:rPr/>
                            </w:pPr>
                            <w:r>
                              <w:rPr/>
                              <w:t>​</w:t>
                            </w:r>
                          </w:p>
                        </w:tc>
                        <w:tc>
                          <w:tcPr>
                            <w:tcW w:w="5451" w:type="dxa"/>
                            <w:gridSpan w:val="10"/>
                            <w:tcBorders>
                              <w:top w:val="single" w:sz="16" w:space="0" w:color="1F2668"/>
                              <w:bottom w:val="single" w:sz="16" w:space="0" w:color="1F2668"/>
                            </w:tcBorders>
                            <w:tcMar>
                              <w:top w:w="57" w:type="dxa"/>
                              <w:bottom w:w="28" w:type="dxa"/>
                            </w:tcMar>
                            <w:vAlign w:val="center"/>
                          </w:tcPr>
                          <w:p>
                            <w:pPr>
                              <w:pStyle w:val="TableContents"/>
                              <w:bidi w:val="0"/>
                              <w:spacing w:before="0" w:after="0"/>
                              <w:jc w:val="center"/>
                              <w:rPr>
                                <w:spacing w:val="-2"/>
                              </w:rPr>
                            </w:pPr>
                            <w:r>
                              <w:rPr>
                                <w:spacing w:val="-2"/>
                              </w:rPr>
                              <w:t xml:space="preserve">2025 Annual Performance-Based Award— </w:t>
                              <w:br/>
                              <w:t xml:space="preserve">Number of LTIP Units Granted </w:t>
                            </w:r>
                          </w:p>
                        </w:tc>
                        <w:tc>
                          <w:tcPr>
                            <w:tcW w:w="154" w:type="dxa"/>
                            <w:tcBorders>
                              <w:top w:val="single" w:sz="16" w:space="0" w:color="1F2668"/>
                              <w:bottom w:val="single" w:sz="16" w:space="0" w:color="1F2668"/>
                            </w:tcBorders>
                            <w:tcMar>
                              <w:top w:w="28" w:type="dxa"/>
                              <w:bottom w:w="28" w:type="dxa"/>
                            </w:tcMar>
                            <w:vAlign w:val="center"/>
                          </w:tcPr>
                          <w:p>
                            <w:pPr>
                              <w:pStyle w:val="TableContents"/>
                              <w:bidi w:val="0"/>
                              <w:spacing w:before="0" w:after="283"/>
                              <w:jc w:val="left"/>
                              <w:rPr/>
                            </w:pPr>
                            <w:r>
                              <w:rPr/>
                              <w:t>​</w:t>
                            </w:r>
                          </w:p>
                        </w:tc>
                      </w:tr>
                      <w:tr>
                        <w:trPr/>
                        <w:tc>
                          <w:tcPr>
                            <w:tcW w:w="124"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4B5088"/>
                            </w:tcBorders>
                            <w:tcMar>
                              <w:bottom w:w="28" w:type="dxa"/>
                            </w:tcMar>
                            <w:vAlign w:val="center"/>
                          </w:tcPr>
                          <w:p>
                            <w:pPr>
                              <w:pStyle w:val="TableContents"/>
                              <w:bidi w:val="0"/>
                              <w:spacing w:before="0" w:after="283"/>
                              <w:jc w:val="left"/>
                              <w:rPr/>
                            </w:pPr>
                            <w:r>
                              <w:rPr/>
                              <w:t>​</w:t>
                            </w:r>
                          </w:p>
                        </w:tc>
                        <w:tc>
                          <w:tcPr>
                            <w:tcW w:w="1110" w:type="dxa"/>
                            <w:tcBorders>
                              <w:bottom w:val="single" w:sz="12" w:space="0" w:color="4B5088"/>
                            </w:tcBorders>
                            <w:tcMar>
                              <w:bottom w:w="33" w:type="dxa"/>
                            </w:tcMar>
                            <w:vAlign w:val="center"/>
                          </w:tcPr>
                          <w:p>
                            <w:pPr>
                              <w:pStyle w:val="TableContents"/>
                              <w:bidi w:val="0"/>
                              <w:spacing w:before="0" w:after="0"/>
                              <w:jc w:val="right"/>
                              <w:rPr/>
                            </w:pPr>
                            <w:r>
                              <w:rPr>
                                <w:spacing w:val="-2"/>
                              </w:rPr>
                              <w:t>Threshold</w:t>
                            </w:r>
                            <w:r>
                              <w:rPr/>
                              <w:t xml:space="preserve"> </w:t>
                            </w:r>
                          </w:p>
                        </w:tc>
                        <w:tc>
                          <w:tcPr>
                            <w:tcW w:w="109" w:type="dxa"/>
                            <w:tcBorders>
                              <w:bottom w:val="single" w:sz="12" w:space="0" w:color="4B5088"/>
                            </w:tcBorders>
                            <w:tcMar>
                              <w:bottom w:w="28" w:type="dxa"/>
                            </w:tcMar>
                            <w:vAlign w:val="center"/>
                          </w:tcPr>
                          <w:p>
                            <w:pPr>
                              <w:pStyle w:val="TableContents"/>
                              <w:bidi w:val="0"/>
                              <w:spacing w:before="0" w:after="283"/>
                              <w:jc w:val="left"/>
                              <w:rPr/>
                            </w:pPr>
                            <w:r>
                              <w:rPr/>
                              <w:t>​</w:t>
                            </w:r>
                          </w:p>
                        </w:tc>
                        <w:tc>
                          <w:tcPr>
                            <w:tcW w:w="109" w:type="dxa"/>
                            <w:tcBorders>
                              <w:bottom w:val="single" w:sz="12" w:space="0" w:color="4B5088"/>
                            </w:tcBorders>
                            <w:tcMar>
                              <w:bottom w:w="28" w:type="dxa"/>
                            </w:tcMar>
                            <w:vAlign w:val="center"/>
                          </w:tcPr>
                          <w:p>
                            <w:pPr>
                              <w:pStyle w:val="TableContents"/>
                              <w:bidi w:val="0"/>
                              <w:spacing w:before="0" w:after="283"/>
                              <w:jc w:val="left"/>
                              <w:rPr/>
                            </w:pPr>
                            <w:r>
                              <w:rPr/>
                              <w:t>​</w:t>
                            </w:r>
                          </w:p>
                        </w:tc>
                        <w:tc>
                          <w:tcPr>
                            <w:tcW w:w="816" w:type="dxa"/>
                            <w:tcBorders>
                              <w:bottom w:val="single" w:sz="12" w:space="0" w:color="4B5088"/>
                            </w:tcBorders>
                            <w:tcMar>
                              <w:bottom w:w="33" w:type="dxa"/>
                            </w:tcMar>
                            <w:vAlign w:val="center"/>
                          </w:tcPr>
                          <w:p>
                            <w:pPr>
                              <w:pStyle w:val="TableContents"/>
                              <w:bidi w:val="0"/>
                              <w:spacing w:before="0" w:after="0"/>
                              <w:jc w:val="right"/>
                              <w:rPr/>
                            </w:pPr>
                            <w:r>
                              <w:rPr>
                                <w:spacing w:val="-2"/>
                              </w:rPr>
                              <w:t>Target</w:t>
                            </w:r>
                            <w:r>
                              <w:rPr/>
                              <w:t xml:space="preserve"> </w:t>
                            </w:r>
                          </w:p>
                        </w:tc>
                        <w:tc>
                          <w:tcPr>
                            <w:tcW w:w="109" w:type="dxa"/>
                            <w:tcBorders>
                              <w:bottom w:val="single" w:sz="12" w:space="0" w:color="4B5088"/>
                            </w:tcBorders>
                            <w:tcMar>
                              <w:bottom w:w="28" w:type="dxa"/>
                            </w:tcMar>
                            <w:vAlign w:val="center"/>
                          </w:tcPr>
                          <w:p>
                            <w:pPr>
                              <w:pStyle w:val="TableContents"/>
                              <w:bidi w:val="0"/>
                              <w:spacing w:before="0" w:after="283"/>
                              <w:jc w:val="left"/>
                              <w:rPr/>
                            </w:pPr>
                            <w:r>
                              <w:rPr/>
                              <w:t>​</w:t>
                            </w:r>
                          </w:p>
                        </w:tc>
                        <w:tc>
                          <w:tcPr>
                            <w:tcW w:w="109" w:type="dxa"/>
                            <w:tcBorders>
                              <w:bottom w:val="single" w:sz="12" w:space="0" w:color="4B5088"/>
                            </w:tcBorders>
                            <w:tcMar>
                              <w:bottom w:w="28" w:type="dxa"/>
                            </w:tcMar>
                            <w:vAlign w:val="center"/>
                          </w:tcPr>
                          <w:p>
                            <w:pPr>
                              <w:pStyle w:val="TableContents"/>
                              <w:bidi w:val="0"/>
                              <w:spacing w:before="0" w:after="283"/>
                              <w:jc w:val="left"/>
                              <w:rPr/>
                            </w:pPr>
                            <w:r>
                              <w:rPr/>
                              <w:t>​</w:t>
                            </w:r>
                          </w:p>
                        </w:tc>
                        <w:tc>
                          <w:tcPr>
                            <w:tcW w:w="1129" w:type="dxa"/>
                            <w:tcBorders>
                              <w:bottom w:val="single" w:sz="12" w:space="0" w:color="4B5088"/>
                            </w:tcBorders>
                            <w:tcMar>
                              <w:bottom w:w="33" w:type="dxa"/>
                            </w:tcMar>
                            <w:vAlign w:val="center"/>
                          </w:tcPr>
                          <w:p>
                            <w:pPr>
                              <w:pStyle w:val="TableContents"/>
                              <w:bidi w:val="0"/>
                              <w:spacing w:before="0" w:after="0"/>
                              <w:jc w:val="right"/>
                              <w:rPr/>
                            </w:pPr>
                            <w:r>
                              <w:rPr>
                                <w:spacing w:val="-2"/>
                              </w:rPr>
                              <w:t>Maximum</w:t>
                            </w:r>
                            <w:r>
                              <w:rPr/>
                              <w:t xml:space="preserve"> </w:t>
                            </w:r>
                          </w:p>
                        </w:tc>
                        <w:tc>
                          <w:tcPr>
                            <w:tcW w:w="109" w:type="dxa"/>
                            <w:tcBorders>
                              <w:bottom w:val="single" w:sz="12" w:space="0" w:color="4B5088"/>
                            </w:tcBorders>
                            <w:tcMar>
                              <w:bottom w:w="28" w:type="dxa"/>
                            </w:tcMar>
                            <w:vAlign w:val="center"/>
                          </w:tcPr>
                          <w:p>
                            <w:pPr>
                              <w:pStyle w:val="TableContents"/>
                              <w:bidi w:val="0"/>
                              <w:spacing w:before="0" w:after="283"/>
                              <w:jc w:val="left"/>
                              <w:rPr/>
                            </w:pPr>
                            <w:r>
                              <w:rPr/>
                              <w:t>​</w:t>
                            </w:r>
                          </w:p>
                        </w:tc>
                        <w:tc>
                          <w:tcPr>
                            <w:tcW w:w="109" w:type="dxa"/>
                            <w:tcBorders>
                              <w:bottom w:val="single" w:sz="12" w:space="0" w:color="4B5088"/>
                            </w:tcBorders>
                            <w:tcMar>
                              <w:bottom w:w="28" w:type="dxa"/>
                            </w:tcMar>
                            <w:vAlign w:val="center"/>
                          </w:tcPr>
                          <w:p>
                            <w:pPr>
                              <w:pStyle w:val="TableContents"/>
                              <w:bidi w:val="0"/>
                              <w:spacing w:before="0" w:after="283"/>
                              <w:jc w:val="left"/>
                              <w:rPr/>
                            </w:pPr>
                            <w:r>
                              <w:rPr/>
                              <w:t>​</w:t>
                            </w:r>
                          </w:p>
                        </w:tc>
                        <w:tc>
                          <w:tcPr>
                            <w:tcW w:w="1742" w:type="dxa"/>
                            <w:tcBorders>
                              <w:bottom w:val="single" w:sz="12" w:space="0" w:color="4B5088"/>
                            </w:tcBorders>
                            <w:tcMar>
                              <w:bottom w:w="33" w:type="dxa"/>
                            </w:tcMar>
                            <w:vAlign w:val="center"/>
                          </w:tcPr>
                          <w:p>
                            <w:pPr>
                              <w:pStyle w:val="TableContents"/>
                              <w:bidi w:val="0"/>
                              <w:spacing w:before="0" w:after="0"/>
                              <w:jc w:val="right"/>
                              <w:rPr/>
                            </w:pPr>
                            <w:r>
                              <w:rPr>
                                <w:spacing w:val="-2"/>
                              </w:rPr>
                              <w:t xml:space="preserve">Projected </w:t>
                              <w:br/>
                              <w:t xml:space="preserve">Earned </w:t>
                              <w:br/>
                              <w:t>as of 12/31/2025</w:t>
                            </w:r>
                            <w:r>
                              <w:rPr/>
                              <w:t xml:space="preserve"> </w:t>
                            </w:r>
                          </w:p>
                        </w:tc>
                        <w:tc>
                          <w:tcPr>
                            <w:tcW w:w="154" w:type="dxa"/>
                            <w:tcBorders>
                              <w:bottom w:val="single" w:sz="12" w:space="0" w:color="4B508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E9F9D8"/>
                            </w:tcBorders>
                            <w:shd w:fill="E9F9D8" w:val="clear"/>
                            <w:tcMar>
                              <w:bottom w:w="70"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110" w:type="dxa"/>
                            <w:tcBorders>
                              <w:bottom w:val="single" w:sz="2" w:space="0" w:color="4B5088"/>
                            </w:tcBorders>
                            <w:tcMar>
                              <w:bottom w:w="33" w:type="dxa"/>
                            </w:tcMar>
                            <w:vAlign w:val="center"/>
                          </w:tcPr>
                          <w:p>
                            <w:pPr>
                              <w:pStyle w:val="TableContents"/>
                              <w:bidi w:val="0"/>
                              <w:spacing w:before="0" w:after="0"/>
                              <w:jc w:val="right"/>
                              <w:rPr/>
                            </w:pPr>
                            <w:r>
                              <w:rPr>
                                <w:spacing w:val="-2"/>
                              </w:rPr>
                              <w:t>18,321</w:t>
                            </w:r>
                            <w:r>
                              <w:rPr/>
                              <w:t xml:space="preserve">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816" w:type="dxa"/>
                            <w:tcBorders>
                              <w:bottom w:val="single" w:sz="2" w:space="0" w:color="4B5088"/>
                            </w:tcBorders>
                            <w:tcMar>
                              <w:bottom w:w="33" w:type="dxa"/>
                            </w:tcMar>
                            <w:vAlign w:val="center"/>
                          </w:tcPr>
                          <w:p>
                            <w:pPr>
                              <w:pStyle w:val="TableContents"/>
                              <w:bidi w:val="0"/>
                              <w:spacing w:before="0" w:after="0"/>
                              <w:jc w:val="right"/>
                              <w:rPr/>
                            </w:pPr>
                            <w:r>
                              <w:rPr>
                                <w:spacing w:val="-2"/>
                              </w:rPr>
                              <w:t>73,283</w:t>
                            </w:r>
                            <w:r>
                              <w:rPr/>
                              <w:t xml:space="preserve">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129" w:type="dxa"/>
                            <w:tcBorders>
                              <w:bottom w:val="single" w:sz="2" w:space="0" w:color="4B5088"/>
                            </w:tcBorders>
                            <w:tcMar>
                              <w:bottom w:w="33" w:type="dxa"/>
                            </w:tcMar>
                            <w:vAlign w:val="center"/>
                          </w:tcPr>
                          <w:p>
                            <w:pPr>
                              <w:pStyle w:val="TableContents"/>
                              <w:bidi w:val="0"/>
                              <w:spacing w:before="0" w:after="0"/>
                              <w:jc w:val="right"/>
                              <w:rPr/>
                            </w:pPr>
                            <w:r>
                              <w:rPr>
                                <w:spacing w:val="-2"/>
                              </w:rPr>
                              <w:t>201,527</w:t>
                            </w:r>
                            <w:r>
                              <w:rPr/>
                              <w:t xml:space="preserve">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742" w:type="dxa"/>
                            <w:tcBorders>
                              <w:bottom w:val="single" w:sz="2" w:space="0" w:color="4B5088"/>
                            </w:tcBorders>
                            <w:tcMar>
                              <w:bottom w:w="33" w:type="dxa"/>
                            </w:tcMar>
                            <w:vAlign w:val="center"/>
                          </w:tcPr>
                          <w:p>
                            <w:pPr>
                              <w:pStyle w:val="TableContents"/>
                              <w:bidi w:val="0"/>
                              <w:spacing w:before="0" w:after="0"/>
                              <w:jc w:val="right"/>
                              <w:rPr/>
                            </w:pPr>
                            <w:r>
                              <w:rPr>
                                <w:spacing w:val="-2"/>
                              </w:rPr>
                              <w:t>0</w:t>
                            </w:r>
                            <w:r>
                              <w:rPr/>
                              <w:t xml:space="preserve"> </w:t>
                            </w:r>
                          </w:p>
                        </w:tc>
                        <w:tc>
                          <w:tcPr>
                            <w:tcW w:w="154" w:type="dxa"/>
                            <w:tcBorders>
                              <w:bottom w:val="single" w:sz="2" w:space="0" w:color="4B5088"/>
                            </w:tcBorders>
                            <w:tcMar>
                              <w:bottom w:w="28" w:type="dxa"/>
                            </w:tcMar>
                            <w:vAlign w:val="center"/>
                          </w:tcPr>
                          <w:p>
                            <w:pPr>
                              <w:pStyle w:val="TableContents"/>
                              <w:bidi w:val="0"/>
                              <w:spacing w:before="0" w:after="283"/>
                              <w:jc w:val="left"/>
                              <w:rPr/>
                            </w:pPr>
                            <w:r>
                              <w:rPr/>
                              <w:t>​</w:t>
                            </w:r>
                          </w:p>
                        </w:tc>
                      </w:tr>
                    </w:tbl>
                    <w:tbl>
                      <w:tblPr>
                        <w:tblW w:w="10205" w:type="dxa"/>
                        <w:jc w:val="left"/>
                        <w:tblInd w:w="0" w:type="dxa"/>
                        <w:tblLayout w:type="fixed"/>
                        <w:tblCellMar>
                          <w:top w:w="0" w:type="dxa"/>
                          <w:left w:w="0" w:type="dxa"/>
                          <w:bottom w:w="28" w:type="dxa"/>
                          <w:right w:w="0" w:type="dxa"/>
                        </w:tblCellMar>
                      </w:tblPr>
                      <w:tblGrid>
                        <w:gridCol w:w="124"/>
                        <w:gridCol w:w="1294"/>
                        <w:gridCol w:w="109"/>
                        <w:gridCol w:w="109"/>
                        <w:gridCol w:w="1294"/>
                        <w:gridCol w:w="109"/>
                        <w:gridCol w:w="109"/>
                        <w:gridCol w:w="6901"/>
                        <w:gridCol w:w="156"/>
                      </w:tblGrid>
                      <w:tr>
                        <w:trPr/>
                        <w:tc>
                          <w:tcPr>
                            <w:tcW w:w="124" w:type="dxa"/>
                            <w:tcBorders>
                              <w:bottom w:val="single" w:sz="2" w:space="0" w:color="4B5088"/>
                            </w:tcBorders>
                            <w:shd w:fill="E9F9D8" w:val="clear"/>
                            <w:vAlign w:val="center"/>
                          </w:tcPr>
                          <w:p>
                            <w:pPr>
                              <w:pStyle w:val="TableContents"/>
                              <w:bidi w:val="0"/>
                              <w:spacing w:before="0" w:after="283"/>
                              <w:jc w:val="left"/>
                              <w:rPr/>
                            </w:pPr>
                            <w:r>
                              <w:rPr/>
                              <w:t>​</w:t>
                            </w:r>
                          </w:p>
                        </w:tc>
                        <w:tc>
                          <w:tcPr>
                            <w:tcW w:w="1294" w:type="dxa"/>
                            <w:tcBorders>
                              <w:bottom w:val="single" w:sz="2" w:space="0" w:color="4B5088"/>
                            </w:tcBorders>
                            <w:shd w:fill="E9F9D8" w:val="clear"/>
                            <w:tcMar>
                              <w:bottom w:w="81"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1294" w:type="dxa"/>
                            <w:tcBorders>
                              <w:bottom w:val="single" w:sz="2" w:space="0" w:color="4B5088"/>
                            </w:tcBorders>
                            <w:tcMar>
                              <w:bottom w:w="81" w:type="dxa"/>
                            </w:tcMar>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6901" w:type="dxa"/>
                            <w:tcBorders>
                              <w:bottom w:val="single" w:sz="2" w:space="0" w:color="4B5088"/>
                            </w:tcBorders>
                            <w:tcMar>
                              <w:bottom w:w="81" w:type="dxa"/>
                            </w:tcMar>
                            <w:vAlign w:val="center"/>
                          </w:tcPr>
                          <w:p>
                            <w:pPr>
                              <w:pStyle w:val="TableContents"/>
                              <w:bidi w:val="0"/>
                              <w:spacing w:lineRule="atLeast" w:line="174" w:before="0" w:after="0"/>
                              <w:jc w:val="left"/>
                              <w:rPr/>
                            </w:pPr>
                            <w:r>
                              <w:rPr>
                                <w:spacing w:val="-2"/>
                              </w:rPr>
                              <w:t>The actual number of LTIP units earned will be determined based on Company performance measured after the end of the full performance period ending December 31, 2027, based on our three-year relative TSR, with earned LTIP units vesting in full as of December 31, 2027</w:t>
                            </w:r>
                            <w:r>
                              <w:rPr/>
                              <w:t xml:space="preserve"> </w:t>
                            </w:r>
                          </w:p>
                          <w:p>
                            <w:pPr>
                              <w:pStyle w:val="TableContents"/>
                              <w:bidi w:val="0"/>
                              <w:spacing w:lineRule="atLeast" w:line="174" w:before="60" w:after="283"/>
                              <w:jc w:val="left"/>
                              <w:rPr>
                                <w:spacing w:val="-2"/>
                              </w:rPr>
                            </w:pPr>
                            <w:r>
                              <w:rPr>
                                <w:spacing w:val="-2"/>
                              </w:rPr>
                              <w:t xml:space="preserve">Pursuant to the Outperformance Modifier, Mr. Holliday was granted an additional 220,774 LTIP Units, subject to forfeiture to the extent the required three-year operational performance metrics are not achieved. See “—Elements of Compensation—Annual Equity Awards—Time-Based Equity Awards—CEO Outperformance Modifier” above for a full description of the Outperformance Modifier. </w:t>
                            </w:r>
                          </w:p>
                        </w:tc>
                        <w:tc>
                          <w:tcPr>
                            <w:tcW w:w="156" w:type="dxa"/>
                            <w:tcBorders>
                              <w:bottom w:val="single" w:sz="2" w:space="0" w:color="4B5088"/>
                            </w:tcBorders>
                            <w:vAlign w:val="center"/>
                          </w:tcPr>
                          <w:p>
                            <w:pPr>
                              <w:pStyle w:val="TableContents"/>
                              <w:bidi w:val="0"/>
                              <w:spacing w:before="0" w:after="283"/>
                              <w:jc w:val="left"/>
                              <w:rPr/>
                            </w:pPr>
                            <w:r>
                              <w:rPr/>
                              <w:t>​</w:t>
                            </w:r>
                          </w:p>
                        </w:tc>
                      </w:tr>
                      <w:tr>
                        <w:trPr/>
                        <w:tc>
                          <w:tcPr>
                            <w:tcW w:w="124" w:type="dxa"/>
                            <w:tcBorders>
                              <w:bottom w:val="single" w:sz="2" w:space="0" w:color="4B5088"/>
                            </w:tcBorders>
                            <w:shd w:fill="E9F9D8" w:val="clear"/>
                            <w:vAlign w:val="center"/>
                          </w:tcPr>
                          <w:p>
                            <w:pPr>
                              <w:pStyle w:val="TableContents"/>
                              <w:bidi w:val="0"/>
                              <w:spacing w:before="0" w:after="283"/>
                              <w:jc w:val="left"/>
                              <w:rPr/>
                            </w:pPr>
                            <w:r>
                              <w:rPr/>
                              <w:t>​</w:t>
                            </w:r>
                          </w:p>
                        </w:tc>
                        <w:tc>
                          <w:tcPr>
                            <w:tcW w:w="1294" w:type="dxa"/>
                            <w:tcBorders>
                              <w:bottom w:val="single" w:sz="2" w:space="0" w:color="4B5088"/>
                            </w:tcBorders>
                            <w:shd w:fill="E9F9D8" w:val="clear"/>
                            <w:tcMar>
                              <w:bottom w:w="68" w:type="dxa"/>
                            </w:tcMar>
                            <w:vAlign w:val="center"/>
                          </w:tcPr>
                          <w:p>
                            <w:pPr>
                              <w:pStyle w:val="TableContents"/>
                              <w:bidi w:val="0"/>
                              <w:spacing w:before="0" w:after="0"/>
                              <w:jc w:val="left"/>
                              <w:rPr>
                                <w:color w:val="1F2668"/>
                                <w:sz w:val="36"/>
                              </w:rPr>
                            </w:pPr>
                            <w:r>
                              <w:rPr>
                                <w:color w:val="1F2668"/>
                                <w:sz w:val="36"/>
                              </w:rPr>
                              <w:t>25%</w:t>
                            </w:r>
                          </w:p>
                          <w:p>
                            <w:pPr>
                              <w:pStyle w:val="TableContents"/>
                              <w:bidi w:val="0"/>
                              <w:spacing w:lineRule="atLeast" w:line="196" w:before="36" w:after="283"/>
                              <w:jc w:val="left"/>
                              <w:rPr>
                                <w:b/>
                              </w:rPr>
                            </w:pPr>
                            <w:r>
                              <w:rPr>
                                <w:b/>
                                <w:spacing w:val="-2"/>
                              </w:rPr>
                              <w:t>$5,000,000</w:t>
                            </w:r>
                            <w:r>
                              <w:rPr>
                                <w:b/>
                              </w:rPr>
                              <w:t xml:space="preserve"> </w:t>
                            </w:r>
                          </w:p>
                        </w:tc>
                        <w:tc>
                          <w:tcPr>
                            <w:tcW w:w="109" w:type="dxa"/>
                            <w:tcBorders>
                              <w:bottom w:val="single" w:sz="2" w:space="0" w:color="4B5088"/>
                            </w:tcBorders>
                            <w:shd w:fill="E9F9D8" w:val="clear"/>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1294" w:type="dxa"/>
                            <w:tcBorders>
                              <w:bottom w:val="single" w:sz="2" w:space="0" w:color="4B5088"/>
                            </w:tcBorders>
                            <w:tcMar>
                              <w:bottom w:w="68" w:type="dxa"/>
                            </w:tcMar>
                            <w:vAlign w:val="center"/>
                          </w:tcPr>
                          <w:p>
                            <w:pPr>
                              <w:pStyle w:val="TableContents"/>
                              <w:bidi w:val="0"/>
                              <w:spacing w:before="0" w:after="0"/>
                              <w:jc w:val="left"/>
                              <w:rPr>
                                <w:color w:val="1F2668"/>
                                <w:sz w:val="36"/>
                              </w:rPr>
                            </w:pPr>
                            <w:r>
                              <w:rPr>
                                <w:color w:val="1F2668"/>
                                <w:sz w:val="36"/>
                              </w:rPr>
                              <w:t>37%</w:t>
                            </w:r>
                          </w:p>
                          <w:p>
                            <w:pPr>
                              <w:pStyle w:val="TableContents"/>
                              <w:bidi w:val="0"/>
                              <w:spacing w:lineRule="atLeast" w:line="196" w:before="36" w:after="283"/>
                              <w:jc w:val="left"/>
                              <w:rPr>
                                <w:b/>
                              </w:rPr>
                            </w:pPr>
                            <w:r>
                              <w:rPr>
                                <w:b/>
                                <w:spacing w:val="-2"/>
                              </w:rPr>
                              <w:t>$6,337,602</w:t>
                            </w:r>
                            <w:r>
                              <w:rPr>
                                <w:b/>
                              </w:rPr>
                              <w:t xml:space="preserve"> </w:t>
                            </w:r>
                          </w:p>
                        </w:tc>
                        <w:tc>
                          <w:tcPr>
                            <w:tcW w:w="109"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6901" w:type="dxa"/>
                            <w:tcBorders>
                              <w:bottom w:val="single" w:sz="2" w:space="0" w:color="4B5088"/>
                            </w:tcBorders>
                            <w:tcMar>
                              <w:bottom w:w="68" w:type="dxa"/>
                            </w:tcMar>
                            <w:vAlign w:val="center"/>
                          </w:tcPr>
                          <w:p>
                            <w:pPr>
                              <w:pStyle w:val="TableContents"/>
                              <w:bidi w:val="0"/>
                              <w:spacing w:lineRule="atLeast" w:line="194" w:before="0" w:after="0"/>
                              <w:jc w:val="left"/>
                              <w:rPr>
                                <w:b/>
                                <w:sz w:val="18"/>
                              </w:rPr>
                            </w:pPr>
                            <w:r>
                              <w:rPr>
                                <w:b/>
                                <w:spacing w:val="-2"/>
                                <w:sz w:val="18"/>
                              </w:rPr>
                              <w:t>Time-Based Equity Awards</w:t>
                            </w:r>
                            <w:r>
                              <w:rPr>
                                <w:b/>
                                <w:sz w:val="18"/>
                              </w:rPr>
                              <w:t xml:space="preserve"> </w:t>
                            </w:r>
                          </w:p>
                          <w:p>
                            <w:pPr>
                              <w:pStyle w:val="TableContents"/>
                              <w:bidi w:val="0"/>
                              <w:spacing w:lineRule="atLeast" w:line="174" w:before="14" w:after="283"/>
                              <w:jc w:val="left"/>
                              <w:rPr/>
                            </w:pPr>
                            <w:r>
                              <w:rPr>
                                <w:spacing w:val="-2"/>
                              </w:rPr>
                              <w:t xml:space="preserve">The Committee granted time-based awards in February 2026 based on the Company’s 2025 performance. The awards had a target value of </w:t>
                            </w:r>
                            <w:r>
                              <w:rPr>
                                <w:b/>
                                <w:spacing w:val="-2"/>
                              </w:rPr>
                              <w:t>$5,000,000</w:t>
                            </w:r>
                            <w:r>
                              <w:rPr>
                                <w:spacing w:val="-2"/>
                              </w:rPr>
                              <w:t xml:space="preserve">, with the corresponding </w:t>
                            </w:r>
                            <w:r>
                              <w:rPr>
                                <w:b/>
                                <w:spacing w:val="-2"/>
                              </w:rPr>
                              <w:t>110,387</w:t>
                            </w:r>
                            <w:r>
                              <w:rPr>
                                <w:spacing w:val="-2"/>
                              </w:rPr>
                              <w:t xml:space="preserve"> LTIP units vesting in three equal installments on January 1, 2027, January 1, 2028 and January 1, 2029, subject to continued employment.</w:t>
                            </w:r>
                            <w:r>
                              <w:rPr/>
                              <w:t xml:space="preserve"> </w:t>
                            </w:r>
                          </w:p>
                          <w:p>
                            <w:pPr>
                              <w:pStyle w:val="TableContents"/>
                              <w:bidi w:val="0"/>
                              <w:spacing w:lineRule="atLeast" w:line="174" w:before="60" w:after="283"/>
                              <w:jc w:val="left"/>
                              <w:rPr>
                                <w:b/>
                              </w:rPr>
                            </w:pPr>
                            <w:r>
                              <w:rPr>
                                <w:b/>
                                <w:spacing w:val="-2"/>
                              </w:rPr>
                              <w:t>The SCT amount represents the grant date value of the awards granted retrospectively in January 2025 based on the Company’s 2024 performance.</w:t>
                            </w:r>
                            <w:r>
                              <w:rPr>
                                <w:b/>
                              </w:rPr>
                              <w:t xml:space="preserve"> </w:t>
                            </w:r>
                          </w:p>
                        </w:tc>
                        <w:tc>
                          <w:tcPr>
                            <w:tcW w:w="156" w:type="dxa"/>
                            <w:tcBorders>
                              <w:bottom w:val="single" w:sz="2" w:space="0" w:color="4B5088"/>
                            </w:tcBorders>
                            <w:vAlign w:val="center"/>
                          </w:tcPr>
                          <w:p>
                            <w:pPr>
                              <w:pStyle w:val="TableContents"/>
                              <w:bidi w:val="0"/>
                              <w:spacing w:before="0" w:after="283"/>
                              <w:jc w:val="left"/>
                              <w:rPr/>
                            </w:pPr>
                            <w:r>
                              <w:rPr/>
                              <w:t>​</w:t>
                            </w:r>
                          </w:p>
                        </w:tc>
                      </w:tr>
                      <w:tr>
                        <w:trPr/>
                        <w:tc>
                          <w:tcPr>
                            <w:tcW w:w="124" w:type="dxa"/>
                            <w:tcBorders>
                              <w:bottom w:val="single" w:sz="8" w:space="0" w:color="1F2668"/>
                            </w:tcBorders>
                            <w:shd w:fill="E9F9D8" w:val="clear"/>
                            <w:vAlign w:val="center"/>
                          </w:tcPr>
                          <w:p>
                            <w:pPr>
                              <w:pStyle w:val="TableContents"/>
                              <w:bidi w:val="0"/>
                              <w:spacing w:before="0" w:after="283"/>
                              <w:jc w:val="left"/>
                              <w:rPr/>
                            </w:pPr>
                            <w:r>
                              <w:rPr/>
                              <w:t>​</w:t>
                            </w:r>
                          </w:p>
                        </w:tc>
                        <w:tc>
                          <w:tcPr>
                            <w:tcW w:w="1294" w:type="dxa"/>
                            <w:tcBorders>
                              <w:bottom w:val="single" w:sz="8" w:space="0" w:color="1F2668"/>
                            </w:tcBorders>
                            <w:shd w:fill="E9F9D8" w:val="clear"/>
                            <w:tcMar>
                              <w:bottom w:w="68" w:type="dxa"/>
                            </w:tcMar>
                            <w:vAlign w:val="center"/>
                          </w:tcPr>
                          <w:p>
                            <w:pPr>
                              <w:pStyle w:val="TableContents"/>
                              <w:bidi w:val="0"/>
                              <w:spacing w:before="0" w:after="0"/>
                              <w:jc w:val="left"/>
                              <w:rPr>
                                <w:color w:val="1F2668"/>
                                <w:sz w:val="36"/>
                              </w:rPr>
                            </w:pPr>
                            <w:r>
                              <w:rPr>
                                <w:color w:val="1F2668"/>
                                <w:sz w:val="36"/>
                              </w:rPr>
                              <w:t>100%</w:t>
                            </w:r>
                          </w:p>
                          <w:p>
                            <w:pPr>
                              <w:pStyle w:val="TableContents"/>
                              <w:bidi w:val="0"/>
                              <w:spacing w:lineRule="atLeast" w:line="196" w:before="35" w:after="283"/>
                              <w:jc w:val="left"/>
                              <w:rPr>
                                <w:b/>
                              </w:rPr>
                            </w:pPr>
                            <w:r>
                              <w:rPr>
                                <w:b/>
                                <w:spacing w:val="-2"/>
                              </w:rPr>
                              <w:t>$19,724,530</w:t>
                            </w:r>
                            <w:r>
                              <w:rPr>
                                <w:b/>
                              </w:rPr>
                              <w:t xml:space="preserve"> </w:t>
                            </w:r>
                          </w:p>
                        </w:tc>
                        <w:tc>
                          <w:tcPr>
                            <w:tcW w:w="109" w:type="dxa"/>
                            <w:tcBorders>
                              <w:bottom w:val="single" w:sz="8" w:space="0" w:color="1F2668"/>
                            </w:tcBorders>
                            <w:shd w:fill="E9F9D8" w:val="clear"/>
                            <w:vAlign w:val="center"/>
                          </w:tcPr>
                          <w:p>
                            <w:pPr>
                              <w:pStyle w:val="TableContents"/>
                              <w:bidi w:val="0"/>
                              <w:spacing w:before="0" w:after="283"/>
                              <w:jc w:val="left"/>
                              <w:rPr/>
                            </w:pPr>
                            <w:r>
                              <w:rPr/>
                              <w:t>​</w:t>
                            </w:r>
                          </w:p>
                        </w:tc>
                        <w:tc>
                          <w:tcPr>
                            <w:tcW w:w="109" w:type="dxa"/>
                            <w:tcBorders>
                              <w:bottom w:val="single" w:sz="8" w:space="0" w:color="1F2668"/>
                            </w:tcBorders>
                            <w:vAlign w:val="center"/>
                          </w:tcPr>
                          <w:p>
                            <w:pPr>
                              <w:pStyle w:val="TableContents"/>
                              <w:bidi w:val="0"/>
                              <w:spacing w:before="0" w:after="283"/>
                              <w:jc w:val="left"/>
                              <w:rPr/>
                            </w:pPr>
                            <w:r>
                              <w:rPr/>
                              <w:t>​</w:t>
                            </w:r>
                          </w:p>
                        </w:tc>
                        <w:tc>
                          <w:tcPr>
                            <w:tcW w:w="1294" w:type="dxa"/>
                            <w:tcBorders>
                              <w:bottom w:val="single" w:sz="8" w:space="0" w:color="1F2668"/>
                            </w:tcBorders>
                            <w:tcMar>
                              <w:bottom w:w="68" w:type="dxa"/>
                            </w:tcMar>
                            <w:vAlign w:val="center"/>
                          </w:tcPr>
                          <w:p>
                            <w:pPr>
                              <w:pStyle w:val="TableContents"/>
                              <w:bidi w:val="0"/>
                              <w:spacing w:before="0" w:after="0"/>
                              <w:jc w:val="left"/>
                              <w:rPr>
                                <w:color w:val="1F2668"/>
                                <w:sz w:val="36"/>
                              </w:rPr>
                            </w:pPr>
                            <w:r>
                              <w:rPr>
                                <w:color w:val="1F2668"/>
                                <w:sz w:val="36"/>
                              </w:rPr>
                              <w:t>100%</w:t>
                            </w:r>
                          </w:p>
                          <w:p>
                            <w:pPr>
                              <w:pStyle w:val="TableContents"/>
                              <w:bidi w:val="0"/>
                              <w:spacing w:lineRule="atLeast" w:line="196" w:before="35" w:after="283"/>
                              <w:jc w:val="left"/>
                              <w:rPr>
                                <w:b/>
                              </w:rPr>
                            </w:pPr>
                            <w:r>
                              <w:rPr>
                                <w:b/>
                                <w:spacing w:val="-2"/>
                              </w:rPr>
                              <w:t>$17,356,826</w:t>
                            </w:r>
                            <w:r>
                              <w:rPr>
                                <w:b/>
                              </w:rPr>
                              <w:t xml:space="preserve"> </w:t>
                            </w:r>
                          </w:p>
                        </w:tc>
                        <w:tc>
                          <w:tcPr>
                            <w:tcW w:w="109" w:type="dxa"/>
                            <w:tcBorders>
                              <w:bottom w:val="single" w:sz="8" w:space="0" w:color="1F2668"/>
                            </w:tcBorders>
                            <w:vAlign w:val="center"/>
                          </w:tcPr>
                          <w:p>
                            <w:pPr>
                              <w:pStyle w:val="TableContents"/>
                              <w:bidi w:val="0"/>
                              <w:spacing w:before="0" w:after="283"/>
                              <w:jc w:val="left"/>
                              <w:rPr/>
                            </w:pPr>
                            <w:r>
                              <w:rPr/>
                              <w:t>​</w:t>
                            </w:r>
                          </w:p>
                        </w:tc>
                        <w:tc>
                          <w:tcPr>
                            <w:tcW w:w="109" w:type="dxa"/>
                            <w:tcBorders>
                              <w:bottom w:val="single" w:sz="8" w:space="0" w:color="1F2668"/>
                            </w:tcBorders>
                            <w:vAlign w:val="center"/>
                          </w:tcPr>
                          <w:p>
                            <w:pPr>
                              <w:pStyle w:val="TableContents"/>
                              <w:bidi w:val="0"/>
                              <w:spacing w:before="0" w:after="283"/>
                              <w:jc w:val="left"/>
                              <w:rPr/>
                            </w:pPr>
                            <w:r>
                              <w:rPr/>
                              <w:t>​</w:t>
                            </w:r>
                          </w:p>
                        </w:tc>
                        <w:tc>
                          <w:tcPr>
                            <w:tcW w:w="6901" w:type="dxa"/>
                            <w:tcBorders>
                              <w:bottom w:val="single" w:sz="8" w:space="0" w:color="1F2668"/>
                            </w:tcBorders>
                            <w:tcMar>
                              <w:bottom w:w="68" w:type="dxa"/>
                            </w:tcMar>
                            <w:vAlign w:val="center"/>
                          </w:tcPr>
                          <w:p>
                            <w:pPr>
                              <w:pStyle w:val="TableContents"/>
                              <w:bidi w:val="0"/>
                              <w:spacing w:lineRule="atLeast" w:line="174" w:before="0" w:after="0"/>
                              <w:jc w:val="left"/>
                              <w:rPr/>
                            </w:pPr>
                            <w:r>
                              <w:rPr>
                                <w:spacing w:val="-2"/>
                              </w:rPr>
                              <w:t>Both totals include $45,780 of “Other Compensation,” as reflected in the Summary Compensation Table.</w:t>
                            </w:r>
                            <w:r>
                              <w:rPr/>
                              <w:t xml:space="preserve"> </w:t>
                            </w:r>
                          </w:p>
                        </w:tc>
                        <w:tc>
                          <w:tcPr>
                            <w:tcW w:w="156" w:type="dxa"/>
                            <w:tcBorders>
                              <w:bottom w:val="single" w:sz="8" w:space="0" w:color="1F2668"/>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80010" distB="0" distL="0" distR="0" simplePos="0" locked="0" layoutInCell="1" allowOverlap="1" relativeHeight="648">
                <wp:simplePos x="0" y="0"/>
                <wp:positionH relativeFrom="column">
                  <wp:align>left</wp:align>
                </wp:positionH>
                <wp:positionV relativeFrom="line">
                  <wp:align>top</wp:align>
                </wp:positionV>
                <wp:extent cx="114300" cy="350520"/>
                <wp:effectExtent l="0" t="0" r="0" b="0"/>
                <wp:wrapSquare wrapText="right"/>
                <wp:docPr id="706" name="Frame386"/>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62" w:before="0" w:after="283"/>
                              <w:jc w:val="left"/>
                              <w:rPr/>
                            </w:pPr>
                            <w:r>
                              <w:rPr>
                                <w:spacing w:val="-2"/>
                              </w:rPr>
                              <w:t>•</w:t>
                            </w:r>
                            <w:r>
                              <w:rPr/>
                              <w:t xml:space="preserve"> </w:t>
                            </w:r>
                            <w:r>
                              <w:rPr>
                                <w:b/>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6.3pt;mso-wrap-distance-bottom:0pt;margin-top:6.3pt;mso-position-vertical:top;mso-position-vertical-relative:text;margin-left:0pt;mso-position-horizontal:left;mso-position-horizontal-relative:text">
                <v:textbox>
                  <w:txbxContent>
                    <w:p>
                      <w:pPr>
                        <w:pStyle w:val="TextBody"/>
                        <w:bidi w:val="0"/>
                        <w:spacing w:lineRule="atLeast" w:line="162" w:before="0" w:after="283"/>
                        <w:jc w:val="left"/>
                        <w:rPr/>
                      </w:pPr>
                      <w:r>
                        <w:rPr>
                          <w:spacing w:val="-2"/>
                        </w:rPr>
                        <w:t>•</w:t>
                      </w:r>
                      <w:r>
                        <w:rPr/>
                        <w:t xml:space="preserve"> </w:t>
                      </w:r>
                      <w:r>
                        <w:rPr>
                          <w:b/>
                        </w:rPr>
                        <w:br/>
                      </w:r>
                    </w:p>
                  </w:txbxContent>
                </v:textbox>
                <w10:wrap type="square" side="right"/>
              </v:rect>
            </w:pict>
          </mc:Fallback>
        </mc:AlternateContent>
      </w:r>
      <w:r>
        <mc:AlternateContent>
          <mc:Choice Requires="wps">
            <w:drawing>
              <wp:anchor behindDoc="0" distT="80010" distB="0" distL="0" distR="0" simplePos="0" locked="0" layoutInCell="1" allowOverlap="1" relativeHeight="649">
                <wp:simplePos x="0" y="0"/>
                <wp:positionH relativeFrom="column">
                  <wp:align>left</wp:align>
                </wp:positionH>
                <wp:positionV relativeFrom="line">
                  <wp:align>top</wp:align>
                </wp:positionV>
                <wp:extent cx="114300" cy="350520"/>
                <wp:effectExtent l="0" t="0" r="0" b="0"/>
                <wp:wrapSquare wrapText="right"/>
                <wp:docPr id="707" name="Frame387"/>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62" w:before="0" w:after="283"/>
                              <w:jc w:val="left"/>
                              <w:rPr/>
                            </w:pPr>
                            <w:r>
                              <w:rPr>
                                <w:spacing w:val="-2"/>
                              </w:rPr>
                              <w:t>•</w:t>
                            </w:r>
                            <w:r>
                              <w:rPr/>
                              <w:t xml:space="preserve"> </w:t>
                            </w:r>
                            <w:r>
                              <w:rPr>
                                <w:b/>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6.3pt;mso-wrap-distance-bottom:0pt;margin-top:6.3pt;mso-position-vertical:top;mso-position-vertical-relative:text;margin-left:0pt;mso-position-horizontal:left;mso-position-horizontal-relative:text">
                <v:textbox>
                  <w:txbxContent>
                    <w:p>
                      <w:pPr>
                        <w:pStyle w:val="TextBody"/>
                        <w:bidi w:val="0"/>
                        <w:spacing w:lineRule="atLeast" w:line="162" w:before="0" w:after="283"/>
                        <w:jc w:val="left"/>
                        <w:rPr/>
                      </w:pPr>
                      <w:r>
                        <w:rPr>
                          <w:spacing w:val="-2"/>
                        </w:rPr>
                        <w:t>•</w:t>
                      </w:r>
                      <w:r>
                        <w:rPr/>
                        <w:t xml:space="preserve"> </w:t>
                      </w:r>
                      <w:r>
                        <w:rPr>
                          <w:b/>
                        </w:rPr>
                        <w:br/>
                      </w:r>
                    </w:p>
                  </w:txbxContent>
                </v:textbox>
                <w10:wrap type="square" side="right"/>
              </v:rect>
            </w:pict>
          </mc:Fallback>
        </mc:AlternateContent>
      </w:r>
      <w:r>
        <mc:AlternateContent>
          <mc:Choice Requires="wps">
            <w:drawing>
              <wp:anchor behindDoc="0" distT="80010" distB="0" distL="0" distR="0" simplePos="0" locked="0" layoutInCell="1" allowOverlap="1" relativeHeight="650">
                <wp:simplePos x="0" y="0"/>
                <wp:positionH relativeFrom="column">
                  <wp:align>left</wp:align>
                </wp:positionH>
                <wp:positionV relativeFrom="line">
                  <wp:align>top</wp:align>
                </wp:positionV>
                <wp:extent cx="114300" cy="350520"/>
                <wp:effectExtent l="0" t="0" r="0" b="0"/>
                <wp:wrapSquare wrapText="right"/>
                <wp:docPr id="708" name="Frame388"/>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62" w:before="0" w:after="283"/>
                              <w:jc w:val="left"/>
                              <w:rPr/>
                            </w:pPr>
                            <w:r>
                              <w:rPr>
                                <w:spacing w:val="-2"/>
                              </w:rPr>
                              <w:t>•</w:t>
                            </w:r>
                            <w:r>
                              <w:rPr/>
                              <w:t xml:space="preserve"> </w:t>
                            </w:r>
                            <w:r>
                              <w:rPr>
                                <w:b/>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6.3pt;mso-wrap-distance-bottom:0pt;margin-top:6.3pt;mso-position-vertical:top;mso-position-vertical-relative:text;margin-left:0pt;mso-position-horizontal:left;mso-position-horizontal-relative:text">
                <v:textbox>
                  <w:txbxContent>
                    <w:p>
                      <w:pPr>
                        <w:pStyle w:val="TextBody"/>
                        <w:bidi w:val="0"/>
                        <w:spacing w:lineRule="atLeast" w:line="162" w:before="0" w:after="283"/>
                        <w:jc w:val="left"/>
                        <w:rPr/>
                      </w:pPr>
                      <w:r>
                        <w:rPr>
                          <w:spacing w:val="-2"/>
                        </w:rPr>
                        <w:t>•</w:t>
                      </w:r>
                      <w:r>
                        <w:rPr/>
                        <w:t xml:space="preserve"> </w:t>
                      </w:r>
                      <w:r>
                        <w:rPr>
                          <w:b/>
                        </w:rPr>
                        <w:br/>
                      </w:r>
                    </w:p>
                  </w:txbxContent>
                </v:textbox>
                <w10:wrap type="square" side="right"/>
              </v:rect>
            </w:pict>
          </mc:Fallback>
        </mc:AlternateConten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225" w:type="dxa"/>
        <w:jc w:val="left"/>
        <w:tblInd w:w="900" w:type="dxa"/>
        <w:tblLayout w:type="fixed"/>
        <w:tblCellMar>
          <w:top w:w="0" w:type="dxa"/>
          <w:left w:w="0" w:type="dxa"/>
          <w:bottom w:w="0" w:type="dxa"/>
          <w:right w:w="0" w:type="dxa"/>
        </w:tblCellMar>
      </w:tblPr>
      <w:tblGrid>
        <w:gridCol w:w="124"/>
        <w:gridCol w:w="346"/>
        <w:gridCol w:w="109"/>
        <w:gridCol w:w="109"/>
        <w:gridCol w:w="4383"/>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56</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383" w:type="dxa"/>
            <w:tcBorders/>
            <w:vAlign w:val="center"/>
          </w:tcPr>
          <w:p>
            <w:pPr>
              <w:pStyle w:val="TableContents"/>
              <w:bidi w:val="0"/>
              <w:spacing w:lineRule="atLeast" w:line="200" w:before="0" w:after="0"/>
              <w:jc w:val="left"/>
              <w:rPr/>
            </w:pPr>
            <w:r>
              <w:rPr>
                <w:spacing w:val="-2"/>
              </w:rPr>
              <w:t>    </w:t>
            </w:r>
            <w:r>
              <w:rPr>
                <w:spacing w:val="-2"/>
                <w:sz w:val="16"/>
              </w:rPr>
              <w:t>SL GREEN REALTY CORP. 2026 PROXY STATEMENT</w:t>
            </w:r>
            <w:r>
              <w:rPr>
                <w:sz w:val="16"/>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1424"/>
        <w:ind w:left="900" w:right="0" w:hanging="0"/>
        <w:jc w:val="left"/>
        <w:rPr>
          <w:caps w:val="false"/>
          <w:smallCaps w:val="false"/>
          <w:color w:val="000000"/>
        </w:rPr>
      </w:pPr>
      <w:r>
        <w:rPr>
          <w:caps w:val="false"/>
          <w:smallCaps w:val="false"/>
          <w:color w:val="000000"/>
        </w:rPr>
        <w:t>​</w:t>
      </w:r>
      <w:r>
        <mc:AlternateContent>
          <mc:Choice Requires="wps">
            <w:drawing>
              <wp:anchor behindDoc="0" distT="0" distB="0" distL="571500" distR="0" simplePos="0" locked="0" layoutInCell="1" allowOverlap="1" relativeHeight="230">
                <wp:simplePos x="0" y="0"/>
                <wp:positionH relativeFrom="column">
                  <wp:align>left</wp:align>
                </wp:positionH>
                <wp:positionV relativeFrom="line">
                  <wp:posOffset>635</wp:posOffset>
                </wp:positionV>
                <wp:extent cx="1790700" cy="6576695"/>
                <wp:effectExtent l="0" t="0" r="0" b="0"/>
                <wp:wrapSquare wrapText="right"/>
                <wp:docPr id="709" name="Frame390"/>
                <a:graphic xmlns:a="http://schemas.openxmlformats.org/drawingml/2006/main">
                  <a:graphicData uri="http://schemas.microsoft.com/office/word/2010/wordprocessingShape">
                    <wps:wsp>
                      <wps:cNvSpPr txBox="1"/>
                      <wps:spPr>
                        <a:xfrm>
                          <a:off x="0" y="0"/>
                          <a:ext cx="1790700" cy="6576695"/>
                        </a:xfrm>
                        <a:prstGeom prst="rect"/>
                        <a:solidFill>
                          <a:srgbClr val="FFFFFF"/>
                        </a:solidFill>
                      </wps:spPr>
                      <wps:txbx>
                        <w:txbxContent>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10205" w:type="dxa"/>
                              <w:jc w:val="left"/>
                              <w:tblInd w:w="0" w:type="dxa"/>
                              <w:tblLayout w:type="fixed"/>
                              <w:tblCellMar>
                                <w:top w:w="0" w:type="dxa"/>
                                <w:left w:w="0" w:type="dxa"/>
                                <w:bottom w:w="0" w:type="dxa"/>
                                <w:right w:w="0" w:type="dxa"/>
                              </w:tblCellMar>
                            </w:tblPr>
                            <w:tblGrid>
                              <w:gridCol w:w="124"/>
                              <w:gridCol w:w="109"/>
                              <w:gridCol w:w="97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709" w:type="dxa"/>
                                  <w:tcBorders/>
                                  <w:shd w:fill="1F2668" w:val="clear"/>
                                  <w:vAlign w:val="center"/>
                                </w:tcPr>
                                <w:p>
                                  <w:pPr>
                                    <w:pStyle w:val="TableContents"/>
                                    <w:bidi w:val="0"/>
                                    <w:spacing w:lineRule="atLeast" w:line="300" w:before="0" w:after="0"/>
                                    <w:ind w:left="0" w:right="160" w:hanging="0"/>
                                    <w:jc w:val="left"/>
                                    <w:rPr>
                                      <w:b/>
                                      <w:sz w:val="26"/>
                                    </w:rPr>
                                  </w:pPr>
                                  <w:r>
                                    <w:rPr>
                                      <w:b/>
                                      <w:spacing w:val="-3"/>
                                      <w:sz w:val="26"/>
                                    </w:rPr>
                                    <w:t xml:space="preserve">MATTHEW J. </w:t>
                                    <w:br/>
                                    <w:t>DILIBERTO</w:t>
                                  </w:r>
                                  <w:r>
                                    <w:rPr>
                                      <w:b/>
                                      <w:sz w:val="26"/>
                                    </w:rPr>
                                    <w:t xml:space="preserve"> </w:t>
                                  </w:r>
                                </w:p>
                                <w:p>
                                  <w:pPr>
                                    <w:pStyle w:val="TableContents"/>
                                    <w:bidi w:val="0"/>
                                    <w:spacing w:before="140" w:after="283"/>
                                    <w:ind w:left="0" w:right="160" w:hanging="0"/>
                                    <w:jc w:val="center"/>
                                    <w:rPr/>
                                  </w:pPr>
                                  <w:r>
                                    <w:rPr/>
                                    <w:drawing>
                                      <wp:inline distT="0" distB="0" distL="0" distR="0">
                                        <wp:extent cx="1219200" cy="1524000"/>
                                        <wp:effectExtent l="0" t="0" r="0" b="0"/>
                                        <wp:docPr id="710" name="Image2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0" name="Image235" descr=""/>
                                                <pic:cNvPicPr>
                                                  <a:picLocks noChangeAspect="1" noChangeArrowheads="1"/>
                                                </pic:cNvPicPr>
                                              </pic:nvPicPr>
                                              <pic:blipFill>
                                                <a:blip r:embed="rId327"/>
                                                <a:stretch>
                                                  <a:fillRect/>
                                                </a:stretch>
                                              </pic:blipFill>
                                              <pic:spPr bwMode="auto">
                                                <a:xfrm>
                                                  <a:off x="0" y="0"/>
                                                  <a:ext cx="1219200" cy="1524000"/>
                                                </a:xfrm>
                                                <a:prstGeom prst="rect">
                                                  <a:avLst/>
                                                </a:prstGeom>
                                              </pic:spPr>
                                            </pic:pic>
                                          </a:graphicData>
                                        </a:graphic>
                                      </wp:inline>
                                    </w:drawing>
                                  </w:r>
                                  <w:r>
                                    <w:rPr/>
                                    <w:t xml:space="preserve"> </w:t>
                                  </w:r>
                                </w:p>
                                <w:p>
                                  <w:pPr>
                                    <w:pStyle w:val="TableContents"/>
                                    <w:bidi w:val="0"/>
                                    <w:spacing w:lineRule="atLeast" w:line="180" w:before="320" w:after="283"/>
                                    <w:ind w:left="0" w:right="160" w:hanging="0"/>
                                    <w:jc w:val="left"/>
                                    <w:rPr>
                                      <w:b/>
                                    </w:rPr>
                                  </w:pPr>
                                  <w:r>
                                    <w:rPr>
                                      <w:b/>
                                      <w:spacing w:val="-2"/>
                                    </w:rPr>
                                    <w:t>Chief Financial Officer</w:t>
                                  </w:r>
                                  <w:r>
                                    <w:rPr>
                                      <w:b/>
                                    </w:rPr>
                                    <w:t xml:space="preserve"> </w:t>
                                  </w:r>
                                </w:p>
                                <w:p>
                                  <w:pPr>
                                    <w:pStyle w:val="TableContents"/>
                                    <w:bidi w:val="0"/>
                                    <w:spacing w:lineRule="atLeast" w:line="180" w:before="120" w:after="283"/>
                                    <w:ind w:left="0" w:right="160" w:hanging="0"/>
                                    <w:jc w:val="left"/>
                                    <w:rPr/>
                                  </w:pPr>
                                  <w:r>
                                    <w:rPr>
                                      <w:spacing w:val="-2"/>
                                    </w:rPr>
                                    <w:t>Mr. DiLiberto’s 2025 compensation recognizes the Company’s strong financial and operating year as well as Mr. DiLiberto’s pivotal role in managing our balance sheet and liquidity position to succeed in a dynamic, competitive and unpredictable NYC real estate market.</w:t>
                                  </w:r>
                                  <w:r>
                                    <w:rPr/>
                                    <w:t xml:space="preserve"> </w:t>
                                  </w:r>
                                </w:p>
                                <w:p>
                                  <w:pPr>
                                    <w:pStyle w:val="TableContents"/>
                                    <w:bidi w:val="0"/>
                                    <w:spacing w:lineRule="atLeast" w:line="180" w:before="120" w:after="283"/>
                                    <w:ind w:left="0" w:right="160" w:hanging="0"/>
                                    <w:jc w:val="left"/>
                                    <w:rPr/>
                                  </w:pPr>
                                  <w:r>
                                    <w:rPr>
                                      <w:spacing w:val="-2"/>
                                    </w:rPr>
                                    <w:t>Many of our strategic goals for the year related to managing our debt and equity positions, for which Mr. DiLiberto was primarily responsible, including delivering more than $57 million of value through proactive balance sheet management, exceeding the $50 million target for discounted debt extinguishment as well as FFO of $5.72 and Funds Available for Distribution of over $237M, each in excess of 2025 goals.</w:t>
                                  </w:r>
                                  <w:r>
                                    <w:rPr/>
                                    <w:t xml:space="preserve"> </w:t>
                                  </w:r>
                                </w:p>
                                <w:p>
                                  <w:pPr>
                                    <w:pStyle w:val="TableContents"/>
                                    <w:bidi w:val="0"/>
                                    <w:spacing w:lineRule="atLeast" w:line="180" w:before="120" w:after="283"/>
                                    <w:ind w:left="0" w:right="160" w:hanging="0"/>
                                    <w:jc w:val="left"/>
                                    <w:rPr>
                                      <w:b/>
                                    </w:rPr>
                                  </w:pPr>
                                  <w:r>
                                    <w:rPr>
                                      <w:b/>
                                      <w:spacing w:val="-2"/>
                                    </w:rPr>
                                    <w:t>The Total Direct Compensation amount for Mr. DiLiberto in 2025 is substantially consistent with the Summary Compensation Table amount for 2025 despite the form and timing of Mr. DiLiberto’s annual bonus and annual time-based equity award, both of which were paid fully in equity that was granted in February 2026.</w:t>
                                  </w:r>
                                  <w:r>
                                    <w:rPr>
                                      <w:b/>
                                    </w:rPr>
                                    <w:t xml:space="preserve"> </w:t>
                                  </w:r>
                                </w:p>
                              </w:tc>
                              <w:tc>
                                <w:tcPr>
                                  <w:tcW w:w="109" w:type="dxa"/>
                                  <w:tcBorders/>
                                  <w:vAlign w:val="center"/>
                                </w:tcPr>
                                <w:p>
                                  <w:pPr>
                                    <w:pStyle w:val="TableContents"/>
                                    <w:bidi w:val="0"/>
                                    <w:spacing w:before="0" w:after="283"/>
                                    <w:jc w:val="left"/>
                                    <w:rPr/>
                                  </w:pPr>
                                  <w:r>
                                    <w:rPr/>
                                    <w:t>​</w:t>
                                  </w:r>
                                </w:p>
                              </w:tc>
                              <w:tc>
                                <w:tcPr>
                                  <w:tcW w:w="154" w:type="dxa"/>
                                  <w:tcBorders/>
                                  <w:shd w:fill="1F2668" w:val="clear"/>
                                  <w:vAlign w:val="center"/>
                                </w:tcPr>
                                <w:p>
                                  <w:pPr>
                                    <w:pStyle w:val="TableContents"/>
                                    <w:bidi w:val="0"/>
                                    <w:spacing w:before="0" w:after="283"/>
                                    <w:jc w:val="left"/>
                                    <w:rPr/>
                                  </w:pPr>
                                  <w:r>
                                    <w:rPr/>
                                    <w:t>​</w:t>
                                  </w:r>
                                </w:p>
                              </w:tc>
                            </w:tr>
                          </w:tbl>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41pt;height:517.85pt;mso-wrap-distance-left:45pt;mso-wrap-distance-right:0pt;mso-wrap-distance-top:0pt;mso-wrap-distance-bottom:0pt;margin-top:0pt;mso-position-vertical:top;mso-position-vertical-relative:text;margin-left:45pt;mso-position-horizontal:left;mso-position-horizontal-relative:text">
                <v:textbox>
                  <w:txbxContent>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10205" w:type="dxa"/>
                        <w:jc w:val="left"/>
                        <w:tblInd w:w="0" w:type="dxa"/>
                        <w:tblLayout w:type="fixed"/>
                        <w:tblCellMar>
                          <w:top w:w="0" w:type="dxa"/>
                          <w:left w:w="0" w:type="dxa"/>
                          <w:bottom w:w="0" w:type="dxa"/>
                          <w:right w:w="0" w:type="dxa"/>
                        </w:tblCellMar>
                      </w:tblPr>
                      <w:tblGrid>
                        <w:gridCol w:w="124"/>
                        <w:gridCol w:w="109"/>
                        <w:gridCol w:w="97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709" w:type="dxa"/>
                            <w:tcBorders/>
                            <w:shd w:fill="1F2668" w:val="clear"/>
                            <w:vAlign w:val="center"/>
                          </w:tcPr>
                          <w:p>
                            <w:pPr>
                              <w:pStyle w:val="TableContents"/>
                              <w:bidi w:val="0"/>
                              <w:spacing w:lineRule="atLeast" w:line="300" w:before="0" w:after="0"/>
                              <w:ind w:left="0" w:right="160" w:hanging="0"/>
                              <w:jc w:val="left"/>
                              <w:rPr>
                                <w:b/>
                                <w:sz w:val="26"/>
                              </w:rPr>
                            </w:pPr>
                            <w:r>
                              <w:rPr>
                                <w:b/>
                                <w:spacing w:val="-3"/>
                                <w:sz w:val="26"/>
                              </w:rPr>
                              <w:t xml:space="preserve">MATTHEW J. </w:t>
                              <w:br/>
                              <w:t>DILIBERTO</w:t>
                            </w:r>
                            <w:r>
                              <w:rPr>
                                <w:b/>
                                <w:sz w:val="26"/>
                              </w:rPr>
                              <w:t xml:space="preserve"> </w:t>
                            </w:r>
                          </w:p>
                          <w:p>
                            <w:pPr>
                              <w:pStyle w:val="TableContents"/>
                              <w:bidi w:val="0"/>
                              <w:spacing w:before="140" w:after="283"/>
                              <w:ind w:left="0" w:right="160" w:hanging="0"/>
                              <w:jc w:val="center"/>
                              <w:rPr/>
                            </w:pPr>
                            <w:r>
                              <w:rPr/>
                              <w:drawing>
                                <wp:inline distT="0" distB="0" distL="0" distR="0">
                                  <wp:extent cx="1219200" cy="1524000"/>
                                  <wp:effectExtent l="0" t="0" r="0" b="0"/>
                                  <wp:docPr id="711" name="Image2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1" name="Image235" descr=""/>
                                          <pic:cNvPicPr>
                                            <a:picLocks noChangeAspect="1" noChangeArrowheads="1"/>
                                          </pic:cNvPicPr>
                                        </pic:nvPicPr>
                                        <pic:blipFill>
                                          <a:blip r:embed="rId328"/>
                                          <a:stretch>
                                            <a:fillRect/>
                                          </a:stretch>
                                        </pic:blipFill>
                                        <pic:spPr bwMode="auto">
                                          <a:xfrm>
                                            <a:off x="0" y="0"/>
                                            <a:ext cx="1219200" cy="1524000"/>
                                          </a:xfrm>
                                          <a:prstGeom prst="rect">
                                            <a:avLst/>
                                          </a:prstGeom>
                                        </pic:spPr>
                                      </pic:pic>
                                    </a:graphicData>
                                  </a:graphic>
                                </wp:inline>
                              </w:drawing>
                            </w:r>
                            <w:r>
                              <w:rPr/>
                              <w:t xml:space="preserve"> </w:t>
                            </w:r>
                          </w:p>
                          <w:p>
                            <w:pPr>
                              <w:pStyle w:val="TableContents"/>
                              <w:bidi w:val="0"/>
                              <w:spacing w:lineRule="atLeast" w:line="180" w:before="320" w:after="283"/>
                              <w:ind w:left="0" w:right="160" w:hanging="0"/>
                              <w:jc w:val="left"/>
                              <w:rPr>
                                <w:b/>
                              </w:rPr>
                            </w:pPr>
                            <w:r>
                              <w:rPr>
                                <w:b/>
                                <w:spacing w:val="-2"/>
                              </w:rPr>
                              <w:t>Chief Financial Officer</w:t>
                            </w:r>
                            <w:r>
                              <w:rPr>
                                <w:b/>
                              </w:rPr>
                              <w:t xml:space="preserve"> </w:t>
                            </w:r>
                          </w:p>
                          <w:p>
                            <w:pPr>
                              <w:pStyle w:val="TableContents"/>
                              <w:bidi w:val="0"/>
                              <w:spacing w:lineRule="atLeast" w:line="180" w:before="120" w:after="283"/>
                              <w:ind w:left="0" w:right="160" w:hanging="0"/>
                              <w:jc w:val="left"/>
                              <w:rPr/>
                            </w:pPr>
                            <w:r>
                              <w:rPr>
                                <w:spacing w:val="-2"/>
                              </w:rPr>
                              <w:t>Mr. DiLiberto’s 2025 compensation recognizes the Company’s strong financial and operating year as well as Mr. DiLiberto’s pivotal role in managing our balance sheet and liquidity position to succeed in a dynamic, competitive and unpredictable NYC real estate market.</w:t>
                            </w:r>
                            <w:r>
                              <w:rPr/>
                              <w:t xml:space="preserve"> </w:t>
                            </w:r>
                          </w:p>
                          <w:p>
                            <w:pPr>
                              <w:pStyle w:val="TableContents"/>
                              <w:bidi w:val="0"/>
                              <w:spacing w:lineRule="atLeast" w:line="180" w:before="120" w:after="283"/>
                              <w:ind w:left="0" w:right="160" w:hanging="0"/>
                              <w:jc w:val="left"/>
                              <w:rPr/>
                            </w:pPr>
                            <w:r>
                              <w:rPr>
                                <w:spacing w:val="-2"/>
                              </w:rPr>
                              <w:t>Many of our strategic goals for the year related to managing our debt and equity positions, for which Mr. DiLiberto was primarily responsible, including delivering more than $57 million of value through proactive balance sheet management, exceeding the $50 million target for discounted debt extinguishment as well as FFO of $5.72 and Funds Available for Distribution of over $237M, each in excess of 2025 goals.</w:t>
                            </w:r>
                            <w:r>
                              <w:rPr/>
                              <w:t xml:space="preserve"> </w:t>
                            </w:r>
                          </w:p>
                          <w:p>
                            <w:pPr>
                              <w:pStyle w:val="TableContents"/>
                              <w:bidi w:val="0"/>
                              <w:spacing w:lineRule="atLeast" w:line="180" w:before="120" w:after="283"/>
                              <w:ind w:left="0" w:right="160" w:hanging="0"/>
                              <w:jc w:val="left"/>
                              <w:rPr>
                                <w:b/>
                              </w:rPr>
                            </w:pPr>
                            <w:r>
                              <w:rPr>
                                <w:b/>
                                <w:spacing w:val="-2"/>
                              </w:rPr>
                              <w:t>The Total Direct Compensation amount for Mr. DiLiberto in 2025 is substantially consistent with the Summary Compensation Table amount for 2025 despite the form and timing of Mr. DiLiberto’s annual bonus and annual time-based equity award, both of which were paid fully in equity that was granted in February 2026.</w:t>
                            </w:r>
                            <w:r>
                              <w:rPr>
                                <w:b/>
                              </w:rPr>
                              <w:t xml:space="preserve"> </w:t>
                            </w:r>
                          </w:p>
                        </w:tc>
                        <w:tc>
                          <w:tcPr>
                            <w:tcW w:w="109" w:type="dxa"/>
                            <w:tcBorders/>
                            <w:vAlign w:val="center"/>
                          </w:tcPr>
                          <w:p>
                            <w:pPr>
                              <w:pStyle w:val="TableContents"/>
                              <w:bidi w:val="0"/>
                              <w:spacing w:before="0" w:after="283"/>
                              <w:jc w:val="left"/>
                              <w:rPr/>
                            </w:pPr>
                            <w:r>
                              <w:rPr/>
                              <w:t>​</w:t>
                            </w:r>
                          </w:p>
                        </w:tc>
                        <w:tc>
                          <w:tcPr>
                            <w:tcW w:w="154" w:type="dxa"/>
                            <w:tcBorders/>
                            <w:shd w:fill="1F2668" w:val="clear"/>
                            <w:vAlign w:val="center"/>
                          </w:tcPr>
                          <w:p>
                            <w:pPr>
                              <w:pStyle w:val="TableContents"/>
                              <w:bidi w:val="0"/>
                              <w:spacing w:before="0" w:after="283"/>
                              <w:jc w:val="left"/>
                              <w:rPr/>
                            </w:pPr>
                            <w:r>
                              <w:rPr/>
                              <w:t>​</w:t>
                            </w:r>
                          </w:p>
                        </w:tc>
                      </w:tr>
                    </w:tbl>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203200" distR="0" simplePos="0" locked="0" layoutInCell="1" allowOverlap="1" relativeHeight="652">
                <wp:simplePos x="0" y="0"/>
                <wp:positionH relativeFrom="column">
                  <wp:align>left</wp:align>
                </wp:positionH>
                <wp:positionV relativeFrom="line">
                  <wp:posOffset>635</wp:posOffset>
                </wp:positionV>
                <wp:extent cx="4406900" cy="9972040"/>
                <wp:effectExtent l="0" t="0" r="0" b="0"/>
                <wp:wrapSquare wrapText="right"/>
                <wp:docPr id="712" name="Frame391"/>
                <a:graphic xmlns:a="http://schemas.openxmlformats.org/drawingml/2006/main">
                  <a:graphicData uri="http://schemas.microsoft.com/office/word/2010/wordprocessingShape">
                    <wps:wsp>
                      <wps:cNvSpPr txBox="1"/>
                      <wps:spPr>
                        <a:xfrm>
                          <a:off x="0" y="0"/>
                          <a:ext cx="4406900" cy="9972040"/>
                        </a:xfrm>
                        <a:prstGeom prst="rect"/>
                        <a:solidFill>
                          <a:srgbClr val="FFFFFF"/>
                        </a:solidFill>
                      </wps:spPr>
                      <wps:txbx>
                        <w:txbxContent>
                          <w:p>
                            <w:pPr>
                              <w:pStyle w:val="TextBody"/>
                              <w:bidi w:val="0"/>
                              <w:spacing w:lineRule="atLeast" w:line="260" w:before="260" w:after="283"/>
                              <w:jc w:val="left"/>
                              <w:rPr>
                                <w:b/>
                                <w:color w:val="83AD40"/>
                                <w:sz w:val="22"/>
                              </w:rPr>
                            </w:pPr>
                            <w:r>
                              <w:rPr>
                                <w:b/>
                                <w:color w:val="83AD40"/>
                                <w:spacing w:val="-2"/>
                                <w:sz w:val="22"/>
                              </w:rPr>
                              <w:t xml:space="preserve">2025 Performance and Compensation— </w:t>
                              <w:br/>
                              <w:t>Total Direct Compensation vs. Summary Compensation Table</w:t>
                            </w:r>
                            <w:r>
                              <w:rPr>
                                <w:b/>
                                <w:color w:val="000000"/>
                                <w:spacing w:val="4"/>
                                <w:sz w:val="22"/>
                              </w:rPr>
                              <w:t xml:space="preserve"> </w:t>
                            </w:r>
                          </w:p>
                          <w:tbl>
                            <w:tblPr>
                              <w:tblW w:w="10205" w:type="dxa"/>
                              <w:jc w:val="left"/>
                              <w:tblInd w:w="0" w:type="dxa"/>
                              <w:tblLayout w:type="fixed"/>
                              <w:tblCellMar>
                                <w:top w:w="0" w:type="dxa"/>
                                <w:left w:w="0" w:type="dxa"/>
                                <w:bottom w:w="28" w:type="dxa"/>
                                <w:right w:w="0" w:type="dxa"/>
                              </w:tblCellMar>
                            </w:tblPr>
                            <w:tblGrid>
                              <w:gridCol w:w="124"/>
                              <w:gridCol w:w="1002"/>
                              <w:gridCol w:w="109"/>
                              <w:gridCol w:w="109"/>
                              <w:gridCol w:w="1002"/>
                              <w:gridCol w:w="109"/>
                              <w:gridCol w:w="109"/>
                              <w:gridCol w:w="7485"/>
                              <w:gridCol w:w="156"/>
                            </w:tblGrid>
                            <w:tr>
                              <w:trPr/>
                              <w:tc>
                                <w:tcPr>
                                  <w:tcW w:w="124" w:type="dxa"/>
                                  <w:tcBorders>
                                    <w:bottom w:val="single" w:sz="8" w:space="0" w:color="1F2668"/>
                                  </w:tcBorders>
                                  <w:shd w:fill="E9F9D8" w:val="clear"/>
                                  <w:vAlign w:val="center"/>
                                </w:tcPr>
                                <w:p>
                                  <w:pPr>
                                    <w:pStyle w:val="TableContents"/>
                                    <w:bidi w:val="0"/>
                                    <w:spacing w:before="0" w:after="283"/>
                                    <w:jc w:val="left"/>
                                    <w:rPr/>
                                  </w:pPr>
                                  <w:r>
                                    <w:rPr/>
                                    <w:t>​</w:t>
                                  </w:r>
                                </w:p>
                              </w:tc>
                              <w:tc>
                                <w:tcPr>
                                  <w:tcW w:w="1002" w:type="dxa"/>
                                  <w:tcBorders>
                                    <w:bottom w:val="single" w:sz="8" w:space="0" w:color="1F2668"/>
                                  </w:tcBorders>
                                  <w:shd w:fill="E9F9D8" w:val="clear"/>
                                  <w:tcMar>
                                    <w:bottom w:w="50" w:type="dxa"/>
                                  </w:tcMar>
                                  <w:vAlign w:val="center"/>
                                </w:tcPr>
                                <w:p>
                                  <w:pPr>
                                    <w:pStyle w:val="TableContents"/>
                                    <w:bidi w:val="0"/>
                                    <w:spacing w:before="0" w:after="0"/>
                                    <w:jc w:val="left"/>
                                    <w:rPr>
                                      <w:spacing w:val="-2"/>
                                    </w:rPr>
                                  </w:pPr>
                                  <w:r>
                                    <w:rPr>
                                      <w:spacing w:val="-2"/>
                                    </w:rPr>
                                    <w:t xml:space="preserve">TDC </w:t>
                                  </w:r>
                                </w:p>
                              </w:tc>
                              <w:tc>
                                <w:tcPr>
                                  <w:tcW w:w="109" w:type="dxa"/>
                                  <w:tcBorders>
                                    <w:bottom w:val="single" w:sz="8" w:space="0" w:color="1F2668"/>
                                  </w:tcBorders>
                                  <w:shd w:fill="E9F9D8" w:val="clear"/>
                                  <w:vAlign w:val="center"/>
                                </w:tcPr>
                                <w:p>
                                  <w:pPr>
                                    <w:pStyle w:val="TableContents"/>
                                    <w:bidi w:val="0"/>
                                    <w:spacing w:before="0" w:after="283"/>
                                    <w:jc w:val="left"/>
                                    <w:rPr/>
                                  </w:pPr>
                                  <w:r>
                                    <w:rPr/>
                                    <w:t>​</w:t>
                                  </w:r>
                                </w:p>
                              </w:tc>
                              <w:tc>
                                <w:tcPr>
                                  <w:tcW w:w="109" w:type="dxa"/>
                                  <w:tcBorders>
                                    <w:bottom w:val="single" w:sz="8" w:space="0" w:color="1F2668"/>
                                  </w:tcBorders>
                                  <w:vAlign w:val="center"/>
                                </w:tcPr>
                                <w:p>
                                  <w:pPr>
                                    <w:pStyle w:val="TableContents"/>
                                    <w:bidi w:val="0"/>
                                    <w:spacing w:before="0" w:after="283"/>
                                    <w:jc w:val="left"/>
                                    <w:rPr/>
                                  </w:pPr>
                                  <w:r>
                                    <w:rPr/>
                                    <w:t>​</w:t>
                                  </w:r>
                                </w:p>
                              </w:tc>
                              <w:tc>
                                <w:tcPr>
                                  <w:tcW w:w="1002" w:type="dxa"/>
                                  <w:tcBorders>
                                    <w:bottom w:val="single" w:sz="8" w:space="0" w:color="1F2668"/>
                                  </w:tcBorders>
                                  <w:tcMar>
                                    <w:bottom w:w="50" w:type="dxa"/>
                                  </w:tcMar>
                                  <w:vAlign w:val="center"/>
                                </w:tcPr>
                                <w:p>
                                  <w:pPr>
                                    <w:pStyle w:val="TableContents"/>
                                    <w:bidi w:val="0"/>
                                    <w:spacing w:before="0" w:after="0"/>
                                    <w:jc w:val="left"/>
                                    <w:rPr>
                                      <w:spacing w:val="-2"/>
                                    </w:rPr>
                                  </w:pPr>
                                  <w:r>
                                    <w:rPr>
                                      <w:spacing w:val="-2"/>
                                    </w:rPr>
                                    <w:t xml:space="preserve">SCT </w:t>
                                  </w:r>
                                </w:p>
                              </w:tc>
                              <w:tc>
                                <w:tcPr>
                                  <w:tcW w:w="109" w:type="dxa"/>
                                  <w:tcBorders>
                                    <w:bottom w:val="single" w:sz="8" w:space="0" w:color="1F2668"/>
                                  </w:tcBorders>
                                  <w:vAlign w:val="center"/>
                                </w:tcPr>
                                <w:p>
                                  <w:pPr>
                                    <w:pStyle w:val="TableContents"/>
                                    <w:bidi w:val="0"/>
                                    <w:spacing w:before="0" w:after="283"/>
                                    <w:jc w:val="left"/>
                                    <w:rPr/>
                                  </w:pPr>
                                  <w:r>
                                    <w:rPr/>
                                    <w:t>​</w:t>
                                  </w:r>
                                </w:p>
                              </w:tc>
                              <w:tc>
                                <w:tcPr>
                                  <w:tcW w:w="109" w:type="dxa"/>
                                  <w:tcBorders>
                                    <w:bottom w:val="single" w:sz="8" w:space="0" w:color="1F2668"/>
                                  </w:tcBorders>
                                  <w:vAlign w:val="center"/>
                                </w:tcPr>
                                <w:p>
                                  <w:pPr>
                                    <w:pStyle w:val="TableContents"/>
                                    <w:bidi w:val="0"/>
                                    <w:spacing w:before="0" w:after="283"/>
                                    <w:jc w:val="left"/>
                                    <w:rPr/>
                                  </w:pPr>
                                  <w:r>
                                    <w:rPr/>
                                    <w:t>​</w:t>
                                  </w:r>
                                </w:p>
                              </w:tc>
                              <w:tc>
                                <w:tcPr>
                                  <w:tcW w:w="7485" w:type="dxa"/>
                                  <w:tcBorders>
                                    <w:bottom w:val="single" w:sz="8" w:space="0" w:color="1F2668"/>
                                  </w:tcBorders>
                                  <w:tcMar>
                                    <w:bottom w:w="50" w:type="dxa"/>
                                  </w:tcMar>
                                  <w:vAlign w:val="center"/>
                                </w:tcPr>
                                <w:p>
                                  <w:pPr>
                                    <w:pStyle w:val="TableContents"/>
                                    <w:bidi w:val="0"/>
                                    <w:spacing w:before="0" w:after="0"/>
                                    <w:jc w:val="left"/>
                                    <w:rPr>
                                      <w:spacing w:val="-2"/>
                                    </w:rPr>
                                  </w:pPr>
                                  <w:r>
                                    <w:rPr>
                                      <w:spacing w:val="-2"/>
                                    </w:rPr>
                                    <w:t xml:space="preserve">Element of Compensation </w:t>
                                  </w:r>
                                </w:p>
                              </w:tc>
                              <w:tc>
                                <w:tcPr>
                                  <w:tcW w:w="156" w:type="dxa"/>
                                  <w:tcBorders>
                                    <w:bottom w:val="single" w:sz="8" w:space="0" w:color="1F2668"/>
                                  </w:tcBorders>
                                  <w:vAlign w:val="center"/>
                                </w:tcPr>
                                <w:p>
                                  <w:pPr>
                                    <w:pStyle w:val="TableContents"/>
                                    <w:bidi w:val="0"/>
                                    <w:spacing w:before="0" w:after="283"/>
                                    <w:jc w:val="left"/>
                                    <w:rPr/>
                                  </w:pPr>
                                  <w:r>
                                    <w:rPr/>
                                    <w:t>​</w:t>
                                  </w:r>
                                </w:p>
                              </w:tc>
                            </w:tr>
                            <w:tr>
                              <w:trPr/>
                              <w:tc>
                                <w:tcPr>
                                  <w:tcW w:w="124" w:type="dxa"/>
                                  <w:tcBorders>
                                    <w:bottom w:val="single" w:sz="2" w:space="0" w:color="4B5088"/>
                                  </w:tcBorders>
                                  <w:shd w:fill="E9F9D8" w:val="clear"/>
                                  <w:vAlign w:val="center"/>
                                </w:tcPr>
                                <w:p>
                                  <w:pPr>
                                    <w:pStyle w:val="TableContents"/>
                                    <w:bidi w:val="0"/>
                                    <w:spacing w:before="0" w:after="283"/>
                                    <w:jc w:val="left"/>
                                    <w:rPr/>
                                  </w:pPr>
                                  <w:r>
                                    <w:rPr/>
                                    <w:t>​</w:t>
                                  </w:r>
                                </w:p>
                              </w:tc>
                              <w:tc>
                                <w:tcPr>
                                  <w:tcW w:w="1002" w:type="dxa"/>
                                  <w:tcBorders>
                                    <w:bottom w:val="single" w:sz="2" w:space="0" w:color="4B5088"/>
                                  </w:tcBorders>
                                  <w:shd w:fill="E9F9D8" w:val="clear"/>
                                  <w:tcMar>
                                    <w:bottom w:w="68" w:type="dxa"/>
                                  </w:tcMar>
                                  <w:vAlign w:val="center"/>
                                </w:tcPr>
                                <w:p>
                                  <w:pPr>
                                    <w:pStyle w:val="TableContents"/>
                                    <w:bidi w:val="0"/>
                                    <w:spacing w:before="0" w:after="0"/>
                                    <w:jc w:val="left"/>
                                    <w:rPr>
                                      <w:b w:val="false"/>
                                      <w:color w:val="1F2668"/>
                                      <w:sz w:val="36"/>
                                    </w:rPr>
                                  </w:pPr>
                                  <w:r>
                                    <w:rPr>
                                      <w:b w:val="false"/>
                                      <w:color w:val="1F2668"/>
                                      <w:sz w:val="36"/>
                                    </w:rPr>
                                    <w:t>13%</w:t>
                                  </w:r>
                                </w:p>
                                <w:p>
                                  <w:pPr>
                                    <w:pStyle w:val="TableContents"/>
                                    <w:bidi w:val="0"/>
                                    <w:spacing w:lineRule="atLeast" w:line="200" w:before="20" w:after="283"/>
                                    <w:jc w:val="left"/>
                                    <w:rPr/>
                                  </w:pPr>
                                  <w:r>
                                    <w:rPr>
                                      <w:spacing w:val="-2"/>
                                    </w:rPr>
                                    <w:t>$600,000</w:t>
                                  </w:r>
                                  <w:r>
                                    <w:rPr/>
                                    <w:t xml:space="preserve"> </w:t>
                                  </w:r>
                                </w:p>
                              </w:tc>
                              <w:tc>
                                <w:tcPr>
                                  <w:tcW w:w="109" w:type="dxa"/>
                                  <w:tcBorders>
                                    <w:bottom w:val="single" w:sz="2" w:space="0" w:color="4B5088"/>
                                  </w:tcBorders>
                                  <w:shd w:fill="E9F9D8" w:val="clear"/>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1002" w:type="dxa"/>
                                  <w:tcBorders>
                                    <w:bottom w:val="single" w:sz="2" w:space="0" w:color="4B5088"/>
                                  </w:tcBorders>
                                  <w:tcMar>
                                    <w:bottom w:w="68" w:type="dxa"/>
                                  </w:tcMar>
                                  <w:vAlign w:val="center"/>
                                </w:tcPr>
                                <w:p>
                                  <w:pPr>
                                    <w:pStyle w:val="TableContents"/>
                                    <w:bidi w:val="0"/>
                                    <w:spacing w:before="0" w:after="0"/>
                                    <w:jc w:val="left"/>
                                    <w:rPr>
                                      <w:b w:val="false"/>
                                      <w:color w:val="1F2668"/>
                                      <w:sz w:val="36"/>
                                    </w:rPr>
                                  </w:pPr>
                                  <w:r>
                                    <w:rPr>
                                      <w:b w:val="false"/>
                                      <w:color w:val="1F2668"/>
                                      <w:sz w:val="36"/>
                                    </w:rPr>
                                    <w:t>13%</w:t>
                                  </w:r>
                                </w:p>
                                <w:p>
                                  <w:pPr>
                                    <w:pStyle w:val="TableContents"/>
                                    <w:bidi w:val="0"/>
                                    <w:spacing w:lineRule="atLeast" w:line="200" w:before="20" w:after="283"/>
                                    <w:jc w:val="left"/>
                                    <w:rPr/>
                                  </w:pPr>
                                  <w:r>
                                    <w:rPr>
                                      <w:spacing w:val="-2"/>
                                    </w:rPr>
                                    <w:t>$600,000</w:t>
                                  </w:r>
                                  <w:r>
                                    <w:rPr/>
                                    <w:t xml:space="preserve"> </w:t>
                                  </w:r>
                                </w:p>
                              </w:tc>
                              <w:tc>
                                <w:tcPr>
                                  <w:tcW w:w="109"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7485" w:type="dxa"/>
                                  <w:tcBorders>
                                    <w:bottom w:val="single" w:sz="2" w:space="0" w:color="4B5088"/>
                                  </w:tcBorders>
                                  <w:tcMar>
                                    <w:bottom w:w="68" w:type="dxa"/>
                                  </w:tcMar>
                                  <w:vAlign w:val="center"/>
                                </w:tcPr>
                                <w:p>
                                  <w:pPr>
                                    <w:pStyle w:val="TableContents"/>
                                    <w:bidi w:val="0"/>
                                    <w:spacing w:lineRule="atLeast" w:line="200" w:before="0" w:after="0"/>
                                    <w:jc w:val="left"/>
                                    <w:rPr/>
                                  </w:pPr>
                                  <w:r>
                                    <w:rPr>
                                      <w:spacing w:val="-2"/>
                                    </w:rPr>
                                    <w:t>Annual Base Salary</w:t>
                                  </w:r>
                                  <w:r>
                                    <w:rPr/>
                                    <w:t xml:space="preserve"> </w:t>
                                  </w:r>
                                </w:p>
                                <w:p>
                                  <w:pPr>
                                    <w:pStyle w:val="TableContents"/>
                                    <w:bidi w:val="0"/>
                                    <w:spacing w:lineRule="atLeast" w:line="190" w:before="20" w:after="283"/>
                                    <w:jc w:val="left"/>
                                    <w:rPr>
                                      <w:b w:val="false"/>
                                      <w:spacing w:val="-2"/>
                                      <w:sz w:val="17"/>
                                    </w:rPr>
                                  </w:pPr>
                                  <w:r>
                                    <w:rPr>
                                      <w:b w:val="false"/>
                                      <w:spacing w:val="-2"/>
                                      <w:sz w:val="17"/>
                                    </w:rPr>
                                    <w:t xml:space="preserve">Mr. DiLiberto’s base salary was equal to the minimum amount set forth in his employment agreement. </w:t>
                                  </w:r>
                                </w:p>
                              </w:tc>
                              <w:tc>
                                <w:tcPr>
                                  <w:tcW w:w="156" w:type="dxa"/>
                                  <w:tcBorders>
                                    <w:bottom w:val="single" w:sz="2" w:space="0" w:color="4B5088"/>
                                  </w:tcBorders>
                                  <w:vAlign w:val="center"/>
                                </w:tcPr>
                                <w:p>
                                  <w:pPr>
                                    <w:pStyle w:val="TableContents"/>
                                    <w:bidi w:val="0"/>
                                    <w:spacing w:before="0" w:after="283"/>
                                    <w:jc w:val="left"/>
                                    <w:rPr/>
                                  </w:pPr>
                                  <w:r>
                                    <w:rPr/>
                                    <w:t>​</w:t>
                                  </w:r>
                                </w:p>
                              </w:tc>
                            </w:tr>
                            <w:tr>
                              <w:trPr/>
                              <w:tc>
                                <w:tcPr>
                                  <w:tcW w:w="124" w:type="dxa"/>
                                  <w:tcBorders>
                                    <w:bottom w:val="single" w:sz="2" w:space="0" w:color="4B5088"/>
                                  </w:tcBorders>
                                  <w:shd w:fill="E9F9D8" w:val="clear"/>
                                  <w:vAlign w:val="center"/>
                                </w:tcPr>
                                <w:p>
                                  <w:pPr>
                                    <w:pStyle w:val="TableContents"/>
                                    <w:bidi w:val="0"/>
                                    <w:spacing w:before="0" w:after="283"/>
                                    <w:jc w:val="left"/>
                                    <w:rPr/>
                                  </w:pPr>
                                  <w:r>
                                    <w:rPr/>
                                    <w:t>​</w:t>
                                  </w:r>
                                </w:p>
                              </w:tc>
                              <w:tc>
                                <w:tcPr>
                                  <w:tcW w:w="1002" w:type="dxa"/>
                                  <w:tcBorders>
                                    <w:bottom w:val="single" w:sz="2" w:space="0" w:color="4B5088"/>
                                  </w:tcBorders>
                                  <w:shd w:fill="E9F9D8" w:val="clear"/>
                                  <w:tcMar>
                                    <w:bottom w:w="68" w:type="dxa"/>
                                  </w:tcMar>
                                  <w:vAlign w:val="center"/>
                                </w:tcPr>
                                <w:p>
                                  <w:pPr>
                                    <w:pStyle w:val="TableContents"/>
                                    <w:bidi w:val="0"/>
                                    <w:spacing w:before="0" w:after="0"/>
                                    <w:jc w:val="left"/>
                                    <w:rPr>
                                      <w:color w:val="1F2668"/>
                                      <w:sz w:val="36"/>
                                    </w:rPr>
                                  </w:pPr>
                                  <w:r>
                                    <w:rPr>
                                      <w:color w:val="1F2668"/>
                                      <w:sz w:val="36"/>
                                    </w:rPr>
                                    <w:t>35%</w:t>
                                  </w:r>
                                </w:p>
                                <w:p>
                                  <w:pPr>
                                    <w:pStyle w:val="TableContents"/>
                                    <w:bidi w:val="0"/>
                                    <w:spacing w:lineRule="atLeast" w:line="200" w:before="20" w:after="283"/>
                                    <w:jc w:val="left"/>
                                    <w:rPr>
                                      <w:b/>
                                      <w:sz w:val="18"/>
                                    </w:rPr>
                                  </w:pPr>
                                  <w:r>
                                    <w:rPr>
                                      <w:b/>
                                      <w:spacing w:val="-2"/>
                                      <w:sz w:val="18"/>
                                    </w:rPr>
                                    <w:t>$1,622,500</w:t>
                                  </w:r>
                                  <w:r>
                                    <w:rPr>
                                      <w:b/>
                                      <w:sz w:val="18"/>
                                    </w:rPr>
                                    <w:t xml:space="preserve"> </w:t>
                                  </w:r>
                                </w:p>
                              </w:tc>
                              <w:tc>
                                <w:tcPr>
                                  <w:tcW w:w="109" w:type="dxa"/>
                                  <w:tcBorders>
                                    <w:bottom w:val="single" w:sz="2" w:space="0" w:color="4B5088"/>
                                  </w:tcBorders>
                                  <w:shd w:fill="E9F9D8" w:val="clear"/>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1002" w:type="dxa"/>
                                  <w:tcBorders>
                                    <w:bottom w:val="single" w:sz="2" w:space="0" w:color="4B5088"/>
                                  </w:tcBorders>
                                  <w:tcMar>
                                    <w:bottom w:w="68" w:type="dxa"/>
                                  </w:tcMar>
                                  <w:vAlign w:val="center"/>
                                </w:tcPr>
                                <w:p>
                                  <w:pPr>
                                    <w:pStyle w:val="TableContents"/>
                                    <w:bidi w:val="0"/>
                                    <w:spacing w:before="0" w:after="0"/>
                                    <w:jc w:val="left"/>
                                    <w:rPr>
                                      <w:color w:val="1F2668"/>
                                      <w:sz w:val="36"/>
                                    </w:rPr>
                                  </w:pPr>
                                  <w:r>
                                    <w:rPr>
                                      <w:color w:val="1F2668"/>
                                      <w:sz w:val="36"/>
                                    </w:rPr>
                                    <w:t>35%</w:t>
                                  </w:r>
                                </w:p>
                                <w:p>
                                  <w:pPr>
                                    <w:pStyle w:val="TableContents"/>
                                    <w:bidi w:val="0"/>
                                    <w:spacing w:lineRule="atLeast" w:line="200" w:before="20" w:after="283"/>
                                    <w:jc w:val="left"/>
                                    <w:rPr>
                                      <w:b/>
                                      <w:sz w:val="18"/>
                                    </w:rPr>
                                  </w:pPr>
                                  <w:r>
                                    <w:rPr>
                                      <w:b/>
                                      <w:spacing w:val="-2"/>
                                      <w:sz w:val="18"/>
                                    </w:rPr>
                                    <w:t>$1,606,350</w:t>
                                  </w:r>
                                  <w:r>
                                    <w:rPr>
                                      <w:b/>
                                      <w:sz w:val="18"/>
                                    </w:rPr>
                                    <w:t xml:space="preserve"> </w:t>
                                  </w:r>
                                </w:p>
                              </w:tc>
                              <w:tc>
                                <w:tcPr>
                                  <w:tcW w:w="109"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7485" w:type="dxa"/>
                                  <w:tcBorders>
                                    <w:bottom w:val="single" w:sz="2" w:space="0" w:color="4B5088"/>
                                  </w:tcBorders>
                                  <w:tcMar>
                                    <w:bottom w:w="68" w:type="dxa"/>
                                  </w:tcMar>
                                  <w:vAlign w:val="center"/>
                                </w:tcPr>
                                <w:p>
                                  <w:pPr>
                                    <w:pStyle w:val="TableContents"/>
                                    <w:bidi w:val="0"/>
                                    <w:spacing w:lineRule="atLeast" w:line="200" w:before="0" w:after="0"/>
                                    <w:jc w:val="left"/>
                                    <w:rPr>
                                      <w:b/>
                                      <w:sz w:val="18"/>
                                    </w:rPr>
                                  </w:pPr>
                                  <w:r>
                                    <w:rPr>
                                      <w:b/>
                                      <w:spacing w:val="-2"/>
                                      <w:sz w:val="18"/>
                                    </w:rPr>
                                    <w:t>Annual Bonus</w:t>
                                  </w:r>
                                  <w:r>
                                    <w:rPr>
                                      <w:b/>
                                      <w:sz w:val="18"/>
                                    </w:rPr>
                                    <w:t xml:space="preserve"> </w:t>
                                  </w:r>
                                </w:p>
                                <w:p>
                                  <w:pPr>
                                    <w:pStyle w:val="TableContents"/>
                                    <w:bidi w:val="0"/>
                                    <w:spacing w:lineRule="atLeast" w:line="190" w:before="20" w:after="283"/>
                                    <w:jc w:val="left"/>
                                    <w:rPr/>
                                  </w:pPr>
                                  <w:r>
                                    <w:rPr>
                                      <w:spacing w:val="-2"/>
                                    </w:rPr>
                                    <w:t xml:space="preserve">Determined 60% formulaically, with the remaining 40% discretionary. For 2025, Mr. DiLiberto earned a total bonus of </w:t>
                                  </w:r>
                                  <w:r>
                                    <w:rPr>
                                      <w:b/>
                                      <w:spacing w:val="-2"/>
                                    </w:rPr>
                                    <w:t>$1,622,500</w:t>
                                  </w:r>
                                  <w:r>
                                    <w:rPr>
                                      <w:spacing w:val="-2"/>
                                    </w:rPr>
                                    <w:t xml:space="preserve">. This amount consists of </w:t>
                                  </w:r>
                                  <w:r>
                                    <w:rPr>
                                      <w:b/>
                                      <w:spacing w:val="-2"/>
                                    </w:rPr>
                                    <w:t>$1,003,500</w:t>
                                  </w:r>
                                  <w:r>
                                    <w:rPr>
                                      <w:spacing w:val="-2"/>
                                    </w:rPr>
                                    <w:t xml:space="preserve"> earned on a formulaic basis (approximately </w:t>
                                  </w:r>
                                  <w:r>
                                    <w:rPr>
                                      <w:b/>
                                      <w:spacing w:val="-2"/>
                                    </w:rPr>
                                    <w:t>95.6%</w:t>
                                  </w:r>
                                  <w:r>
                                    <w:rPr>
                                      <w:spacing w:val="-2"/>
                                    </w:rPr>
                                    <w:t xml:space="preserve"> of the target amount), and a discretionary award of </w:t>
                                  </w:r>
                                  <w:r>
                                    <w:rPr>
                                      <w:b/>
                                      <w:spacing w:val="-2"/>
                                    </w:rPr>
                                    <w:t>$669,000</w:t>
                                  </w:r>
                                  <w:r>
                                    <w:rPr>
                                      <w:spacing w:val="-2"/>
                                    </w:rPr>
                                    <w:t xml:space="preserve">, reduced by a final true-up adjustment of </w:t>
                                  </w:r>
                                  <w:r>
                                    <w:rPr>
                                      <w:b/>
                                      <w:spacing w:val="-2"/>
                                    </w:rPr>
                                    <w:t>$50,000</w:t>
                                  </w:r>
                                  <w:r>
                                    <w:rPr>
                                      <w:spacing w:val="-2"/>
                                    </w:rPr>
                                    <w:t xml:space="preserve"> on account of 2024 actual performance.</w:t>
                                  </w:r>
                                  <w:r>
                                    <w:rPr/>
                                    <w:t xml:space="preserve"> </w:t>
                                  </w:r>
                                </w:p>
                                <w:p>
                                  <w:pPr>
                                    <w:pStyle w:val="TableContents"/>
                                    <w:bidi w:val="0"/>
                                    <w:spacing w:lineRule="atLeast" w:line="190" w:before="60" w:after="283"/>
                                    <w:jc w:val="left"/>
                                    <w:rPr/>
                                  </w:pPr>
                                  <w:r>
                                    <w:rPr>
                                      <w:spacing w:val="-2"/>
                                    </w:rPr>
                                    <w:t xml:space="preserve">Mr. DiLiberto received </w:t>
                                  </w:r>
                                  <w:r>
                                    <w:rPr>
                                      <w:b/>
                                      <w:spacing w:val="-2"/>
                                    </w:rPr>
                                    <w:t>100%</w:t>
                                  </w:r>
                                  <w:r>
                                    <w:rPr>
                                      <w:spacing w:val="-2"/>
                                    </w:rPr>
                                    <w:t xml:space="preserve"> of the bonus in the form of equity. The corresponding </w:t>
                                  </w:r>
                                  <w:r>
                                    <w:rPr>
                                      <w:b/>
                                      <w:spacing w:val="-2"/>
                                    </w:rPr>
                                    <w:t>35,464</w:t>
                                  </w:r>
                                  <w:r>
                                    <w:rPr>
                                      <w:spacing w:val="-2"/>
                                    </w:rPr>
                                    <w:t xml:space="preserve"> LTIP units granted in </w:t>
                                  </w:r>
                                  <w:r>
                                    <w:rPr>
                                      <w:b/>
                                      <w:spacing w:val="-2"/>
                                    </w:rPr>
                                    <w:t>February 2026</w:t>
                                  </w:r>
                                  <w:r>
                                    <w:rPr>
                                      <w:spacing w:val="-2"/>
                                    </w:rPr>
                                    <w:t xml:space="preserve"> were fully vested upon grant, but remain subject to a three-year no-sell restriction. Because these LTIP units were granted in 2026, the value of the awards will be reported in next year’s Summary Compensation table.</w:t>
                                  </w:r>
                                  <w:r>
                                    <w:rPr/>
                                    <w:t xml:space="preserve"> </w:t>
                                  </w:r>
                                </w:p>
                                <w:p>
                                  <w:pPr>
                                    <w:pStyle w:val="TableContents"/>
                                    <w:bidi w:val="0"/>
                                    <w:spacing w:lineRule="atLeast" w:line="190" w:before="60" w:after="283"/>
                                    <w:jc w:val="left"/>
                                    <w:rPr/>
                                  </w:pPr>
                                  <w:r>
                                    <w:rPr>
                                      <w:spacing w:val="-2"/>
                                    </w:rPr>
                                    <w:t xml:space="preserve">The SCT amount reflects the grant date value of equity granted </w:t>
                                  </w:r>
                                  <w:r>
                                    <w:rPr>
                                      <w:b/>
                                      <w:spacing w:val="-2"/>
                                    </w:rPr>
                                    <w:t>in January 2025</w:t>
                                  </w:r>
                                  <w:r>
                                    <w:rPr>
                                      <w:spacing w:val="-2"/>
                                    </w:rPr>
                                    <w:t xml:space="preserve"> representing Mr. DiLiberto’s </w:t>
                                  </w:r>
                                  <w:r>
                                    <w:rPr>
                                      <w:b/>
                                      <w:spacing w:val="-2"/>
                                    </w:rPr>
                                    <w:t>2024 annual bonus</w:t>
                                  </w:r>
                                  <w:r>
                                    <w:rPr>
                                      <w:spacing w:val="-2"/>
                                    </w:rPr>
                                    <w:t xml:space="preserve">. </w:t>
                                  </w:r>
                                </w:p>
                              </w:tc>
                              <w:tc>
                                <w:tcPr>
                                  <w:tcW w:w="156" w:type="dxa"/>
                                  <w:tcBorders>
                                    <w:bottom w:val="single" w:sz="2" w:space="0" w:color="4B5088"/>
                                  </w:tcBorders>
                                  <w:vAlign w:val="center"/>
                                </w:tcPr>
                                <w:p>
                                  <w:pPr>
                                    <w:pStyle w:val="TableContents"/>
                                    <w:bidi w:val="0"/>
                                    <w:spacing w:before="0" w:after="283"/>
                                    <w:jc w:val="left"/>
                                    <w:rPr/>
                                  </w:pPr>
                                  <w:r>
                                    <w:rPr/>
                                    <w:t>​</w:t>
                                  </w:r>
                                </w:p>
                              </w:tc>
                            </w:tr>
                            <w:tr>
                              <w:trPr/>
                              <w:tc>
                                <w:tcPr>
                                  <w:tcW w:w="124" w:type="dxa"/>
                                  <w:tcBorders/>
                                  <w:shd w:fill="E9F9D8" w:val="clear"/>
                                  <w:tcMar>
                                    <w:bottom w:w="0" w:type="dxa"/>
                                  </w:tcMar>
                                  <w:vAlign w:val="center"/>
                                </w:tcPr>
                                <w:p>
                                  <w:pPr>
                                    <w:pStyle w:val="TableContents"/>
                                    <w:bidi w:val="0"/>
                                    <w:spacing w:before="0" w:after="283"/>
                                    <w:jc w:val="left"/>
                                    <w:rPr/>
                                  </w:pPr>
                                  <w:r>
                                    <w:rPr/>
                                    <w:t>​</w:t>
                                  </w:r>
                                </w:p>
                              </w:tc>
                              <w:tc>
                                <w:tcPr>
                                  <w:tcW w:w="1002" w:type="dxa"/>
                                  <w:tcBorders/>
                                  <w:shd w:fill="E9F9D8" w:val="clear"/>
                                  <w:tcMar>
                                    <w:bottom w:w="0" w:type="dxa"/>
                                  </w:tcMar>
                                  <w:vAlign w:val="center"/>
                                </w:tcPr>
                                <w:p>
                                  <w:pPr>
                                    <w:pStyle w:val="TableContents"/>
                                    <w:bidi w:val="0"/>
                                    <w:spacing w:before="0" w:after="0"/>
                                    <w:jc w:val="left"/>
                                    <w:rPr>
                                      <w:b w:val="false"/>
                                      <w:color w:val="1F2668"/>
                                      <w:sz w:val="36"/>
                                    </w:rPr>
                                  </w:pPr>
                                  <w:r>
                                    <w:rPr>
                                      <w:b w:val="false"/>
                                      <w:color w:val="1F2668"/>
                                      <w:sz w:val="36"/>
                                    </w:rPr>
                                    <w:t>18%</w:t>
                                  </w:r>
                                </w:p>
                                <w:p>
                                  <w:pPr>
                                    <w:pStyle w:val="TableContents"/>
                                    <w:bidi w:val="0"/>
                                    <w:spacing w:lineRule="atLeast" w:line="200" w:before="20" w:after="283"/>
                                    <w:jc w:val="left"/>
                                    <w:rPr>
                                      <w:sz w:val="18"/>
                                    </w:rPr>
                                  </w:pPr>
                                  <w:r>
                                    <w:rPr>
                                      <w:spacing w:val="-2"/>
                                      <w:sz w:val="18"/>
                                    </w:rPr>
                                    <w:t>$750,000</w:t>
                                  </w:r>
                                  <w:r>
                                    <w:rPr>
                                      <w:sz w:val="18"/>
                                    </w:rPr>
                                    <w:t xml:space="preserve"> </w:t>
                                  </w:r>
                                </w:p>
                              </w:tc>
                              <w:tc>
                                <w:tcPr>
                                  <w:tcW w:w="109" w:type="dxa"/>
                                  <w:tcBorders/>
                                  <w:shd w:fill="E9F9D8"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02" w:type="dxa"/>
                                  <w:tcBorders/>
                                  <w:tcMar>
                                    <w:bottom w:w="0" w:type="dxa"/>
                                  </w:tcMar>
                                  <w:vAlign w:val="center"/>
                                </w:tcPr>
                                <w:p>
                                  <w:pPr>
                                    <w:pStyle w:val="TableContents"/>
                                    <w:bidi w:val="0"/>
                                    <w:spacing w:before="0" w:after="0"/>
                                    <w:jc w:val="left"/>
                                    <w:rPr>
                                      <w:b w:val="false"/>
                                      <w:color w:val="1F2668"/>
                                      <w:sz w:val="36"/>
                                    </w:rPr>
                                  </w:pPr>
                                  <w:r>
                                    <w:rPr>
                                      <w:b w:val="false"/>
                                      <w:color w:val="1F2668"/>
                                      <w:sz w:val="36"/>
                                    </w:rPr>
                                    <w:t>17%</w:t>
                                  </w:r>
                                </w:p>
                                <w:p>
                                  <w:pPr>
                                    <w:pStyle w:val="TableContents"/>
                                    <w:bidi w:val="0"/>
                                    <w:spacing w:lineRule="atLeast" w:line="200" w:before="20" w:after="283"/>
                                    <w:jc w:val="left"/>
                                    <w:rPr>
                                      <w:sz w:val="18"/>
                                    </w:rPr>
                                  </w:pPr>
                                  <w:r>
                                    <w:rPr>
                                      <w:spacing w:val="-2"/>
                                      <w:sz w:val="18"/>
                                    </w:rPr>
                                    <w:t>$737,893</w:t>
                                  </w:r>
                                  <w:r>
                                    <w:rPr>
                                      <w:sz w:val="18"/>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85" w:type="dxa"/>
                                  <w:tcBorders/>
                                  <w:tcMar>
                                    <w:bottom w:w="0" w:type="dxa"/>
                                  </w:tcMar>
                                  <w:vAlign w:val="center"/>
                                </w:tcPr>
                                <w:p>
                                  <w:pPr>
                                    <w:pStyle w:val="TableContents"/>
                                    <w:bidi w:val="0"/>
                                    <w:spacing w:lineRule="atLeast" w:line="200" w:before="0" w:after="0"/>
                                    <w:jc w:val="left"/>
                                    <w:rPr>
                                      <w:sz w:val="18"/>
                                    </w:rPr>
                                  </w:pPr>
                                  <w:r>
                                    <w:rPr>
                                      <w:spacing w:val="-2"/>
                                      <w:sz w:val="18"/>
                                    </w:rPr>
                                    <w:t>Performance-Based Equity Awards</w:t>
                                  </w:r>
                                  <w:r>
                                    <w:rPr>
                                      <w:sz w:val="18"/>
                                    </w:rPr>
                                    <w:t xml:space="preserve"> </w:t>
                                  </w:r>
                                </w:p>
                                <w:p>
                                  <w:pPr>
                                    <w:pStyle w:val="TableContents"/>
                                    <w:bidi w:val="0"/>
                                    <w:spacing w:lineRule="atLeast" w:line="190" w:before="20" w:after="283"/>
                                    <w:jc w:val="left"/>
                                    <w:rPr/>
                                  </w:pPr>
                                  <w:r>
                                    <w:rPr>
                                      <w:b w:val="false"/>
                                      <w:spacing w:val="-2"/>
                                    </w:rPr>
                                    <w:t xml:space="preserve">The TDC amount reflects the target notional value of </w:t>
                                  </w:r>
                                  <w:r>
                                    <w:rPr>
                                      <w:spacing w:val="-2"/>
                                    </w:rPr>
                                    <w:t xml:space="preserve">$750,000 </w:t>
                                  </w:r>
                                  <w:r>
                                    <w:rPr>
                                      <w:b w:val="false"/>
                                      <w:spacing w:val="-2"/>
                                    </w:rPr>
                                    <w:t xml:space="preserve">approved by the Committee in 2025. </w:t>
                                  </w:r>
                                  <w:r>
                                    <w:rPr>
                                      <w:spacing w:val="-2"/>
                                    </w:rPr>
                                    <w:t>The SCT amount represents the grant date value of the awards</w:t>
                                  </w:r>
                                  <w:r>
                                    <w:rPr>
                                      <w:b w:val="false"/>
                                      <w:spacing w:val="-2"/>
                                    </w:rPr>
                                    <w:t>.</w:t>
                                  </w:r>
                                  <w:r>
                                    <w:rPr/>
                                    <w:t xml:space="preserve"> </w:t>
                                  </w:r>
                                </w:p>
                                <w:p>
                                  <w:pPr>
                                    <w:pStyle w:val="TableContents"/>
                                    <w:bidi w:val="0"/>
                                    <w:spacing w:lineRule="atLeast" w:line="190" w:before="60" w:after="283"/>
                                    <w:jc w:val="left"/>
                                    <w:rPr>
                                      <w:b w:val="false"/>
                                    </w:rPr>
                                  </w:pPr>
                                  <w:r>
                                    <w:rPr>
                                      <w:b w:val="false"/>
                                      <w:spacing w:val="-2"/>
                                    </w:rPr>
                                    <w:t>The award relates to the corresponding number of LTIP units set forth below:</w:t>
                                  </w:r>
                                  <w:r>
                                    <w:rPr>
                                      <w:b w:val="false"/>
                                    </w:rPr>
                                    <w:t xml:space="preserve"> </w:t>
                                  </w:r>
                                </w:p>
                              </w:tc>
                              <w:tc>
                                <w:tcPr>
                                  <w:tcW w:w="156" w:type="dxa"/>
                                  <w:tcBorders/>
                                  <w:tcMar>
                                    <w:bottom w:w="0" w:type="dxa"/>
                                  </w:tcMar>
                                  <w:vAlign w:val="center"/>
                                </w:tcPr>
                                <w:p>
                                  <w:pPr>
                                    <w:pStyle w:val="TableContents"/>
                                    <w:bidi w:val="0"/>
                                    <w:spacing w:before="0" w:after="283"/>
                                    <w:jc w:val="left"/>
                                    <w:rPr/>
                                  </w:pPr>
                                  <w:r>
                                    <w:rPr/>
                                    <w:t>​</w:t>
                                  </w:r>
                                </w:p>
                              </w:tc>
                            </w:tr>
                          </w:tbl>
                          <w:tbl>
                            <w:tblPr>
                              <w:tblW w:w="6274" w:type="dxa"/>
                              <w:jc w:val="left"/>
                              <w:tblInd w:w="0" w:type="dxa"/>
                              <w:tblLayout w:type="fixed"/>
                              <w:tblCellMar>
                                <w:top w:w="0" w:type="dxa"/>
                                <w:left w:w="0" w:type="dxa"/>
                                <w:bottom w:w="0" w:type="dxa"/>
                                <w:right w:w="0" w:type="dxa"/>
                              </w:tblCellMar>
                            </w:tblPr>
                            <w:tblGrid>
                              <w:gridCol w:w="124"/>
                              <w:gridCol w:w="109"/>
                              <w:gridCol w:w="109"/>
                              <w:gridCol w:w="109"/>
                              <w:gridCol w:w="109"/>
                              <w:gridCol w:w="109"/>
                              <w:gridCol w:w="1110"/>
                              <w:gridCol w:w="109"/>
                              <w:gridCol w:w="109"/>
                              <w:gridCol w:w="816"/>
                              <w:gridCol w:w="109"/>
                              <w:gridCol w:w="109"/>
                              <w:gridCol w:w="1129"/>
                              <w:gridCol w:w="109"/>
                              <w:gridCol w:w="109"/>
                              <w:gridCol w:w="1742"/>
                              <w:gridCol w:w="154"/>
                            </w:tblGrid>
                            <w:tr>
                              <w:trPr/>
                              <w:tc>
                                <w:tcPr>
                                  <w:tcW w:w="124" w:type="dxa"/>
                                  <w:tcBorders/>
                                  <w:shd w:fill="E9F9D8" w:val="clear"/>
                                  <w:vAlign w:val="center"/>
                                </w:tcPr>
                                <w:p>
                                  <w:pPr>
                                    <w:pStyle w:val="TableContents"/>
                                    <w:bidi w:val="0"/>
                                    <w:spacing w:before="0" w:after="283"/>
                                    <w:jc w:val="left"/>
                                    <w:rPr/>
                                  </w:pPr>
                                  <w:r>
                                    <w:rPr/>
                                    <w:t>​</w:t>
                                  </w:r>
                                </w:p>
                              </w:tc>
                              <w:tc>
                                <w:tcPr>
                                  <w:tcW w:w="109" w:type="dxa"/>
                                  <w:tcBorders/>
                                  <w:shd w:fill="E9F9D8" w:val="cle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top w:val="single" w:sz="16" w:space="0" w:color="1F2668"/>
                                    <w:bottom w:val="single" w:sz="16" w:space="0" w:color="1F2668"/>
                                  </w:tcBorders>
                                  <w:tcMar>
                                    <w:top w:w="28" w:type="dxa"/>
                                    <w:bottom w:w="28" w:type="dxa"/>
                                  </w:tcMar>
                                  <w:vAlign w:val="center"/>
                                </w:tcPr>
                                <w:p>
                                  <w:pPr>
                                    <w:pStyle w:val="TableContents"/>
                                    <w:bidi w:val="0"/>
                                    <w:spacing w:before="0" w:after="283"/>
                                    <w:jc w:val="left"/>
                                    <w:rPr/>
                                  </w:pPr>
                                  <w:r>
                                    <w:rPr/>
                                    <w:t>​</w:t>
                                  </w:r>
                                </w:p>
                              </w:tc>
                              <w:tc>
                                <w:tcPr>
                                  <w:tcW w:w="5451" w:type="dxa"/>
                                  <w:gridSpan w:val="10"/>
                                  <w:tcBorders>
                                    <w:top w:val="single" w:sz="16" w:space="0" w:color="1F2668"/>
                                    <w:bottom w:val="single" w:sz="16" w:space="0" w:color="1F2668"/>
                                  </w:tcBorders>
                                  <w:tcMar>
                                    <w:top w:w="57" w:type="dxa"/>
                                    <w:bottom w:w="28" w:type="dxa"/>
                                  </w:tcMar>
                                  <w:vAlign w:val="center"/>
                                </w:tcPr>
                                <w:p>
                                  <w:pPr>
                                    <w:pStyle w:val="TableContents"/>
                                    <w:bidi w:val="0"/>
                                    <w:spacing w:before="0" w:after="0"/>
                                    <w:jc w:val="center"/>
                                    <w:rPr>
                                      <w:spacing w:val="-2"/>
                                    </w:rPr>
                                  </w:pPr>
                                  <w:r>
                                    <w:rPr>
                                      <w:spacing w:val="-2"/>
                                    </w:rPr>
                                    <w:t xml:space="preserve">2025 Annual Performance-Based Award— </w:t>
                                    <w:br/>
                                    <w:t xml:space="preserve">Number of LTIP Units Granted </w:t>
                                  </w:r>
                                </w:p>
                              </w:tc>
                              <w:tc>
                                <w:tcPr>
                                  <w:tcW w:w="154" w:type="dxa"/>
                                  <w:tcBorders>
                                    <w:top w:val="single" w:sz="16" w:space="0" w:color="1F2668"/>
                                    <w:bottom w:val="single" w:sz="16" w:space="0" w:color="1F2668"/>
                                  </w:tcBorders>
                                  <w:tcMar>
                                    <w:top w:w="28" w:type="dxa"/>
                                    <w:bottom w:w="28" w:type="dxa"/>
                                  </w:tcMar>
                                  <w:vAlign w:val="center"/>
                                </w:tcPr>
                                <w:p>
                                  <w:pPr>
                                    <w:pStyle w:val="TableContents"/>
                                    <w:bidi w:val="0"/>
                                    <w:spacing w:before="0" w:after="283"/>
                                    <w:jc w:val="left"/>
                                    <w:rPr/>
                                  </w:pPr>
                                  <w:r>
                                    <w:rPr/>
                                    <w:t>​</w:t>
                                  </w:r>
                                </w:p>
                              </w:tc>
                            </w:tr>
                            <w:tr>
                              <w:trPr/>
                              <w:tc>
                                <w:tcPr>
                                  <w:tcW w:w="124"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4B5088"/>
                                  </w:tcBorders>
                                  <w:tcMar>
                                    <w:bottom w:w="28" w:type="dxa"/>
                                  </w:tcMar>
                                  <w:vAlign w:val="center"/>
                                </w:tcPr>
                                <w:p>
                                  <w:pPr>
                                    <w:pStyle w:val="TableContents"/>
                                    <w:bidi w:val="0"/>
                                    <w:spacing w:before="0" w:after="283"/>
                                    <w:jc w:val="left"/>
                                    <w:rPr/>
                                  </w:pPr>
                                  <w:r>
                                    <w:rPr/>
                                    <w:t>​</w:t>
                                  </w:r>
                                </w:p>
                              </w:tc>
                              <w:tc>
                                <w:tcPr>
                                  <w:tcW w:w="1110" w:type="dxa"/>
                                  <w:tcBorders>
                                    <w:bottom w:val="single" w:sz="12" w:space="0" w:color="4B5088"/>
                                  </w:tcBorders>
                                  <w:tcMar>
                                    <w:bottom w:w="33" w:type="dxa"/>
                                  </w:tcMar>
                                  <w:vAlign w:val="center"/>
                                </w:tcPr>
                                <w:p>
                                  <w:pPr>
                                    <w:pStyle w:val="TableContents"/>
                                    <w:bidi w:val="0"/>
                                    <w:spacing w:before="0" w:after="0"/>
                                    <w:jc w:val="right"/>
                                    <w:rPr/>
                                  </w:pPr>
                                  <w:r>
                                    <w:rPr>
                                      <w:spacing w:val="-2"/>
                                    </w:rPr>
                                    <w:t>Threshold</w:t>
                                  </w:r>
                                  <w:r>
                                    <w:rPr/>
                                    <w:t xml:space="preserve"> </w:t>
                                  </w:r>
                                </w:p>
                              </w:tc>
                              <w:tc>
                                <w:tcPr>
                                  <w:tcW w:w="109" w:type="dxa"/>
                                  <w:tcBorders>
                                    <w:bottom w:val="single" w:sz="12" w:space="0" w:color="4B5088"/>
                                  </w:tcBorders>
                                  <w:tcMar>
                                    <w:bottom w:w="28" w:type="dxa"/>
                                  </w:tcMar>
                                  <w:vAlign w:val="center"/>
                                </w:tcPr>
                                <w:p>
                                  <w:pPr>
                                    <w:pStyle w:val="TableContents"/>
                                    <w:bidi w:val="0"/>
                                    <w:spacing w:before="0" w:after="283"/>
                                    <w:jc w:val="left"/>
                                    <w:rPr/>
                                  </w:pPr>
                                  <w:r>
                                    <w:rPr/>
                                    <w:t>​</w:t>
                                  </w:r>
                                </w:p>
                              </w:tc>
                              <w:tc>
                                <w:tcPr>
                                  <w:tcW w:w="109" w:type="dxa"/>
                                  <w:tcBorders>
                                    <w:bottom w:val="single" w:sz="12" w:space="0" w:color="4B5088"/>
                                  </w:tcBorders>
                                  <w:tcMar>
                                    <w:bottom w:w="28" w:type="dxa"/>
                                  </w:tcMar>
                                  <w:vAlign w:val="center"/>
                                </w:tcPr>
                                <w:p>
                                  <w:pPr>
                                    <w:pStyle w:val="TableContents"/>
                                    <w:bidi w:val="0"/>
                                    <w:spacing w:before="0" w:after="283"/>
                                    <w:jc w:val="left"/>
                                    <w:rPr/>
                                  </w:pPr>
                                  <w:r>
                                    <w:rPr/>
                                    <w:t>​</w:t>
                                  </w:r>
                                </w:p>
                              </w:tc>
                              <w:tc>
                                <w:tcPr>
                                  <w:tcW w:w="816" w:type="dxa"/>
                                  <w:tcBorders>
                                    <w:bottom w:val="single" w:sz="12" w:space="0" w:color="4B5088"/>
                                  </w:tcBorders>
                                  <w:tcMar>
                                    <w:bottom w:w="33" w:type="dxa"/>
                                  </w:tcMar>
                                  <w:vAlign w:val="center"/>
                                </w:tcPr>
                                <w:p>
                                  <w:pPr>
                                    <w:pStyle w:val="TableContents"/>
                                    <w:bidi w:val="0"/>
                                    <w:spacing w:before="0" w:after="0"/>
                                    <w:jc w:val="right"/>
                                    <w:rPr/>
                                  </w:pPr>
                                  <w:r>
                                    <w:rPr>
                                      <w:spacing w:val="-2"/>
                                    </w:rPr>
                                    <w:t>Target</w:t>
                                  </w:r>
                                  <w:r>
                                    <w:rPr/>
                                    <w:t xml:space="preserve"> </w:t>
                                  </w:r>
                                </w:p>
                              </w:tc>
                              <w:tc>
                                <w:tcPr>
                                  <w:tcW w:w="109" w:type="dxa"/>
                                  <w:tcBorders>
                                    <w:bottom w:val="single" w:sz="12" w:space="0" w:color="4B5088"/>
                                  </w:tcBorders>
                                  <w:tcMar>
                                    <w:bottom w:w="28" w:type="dxa"/>
                                  </w:tcMar>
                                  <w:vAlign w:val="center"/>
                                </w:tcPr>
                                <w:p>
                                  <w:pPr>
                                    <w:pStyle w:val="TableContents"/>
                                    <w:bidi w:val="0"/>
                                    <w:spacing w:before="0" w:after="283"/>
                                    <w:jc w:val="left"/>
                                    <w:rPr/>
                                  </w:pPr>
                                  <w:r>
                                    <w:rPr/>
                                    <w:t>​</w:t>
                                  </w:r>
                                </w:p>
                              </w:tc>
                              <w:tc>
                                <w:tcPr>
                                  <w:tcW w:w="109" w:type="dxa"/>
                                  <w:tcBorders>
                                    <w:bottom w:val="single" w:sz="12" w:space="0" w:color="4B5088"/>
                                  </w:tcBorders>
                                  <w:tcMar>
                                    <w:bottom w:w="28" w:type="dxa"/>
                                  </w:tcMar>
                                  <w:vAlign w:val="center"/>
                                </w:tcPr>
                                <w:p>
                                  <w:pPr>
                                    <w:pStyle w:val="TableContents"/>
                                    <w:bidi w:val="0"/>
                                    <w:spacing w:before="0" w:after="283"/>
                                    <w:jc w:val="left"/>
                                    <w:rPr/>
                                  </w:pPr>
                                  <w:r>
                                    <w:rPr/>
                                    <w:t>​</w:t>
                                  </w:r>
                                </w:p>
                              </w:tc>
                              <w:tc>
                                <w:tcPr>
                                  <w:tcW w:w="1129" w:type="dxa"/>
                                  <w:tcBorders>
                                    <w:bottom w:val="single" w:sz="12" w:space="0" w:color="4B5088"/>
                                  </w:tcBorders>
                                  <w:tcMar>
                                    <w:bottom w:w="33" w:type="dxa"/>
                                  </w:tcMar>
                                  <w:vAlign w:val="center"/>
                                </w:tcPr>
                                <w:p>
                                  <w:pPr>
                                    <w:pStyle w:val="TableContents"/>
                                    <w:bidi w:val="0"/>
                                    <w:spacing w:before="0" w:after="0"/>
                                    <w:jc w:val="right"/>
                                    <w:rPr/>
                                  </w:pPr>
                                  <w:r>
                                    <w:rPr>
                                      <w:spacing w:val="-2"/>
                                    </w:rPr>
                                    <w:t>Maximum</w:t>
                                  </w:r>
                                  <w:r>
                                    <w:rPr/>
                                    <w:t xml:space="preserve"> </w:t>
                                  </w:r>
                                </w:p>
                              </w:tc>
                              <w:tc>
                                <w:tcPr>
                                  <w:tcW w:w="109" w:type="dxa"/>
                                  <w:tcBorders>
                                    <w:bottom w:val="single" w:sz="12" w:space="0" w:color="4B5088"/>
                                  </w:tcBorders>
                                  <w:tcMar>
                                    <w:bottom w:w="28" w:type="dxa"/>
                                  </w:tcMar>
                                  <w:vAlign w:val="center"/>
                                </w:tcPr>
                                <w:p>
                                  <w:pPr>
                                    <w:pStyle w:val="TableContents"/>
                                    <w:bidi w:val="0"/>
                                    <w:spacing w:before="0" w:after="283"/>
                                    <w:jc w:val="left"/>
                                    <w:rPr/>
                                  </w:pPr>
                                  <w:r>
                                    <w:rPr/>
                                    <w:t>​</w:t>
                                  </w:r>
                                </w:p>
                              </w:tc>
                              <w:tc>
                                <w:tcPr>
                                  <w:tcW w:w="109" w:type="dxa"/>
                                  <w:tcBorders>
                                    <w:bottom w:val="single" w:sz="12" w:space="0" w:color="4B5088"/>
                                  </w:tcBorders>
                                  <w:tcMar>
                                    <w:bottom w:w="28" w:type="dxa"/>
                                  </w:tcMar>
                                  <w:vAlign w:val="center"/>
                                </w:tcPr>
                                <w:p>
                                  <w:pPr>
                                    <w:pStyle w:val="TableContents"/>
                                    <w:bidi w:val="0"/>
                                    <w:spacing w:before="0" w:after="283"/>
                                    <w:jc w:val="left"/>
                                    <w:rPr/>
                                  </w:pPr>
                                  <w:r>
                                    <w:rPr/>
                                    <w:t>​</w:t>
                                  </w:r>
                                </w:p>
                              </w:tc>
                              <w:tc>
                                <w:tcPr>
                                  <w:tcW w:w="1742" w:type="dxa"/>
                                  <w:tcBorders>
                                    <w:bottom w:val="single" w:sz="12" w:space="0" w:color="4B5088"/>
                                  </w:tcBorders>
                                  <w:tcMar>
                                    <w:bottom w:w="33" w:type="dxa"/>
                                  </w:tcMar>
                                  <w:vAlign w:val="center"/>
                                </w:tcPr>
                                <w:p>
                                  <w:pPr>
                                    <w:pStyle w:val="TableContents"/>
                                    <w:bidi w:val="0"/>
                                    <w:spacing w:before="0" w:after="0"/>
                                    <w:jc w:val="right"/>
                                    <w:rPr/>
                                  </w:pPr>
                                  <w:r>
                                    <w:rPr>
                                      <w:spacing w:val="-2"/>
                                    </w:rPr>
                                    <w:t xml:space="preserve">Projected </w:t>
                                    <w:br/>
                                    <w:t xml:space="preserve">Earned </w:t>
                                    <w:br/>
                                    <w:t>as of 12/31/2025</w:t>
                                  </w:r>
                                  <w:r>
                                    <w:rPr/>
                                    <w:t xml:space="preserve"> </w:t>
                                  </w:r>
                                </w:p>
                              </w:tc>
                              <w:tc>
                                <w:tcPr>
                                  <w:tcW w:w="154" w:type="dxa"/>
                                  <w:tcBorders>
                                    <w:bottom w:val="single" w:sz="12" w:space="0" w:color="4B508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E9F9D8"/>
                                  </w:tcBorders>
                                  <w:shd w:fill="E9F9D8" w:val="clear"/>
                                  <w:tcMar>
                                    <w:bottom w:w="70"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110" w:type="dxa"/>
                                  <w:tcBorders>
                                    <w:bottom w:val="single" w:sz="2" w:space="0" w:color="4B5088"/>
                                  </w:tcBorders>
                                  <w:tcMar>
                                    <w:bottom w:w="33" w:type="dxa"/>
                                  </w:tcMar>
                                  <w:vAlign w:val="center"/>
                                </w:tcPr>
                                <w:p>
                                  <w:pPr>
                                    <w:pStyle w:val="TableContents"/>
                                    <w:bidi w:val="0"/>
                                    <w:spacing w:before="0" w:after="0"/>
                                    <w:jc w:val="right"/>
                                    <w:rPr/>
                                  </w:pPr>
                                  <w:r>
                                    <w:rPr>
                                      <w:spacing w:val="-2"/>
                                    </w:rPr>
                                    <w:t>5,153</w:t>
                                  </w:r>
                                  <w:r>
                                    <w:rPr/>
                                    <w:t xml:space="preserve">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816" w:type="dxa"/>
                                  <w:tcBorders>
                                    <w:bottom w:val="single" w:sz="2" w:space="0" w:color="4B5088"/>
                                  </w:tcBorders>
                                  <w:tcMar>
                                    <w:bottom w:w="33" w:type="dxa"/>
                                  </w:tcMar>
                                  <w:vAlign w:val="center"/>
                                </w:tcPr>
                                <w:p>
                                  <w:pPr>
                                    <w:pStyle w:val="TableContents"/>
                                    <w:bidi w:val="0"/>
                                    <w:spacing w:before="0" w:after="0"/>
                                    <w:jc w:val="right"/>
                                    <w:rPr/>
                                  </w:pPr>
                                  <w:r>
                                    <w:rPr>
                                      <w:spacing w:val="-2"/>
                                    </w:rPr>
                                    <w:t>10,992</w:t>
                                  </w:r>
                                  <w:r>
                                    <w:rPr/>
                                    <w:t xml:space="preserve">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129" w:type="dxa"/>
                                  <w:tcBorders>
                                    <w:bottom w:val="single" w:sz="2" w:space="0" w:color="4B5088"/>
                                  </w:tcBorders>
                                  <w:tcMar>
                                    <w:bottom w:w="33" w:type="dxa"/>
                                  </w:tcMar>
                                  <w:vAlign w:val="center"/>
                                </w:tcPr>
                                <w:p>
                                  <w:pPr>
                                    <w:pStyle w:val="TableContents"/>
                                    <w:bidi w:val="0"/>
                                    <w:spacing w:before="0" w:after="0"/>
                                    <w:jc w:val="right"/>
                                    <w:rPr/>
                                  </w:pPr>
                                  <w:r>
                                    <w:rPr>
                                      <w:spacing w:val="-2"/>
                                    </w:rPr>
                                    <w:t>24,732</w:t>
                                  </w:r>
                                  <w:r>
                                    <w:rPr/>
                                    <w:t xml:space="preserve">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742" w:type="dxa"/>
                                  <w:tcBorders>
                                    <w:bottom w:val="single" w:sz="2" w:space="0" w:color="4B5088"/>
                                  </w:tcBorders>
                                  <w:tcMar>
                                    <w:bottom w:w="33" w:type="dxa"/>
                                  </w:tcMar>
                                  <w:vAlign w:val="center"/>
                                </w:tcPr>
                                <w:p>
                                  <w:pPr>
                                    <w:pStyle w:val="TableContents"/>
                                    <w:bidi w:val="0"/>
                                    <w:spacing w:before="0" w:after="0"/>
                                    <w:jc w:val="right"/>
                                    <w:rPr/>
                                  </w:pPr>
                                  <w:r>
                                    <w:rPr>
                                      <w:spacing w:val="-2"/>
                                    </w:rPr>
                                    <w:t>6,011</w:t>
                                  </w:r>
                                  <w:r>
                                    <w:rPr/>
                                    <w:t xml:space="preserve"> </w:t>
                                  </w:r>
                                </w:p>
                              </w:tc>
                              <w:tc>
                                <w:tcPr>
                                  <w:tcW w:w="154" w:type="dxa"/>
                                  <w:tcBorders>
                                    <w:bottom w:val="single" w:sz="2" w:space="0" w:color="4B5088"/>
                                  </w:tcBorders>
                                  <w:tcMar>
                                    <w:bottom w:w="28" w:type="dxa"/>
                                  </w:tcMar>
                                  <w:vAlign w:val="center"/>
                                </w:tcPr>
                                <w:p>
                                  <w:pPr>
                                    <w:pStyle w:val="TableContents"/>
                                    <w:bidi w:val="0"/>
                                    <w:spacing w:before="0" w:after="283"/>
                                    <w:jc w:val="left"/>
                                    <w:rPr/>
                                  </w:pPr>
                                  <w:r>
                                    <w:rPr/>
                                    <w:t>​</w:t>
                                  </w:r>
                                </w:p>
                              </w:tc>
                            </w:tr>
                          </w:tbl>
                          <w:tbl>
                            <w:tblPr>
                              <w:tblW w:w="10205" w:type="dxa"/>
                              <w:jc w:val="left"/>
                              <w:tblInd w:w="0" w:type="dxa"/>
                              <w:tblLayout w:type="fixed"/>
                              <w:tblCellMar>
                                <w:top w:w="0" w:type="dxa"/>
                                <w:left w:w="0" w:type="dxa"/>
                                <w:bottom w:w="28" w:type="dxa"/>
                                <w:right w:w="0" w:type="dxa"/>
                              </w:tblCellMar>
                            </w:tblPr>
                            <w:tblGrid>
                              <w:gridCol w:w="124"/>
                              <w:gridCol w:w="1178"/>
                              <w:gridCol w:w="109"/>
                              <w:gridCol w:w="109"/>
                              <w:gridCol w:w="1178"/>
                              <w:gridCol w:w="109"/>
                              <w:gridCol w:w="109"/>
                              <w:gridCol w:w="7134"/>
                              <w:gridCol w:w="155"/>
                            </w:tblGrid>
                            <w:tr>
                              <w:trPr/>
                              <w:tc>
                                <w:tcPr>
                                  <w:tcW w:w="124" w:type="dxa"/>
                                  <w:tcBorders>
                                    <w:bottom w:val="single" w:sz="2" w:space="0" w:color="4B5088"/>
                                  </w:tcBorders>
                                  <w:shd w:fill="E9F9D8" w:val="clear"/>
                                  <w:vAlign w:val="center"/>
                                </w:tcPr>
                                <w:p>
                                  <w:pPr>
                                    <w:pStyle w:val="TableContents"/>
                                    <w:bidi w:val="0"/>
                                    <w:spacing w:before="0" w:after="283"/>
                                    <w:jc w:val="left"/>
                                    <w:rPr/>
                                  </w:pPr>
                                  <w:r>
                                    <w:rPr/>
                                    <w:t>​</w:t>
                                  </w:r>
                                </w:p>
                              </w:tc>
                              <w:tc>
                                <w:tcPr>
                                  <w:tcW w:w="1178" w:type="dxa"/>
                                  <w:tcBorders>
                                    <w:bottom w:val="single" w:sz="2" w:space="0" w:color="4B5088"/>
                                  </w:tcBorders>
                                  <w:shd w:fill="E9F9D8" w:val="clear"/>
                                  <w:tcMar>
                                    <w:bottom w:w="33"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1178" w:type="dxa"/>
                                  <w:tcBorders>
                                    <w:bottom w:val="single" w:sz="2" w:space="0" w:color="4B5088"/>
                                  </w:tcBorders>
                                  <w:tcMar>
                                    <w:bottom w:w="33" w:type="dxa"/>
                                  </w:tcMar>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7134" w:type="dxa"/>
                                  <w:tcBorders>
                                    <w:bottom w:val="single" w:sz="2" w:space="0" w:color="4B5088"/>
                                  </w:tcBorders>
                                  <w:tcMar>
                                    <w:bottom w:w="33" w:type="dxa"/>
                                  </w:tcMar>
                                  <w:vAlign w:val="center"/>
                                </w:tcPr>
                                <w:p>
                                  <w:pPr>
                                    <w:pStyle w:val="TableContents"/>
                                    <w:bidi w:val="0"/>
                                    <w:spacing w:lineRule="atLeast" w:line="185" w:before="0" w:after="0"/>
                                    <w:jc w:val="left"/>
                                    <w:rPr>
                                      <w:spacing w:val="-2"/>
                                    </w:rPr>
                                  </w:pPr>
                                  <w:r>
                                    <w:rPr>
                                      <w:spacing w:val="-2"/>
                                    </w:rPr>
                                    <w:t xml:space="preserve">The actual number of LTIP units earned will be determined based on Company performance measured after the end of the full performance period ending December 31, 2027, based on one-year operational performance goals, and our three-year absolute and relative TSR. Earned LTIP units will vest 50% as of December 31, 2027 and 50% as of December 31, 2028 </w:t>
                                  </w:r>
                                </w:p>
                              </w:tc>
                              <w:tc>
                                <w:tcPr>
                                  <w:tcW w:w="155" w:type="dxa"/>
                                  <w:tcBorders>
                                    <w:bottom w:val="single" w:sz="2" w:space="0" w:color="4B5088"/>
                                  </w:tcBorders>
                                  <w:vAlign w:val="center"/>
                                </w:tcPr>
                                <w:p>
                                  <w:pPr>
                                    <w:pStyle w:val="TableContents"/>
                                    <w:bidi w:val="0"/>
                                    <w:spacing w:before="0" w:after="283"/>
                                    <w:jc w:val="left"/>
                                    <w:rPr/>
                                  </w:pPr>
                                  <w:r>
                                    <w:rPr/>
                                    <w:t>​</w:t>
                                  </w:r>
                                </w:p>
                              </w:tc>
                            </w:tr>
                            <w:tr>
                              <w:trPr/>
                              <w:tc>
                                <w:tcPr>
                                  <w:tcW w:w="124" w:type="dxa"/>
                                  <w:tcBorders>
                                    <w:bottom w:val="single" w:sz="2" w:space="0" w:color="4B5088"/>
                                  </w:tcBorders>
                                  <w:shd w:fill="E9F9D8" w:val="clear"/>
                                  <w:vAlign w:val="center"/>
                                </w:tcPr>
                                <w:p>
                                  <w:pPr>
                                    <w:pStyle w:val="TableContents"/>
                                    <w:bidi w:val="0"/>
                                    <w:spacing w:before="0" w:after="283"/>
                                    <w:jc w:val="left"/>
                                    <w:rPr/>
                                  </w:pPr>
                                  <w:r>
                                    <w:rPr/>
                                    <w:t>​</w:t>
                                  </w:r>
                                </w:p>
                              </w:tc>
                              <w:tc>
                                <w:tcPr>
                                  <w:tcW w:w="1178" w:type="dxa"/>
                                  <w:tcBorders>
                                    <w:bottom w:val="single" w:sz="2" w:space="0" w:color="4B5088"/>
                                  </w:tcBorders>
                                  <w:shd w:fill="E9F9D8" w:val="clear"/>
                                  <w:tcMar>
                                    <w:bottom w:w="82" w:type="dxa"/>
                                  </w:tcMar>
                                  <w:vAlign w:val="center"/>
                                </w:tcPr>
                                <w:p>
                                  <w:pPr>
                                    <w:pStyle w:val="TableContents"/>
                                    <w:bidi w:val="0"/>
                                    <w:spacing w:before="0" w:after="0"/>
                                    <w:jc w:val="left"/>
                                    <w:rPr>
                                      <w:color w:val="1F2668"/>
                                      <w:sz w:val="36"/>
                                    </w:rPr>
                                  </w:pPr>
                                  <w:r>
                                    <w:rPr>
                                      <w:color w:val="1F2668"/>
                                      <w:sz w:val="36"/>
                                    </w:rPr>
                                    <w:t>34%</w:t>
                                  </w:r>
                                </w:p>
                                <w:p>
                                  <w:pPr>
                                    <w:pStyle w:val="TableContents"/>
                                    <w:bidi w:val="0"/>
                                    <w:spacing w:lineRule="atLeast" w:line="220" w:before="40" w:after="283"/>
                                    <w:jc w:val="left"/>
                                    <w:rPr>
                                      <w:b/>
                                      <w:sz w:val="18"/>
                                    </w:rPr>
                                  </w:pPr>
                                  <w:r>
                                    <w:rPr>
                                      <w:b/>
                                      <w:spacing w:val="-2"/>
                                      <w:sz w:val="18"/>
                                    </w:rPr>
                                    <w:t>$1,540,000</w:t>
                                  </w:r>
                                  <w:r>
                                    <w:rPr>
                                      <w:b/>
                                      <w:sz w:val="18"/>
                                    </w:rPr>
                                    <w:t xml:space="preserve"> </w:t>
                                  </w:r>
                                </w:p>
                              </w:tc>
                              <w:tc>
                                <w:tcPr>
                                  <w:tcW w:w="109" w:type="dxa"/>
                                  <w:tcBorders>
                                    <w:bottom w:val="single" w:sz="2" w:space="0" w:color="4B5088"/>
                                  </w:tcBorders>
                                  <w:shd w:fill="E9F9D8" w:val="clear"/>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1178" w:type="dxa"/>
                                  <w:tcBorders>
                                    <w:bottom w:val="single" w:sz="2" w:space="0" w:color="4B5088"/>
                                  </w:tcBorders>
                                  <w:tcMar>
                                    <w:bottom w:w="82" w:type="dxa"/>
                                  </w:tcMar>
                                  <w:vAlign w:val="center"/>
                                </w:tcPr>
                                <w:p>
                                  <w:pPr>
                                    <w:pStyle w:val="TableContents"/>
                                    <w:bidi w:val="0"/>
                                    <w:spacing w:before="0" w:after="0"/>
                                    <w:jc w:val="left"/>
                                    <w:rPr>
                                      <w:color w:val="1F2668"/>
                                      <w:sz w:val="36"/>
                                    </w:rPr>
                                  </w:pPr>
                                  <w:r>
                                    <w:rPr>
                                      <w:color w:val="1F2668"/>
                                      <w:sz w:val="36"/>
                                    </w:rPr>
                                    <w:t>35%</w:t>
                                  </w:r>
                                </w:p>
                                <w:p>
                                  <w:pPr>
                                    <w:pStyle w:val="TableContents"/>
                                    <w:bidi w:val="0"/>
                                    <w:spacing w:lineRule="atLeast" w:line="220" w:before="40" w:after="283"/>
                                    <w:jc w:val="left"/>
                                    <w:rPr>
                                      <w:b/>
                                      <w:sz w:val="18"/>
                                    </w:rPr>
                                  </w:pPr>
                                  <w:r>
                                    <w:rPr>
                                      <w:b/>
                                      <w:spacing w:val="-2"/>
                                      <w:sz w:val="18"/>
                                    </w:rPr>
                                    <w:t>$1,576,449</w:t>
                                  </w:r>
                                  <w:r>
                                    <w:rPr>
                                      <w:b/>
                                      <w:sz w:val="18"/>
                                    </w:rPr>
                                    <w:t xml:space="preserve"> </w:t>
                                  </w:r>
                                </w:p>
                              </w:tc>
                              <w:tc>
                                <w:tcPr>
                                  <w:tcW w:w="109"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7134" w:type="dxa"/>
                                  <w:tcBorders>
                                    <w:bottom w:val="single" w:sz="2" w:space="0" w:color="4B5088"/>
                                  </w:tcBorders>
                                  <w:tcMar>
                                    <w:bottom w:w="82" w:type="dxa"/>
                                  </w:tcMar>
                                  <w:vAlign w:val="center"/>
                                </w:tcPr>
                                <w:p>
                                  <w:pPr>
                                    <w:pStyle w:val="TableContents"/>
                                    <w:bidi w:val="0"/>
                                    <w:spacing w:lineRule="atLeast" w:line="195" w:before="0" w:after="0"/>
                                    <w:jc w:val="left"/>
                                    <w:rPr>
                                      <w:b/>
                                      <w:sz w:val="18"/>
                                    </w:rPr>
                                  </w:pPr>
                                  <w:r>
                                    <w:rPr>
                                      <w:b/>
                                      <w:spacing w:val="-2"/>
                                      <w:sz w:val="18"/>
                                    </w:rPr>
                                    <w:t>Time-Based Equity Awards</w:t>
                                  </w:r>
                                  <w:r>
                                    <w:rPr>
                                      <w:b/>
                                      <w:sz w:val="18"/>
                                    </w:rPr>
                                    <w:t xml:space="preserve"> </w:t>
                                  </w:r>
                                </w:p>
                                <w:p>
                                  <w:pPr>
                                    <w:pStyle w:val="TableContents"/>
                                    <w:bidi w:val="0"/>
                                    <w:spacing w:lineRule="atLeast" w:line="185" w:before="15" w:after="283"/>
                                    <w:jc w:val="left"/>
                                    <w:rPr/>
                                  </w:pPr>
                                  <w:r>
                                    <w:rPr>
                                      <w:spacing w:val="-2"/>
                                    </w:rPr>
                                    <w:t xml:space="preserve">The Committee granted time-based awards in February 2026 based on the Company’s 2025 performance. The awards had a target value of </w:t>
                                  </w:r>
                                  <w:r>
                                    <w:rPr>
                                      <w:b/>
                                      <w:spacing w:val="-2"/>
                                    </w:rPr>
                                    <w:t>$1,540,000</w:t>
                                  </w:r>
                                  <w:r>
                                    <w:rPr>
                                      <w:spacing w:val="-2"/>
                                    </w:rPr>
                                    <w:t xml:space="preserve">. The corresponding </w:t>
                                  </w:r>
                                  <w:r>
                                    <w:rPr>
                                      <w:b/>
                                      <w:spacing w:val="-2"/>
                                    </w:rPr>
                                    <w:t>33,999</w:t>
                                  </w:r>
                                  <w:r>
                                    <w:rPr>
                                      <w:spacing w:val="-2"/>
                                    </w:rPr>
                                    <w:t xml:space="preserve"> LTIP units vest ratably in three equal installments on January 1, 2027, January 1, 2028 and January 1, 2029, subject to continued employment.</w:t>
                                  </w:r>
                                  <w:r>
                                    <w:rPr/>
                                    <w:t xml:space="preserve"> </w:t>
                                  </w:r>
                                </w:p>
                                <w:p>
                                  <w:pPr>
                                    <w:pStyle w:val="TableContents"/>
                                    <w:bidi w:val="0"/>
                                    <w:spacing w:lineRule="atLeast" w:line="185" w:before="60" w:after="283"/>
                                    <w:jc w:val="left"/>
                                    <w:rPr>
                                      <w:b/>
                                    </w:rPr>
                                  </w:pPr>
                                  <w:r>
                                    <w:rPr>
                                      <w:b/>
                                      <w:spacing w:val="-2"/>
                                    </w:rPr>
                                    <w:t>The SCT amount represents the grant date value of the awards granted retrospectively in January 2025 based on the Company’s 2024 performance</w:t>
                                  </w:r>
                                  <w:r>
                                    <w:rPr>
                                      <w:b w:val="false"/>
                                      <w:spacing w:val="-2"/>
                                    </w:rPr>
                                    <w:t xml:space="preserve">. </w:t>
                                  </w:r>
                                </w:p>
                              </w:tc>
                              <w:tc>
                                <w:tcPr>
                                  <w:tcW w:w="155" w:type="dxa"/>
                                  <w:tcBorders>
                                    <w:bottom w:val="single" w:sz="2" w:space="0" w:color="4B5088"/>
                                  </w:tcBorders>
                                  <w:vAlign w:val="center"/>
                                </w:tcPr>
                                <w:p>
                                  <w:pPr>
                                    <w:pStyle w:val="TableContents"/>
                                    <w:bidi w:val="0"/>
                                    <w:spacing w:before="0" w:after="283"/>
                                    <w:jc w:val="left"/>
                                    <w:rPr/>
                                  </w:pPr>
                                  <w:r>
                                    <w:rPr/>
                                    <w:t>​</w:t>
                                  </w:r>
                                </w:p>
                              </w:tc>
                            </w:tr>
                            <w:tr>
                              <w:trPr/>
                              <w:tc>
                                <w:tcPr>
                                  <w:tcW w:w="124" w:type="dxa"/>
                                  <w:tcBorders>
                                    <w:bottom w:val="single" w:sz="2" w:space="0" w:color="4B5088"/>
                                  </w:tcBorders>
                                  <w:shd w:fill="E9F9D8" w:val="clear"/>
                                  <w:vAlign w:val="center"/>
                                </w:tcPr>
                                <w:p>
                                  <w:pPr>
                                    <w:pStyle w:val="TableContents"/>
                                    <w:bidi w:val="0"/>
                                    <w:spacing w:before="0" w:after="283"/>
                                    <w:jc w:val="left"/>
                                    <w:rPr/>
                                  </w:pPr>
                                  <w:r>
                                    <w:rPr/>
                                    <w:t>​</w:t>
                                  </w:r>
                                </w:p>
                              </w:tc>
                              <w:tc>
                                <w:tcPr>
                                  <w:tcW w:w="1178" w:type="dxa"/>
                                  <w:tcBorders>
                                    <w:bottom w:val="single" w:sz="2" w:space="0" w:color="4B5088"/>
                                  </w:tcBorders>
                                  <w:shd w:fill="E9F9D8" w:val="clear"/>
                                  <w:tcMar>
                                    <w:bottom w:w="82" w:type="dxa"/>
                                  </w:tcMar>
                                  <w:vAlign w:val="center"/>
                                </w:tcPr>
                                <w:p>
                                  <w:pPr>
                                    <w:pStyle w:val="TableContents"/>
                                    <w:bidi w:val="0"/>
                                    <w:spacing w:before="0" w:after="0"/>
                                    <w:jc w:val="left"/>
                                    <w:rPr>
                                      <w:b w:val="false"/>
                                      <w:color w:val="1F2668"/>
                                      <w:sz w:val="36"/>
                                    </w:rPr>
                                  </w:pPr>
                                  <w:r>
                                    <w:rPr>
                                      <w:b w:val="false"/>
                                      <w:color w:val="1F2668"/>
                                      <w:sz w:val="36"/>
                                    </w:rPr>
                                    <w:t>100%</w:t>
                                  </w:r>
                                </w:p>
                                <w:p>
                                  <w:pPr>
                                    <w:pStyle w:val="TableContents"/>
                                    <w:bidi w:val="0"/>
                                    <w:spacing w:lineRule="atLeast" w:line="220" w:before="40" w:after="283"/>
                                    <w:jc w:val="left"/>
                                    <w:rPr/>
                                  </w:pPr>
                                  <w:r>
                                    <w:rPr>
                                      <w:spacing w:val="-2"/>
                                    </w:rPr>
                                    <w:t>$4,526,500</w:t>
                                  </w:r>
                                  <w:r>
                                    <w:rPr/>
                                    <w:t xml:space="preserve"> </w:t>
                                  </w:r>
                                </w:p>
                              </w:tc>
                              <w:tc>
                                <w:tcPr>
                                  <w:tcW w:w="109" w:type="dxa"/>
                                  <w:tcBorders>
                                    <w:bottom w:val="single" w:sz="2" w:space="0" w:color="4B5088"/>
                                  </w:tcBorders>
                                  <w:shd w:fill="E9F9D8" w:val="clear"/>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1178" w:type="dxa"/>
                                  <w:tcBorders>
                                    <w:bottom w:val="single" w:sz="2" w:space="0" w:color="4B5088"/>
                                  </w:tcBorders>
                                  <w:tcMar>
                                    <w:bottom w:w="82" w:type="dxa"/>
                                  </w:tcMar>
                                  <w:vAlign w:val="center"/>
                                </w:tcPr>
                                <w:p>
                                  <w:pPr>
                                    <w:pStyle w:val="TableContents"/>
                                    <w:bidi w:val="0"/>
                                    <w:spacing w:before="0" w:after="0"/>
                                    <w:jc w:val="left"/>
                                    <w:rPr>
                                      <w:b w:val="false"/>
                                      <w:color w:val="1F2668"/>
                                      <w:sz w:val="36"/>
                                    </w:rPr>
                                  </w:pPr>
                                  <w:r>
                                    <w:rPr>
                                      <w:b w:val="false"/>
                                      <w:color w:val="1F2668"/>
                                      <w:sz w:val="36"/>
                                    </w:rPr>
                                    <w:t>100%</w:t>
                                  </w:r>
                                </w:p>
                                <w:p>
                                  <w:pPr>
                                    <w:pStyle w:val="TableContents"/>
                                    <w:bidi w:val="0"/>
                                    <w:spacing w:lineRule="atLeast" w:line="220" w:before="40" w:after="283"/>
                                    <w:jc w:val="left"/>
                                    <w:rPr/>
                                  </w:pPr>
                                  <w:r>
                                    <w:rPr>
                                      <w:spacing w:val="-2"/>
                                    </w:rPr>
                                    <w:t>$4,534,692</w:t>
                                  </w:r>
                                  <w:r>
                                    <w:rPr/>
                                    <w:t xml:space="preserve"> </w:t>
                                  </w:r>
                                </w:p>
                              </w:tc>
                              <w:tc>
                                <w:tcPr>
                                  <w:tcW w:w="109"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7134" w:type="dxa"/>
                                  <w:tcBorders>
                                    <w:bottom w:val="single" w:sz="2" w:space="0" w:color="4B5088"/>
                                  </w:tcBorders>
                                  <w:tcMar>
                                    <w:bottom w:w="82" w:type="dxa"/>
                                  </w:tcMar>
                                  <w:vAlign w:val="center"/>
                                </w:tcPr>
                                <w:p>
                                  <w:pPr>
                                    <w:pStyle w:val="TableContents"/>
                                    <w:bidi w:val="0"/>
                                    <w:spacing w:lineRule="atLeast" w:line="185" w:before="0" w:after="0"/>
                                    <w:jc w:val="left"/>
                                    <w:rPr>
                                      <w:b w:val="false"/>
                                      <w:sz w:val="17"/>
                                    </w:rPr>
                                  </w:pPr>
                                  <w:r>
                                    <w:rPr>
                                      <w:b w:val="false"/>
                                      <w:spacing w:val="-2"/>
                                      <w:sz w:val="17"/>
                                    </w:rPr>
                                    <w:t>Both totals include $14,000 of “Other Compensation,” as reflected in the Summary Compensation Table.</w:t>
                                  </w:r>
                                  <w:r>
                                    <w:rPr>
                                      <w:b w:val="false"/>
                                      <w:sz w:val="17"/>
                                    </w:rPr>
                                    <w:t xml:space="preserve"> </w:t>
                                  </w:r>
                                </w:p>
                              </w:tc>
                              <w:tc>
                                <w:tcPr>
                                  <w:tcW w:w="155" w:type="dxa"/>
                                  <w:tcBorders>
                                    <w:bottom w:val="single" w:sz="2" w:space="0" w:color="4B5088"/>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47pt;height:785.2pt;mso-wrap-distance-left:16pt;mso-wrap-distance-right:0pt;mso-wrap-distance-top:0pt;mso-wrap-distance-bottom:0pt;margin-top:0pt;mso-position-vertical:top;mso-position-vertical-relative:text;margin-left:16pt;mso-position-horizontal:left;mso-position-horizontal-relative:text">
                <v:textbox>
                  <w:txbxContent>
                    <w:p>
                      <w:pPr>
                        <w:pStyle w:val="TextBody"/>
                        <w:bidi w:val="0"/>
                        <w:spacing w:lineRule="atLeast" w:line="260" w:before="260" w:after="283"/>
                        <w:jc w:val="left"/>
                        <w:rPr>
                          <w:b/>
                          <w:color w:val="83AD40"/>
                          <w:sz w:val="22"/>
                        </w:rPr>
                      </w:pPr>
                      <w:r>
                        <w:rPr>
                          <w:b/>
                          <w:color w:val="83AD40"/>
                          <w:spacing w:val="-2"/>
                          <w:sz w:val="22"/>
                        </w:rPr>
                        <w:t xml:space="preserve">2025 Performance and Compensation— </w:t>
                        <w:br/>
                        <w:t>Total Direct Compensation vs. Summary Compensation Table</w:t>
                      </w:r>
                      <w:r>
                        <w:rPr>
                          <w:b/>
                          <w:color w:val="000000"/>
                          <w:spacing w:val="4"/>
                          <w:sz w:val="22"/>
                        </w:rPr>
                        <w:t xml:space="preserve"> </w:t>
                      </w:r>
                    </w:p>
                    <w:tbl>
                      <w:tblPr>
                        <w:tblW w:w="10205" w:type="dxa"/>
                        <w:jc w:val="left"/>
                        <w:tblInd w:w="0" w:type="dxa"/>
                        <w:tblLayout w:type="fixed"/>
                        <w:tblCellMar>
                          <w:top w:w="0" w:type="dxa"/>
                          <w:left w:w="0" w:type="dxa"/>
                          <w:bottom w:w="28" w:type="dxa"/>
                          <w:right w:w="0" w:type="dxa"/>
                        </w:tblCellMar>
                      </w:tblPr>
                      <w:tblGrid>
                        <w:gridCol w:w="124"/>
                        <w:gridCol w:w="1002"/>
                        <w:gridCol w:w="109"/>
                        <w:gridCol w:w="109"/>
                        <w:gridCol w:w="1002"/>
                        <w:gridCol w:w="109"/>
                        <w:gridCol w:w="109"/>
                        <w:gridCol w:w="7485"/>
                        <w:gridCol w:w="156"/>
                      </w:tblGrid>
                      <w:tr>
                        <w:trPr/>
                        <w:tc>
                          <w:tcPr>
                            <w:tcW w:w="124" w:type="dxa"/>
                            <w:tcBorders>
                              <w:bottom w:val="single" w:sz="8" w:space="0" w:color="1F2668"/>
                            </w:tcBorders>
                            <w:shd w:fill="E9F9D8" w:val="clear"/>
                            <w:vAlign w:val="center"/>
                          </w:tcPr>
                          <w:p>
                            <w:pPr>
                              <w:pStyle w:val="TableContents"/>
                              <w:bidi w:val="0"/>
                              <w:spacing w:before="0" w:after="283"/>
                              <w:jc w:val="left"/>
                              <w:rPr/>
                            </w:pPr>
                            <w:r>
                              <w:rPr/>
                              <w:t>​</w:t>
                            </w:r>
                          </w:p>
                        </w:tc>
                        <w:tc>
                          <w:tcPr>
                            <w:tcW w:w="1002" w:type="dxa"/>
                            <w:tcBorders>
                              <w:bottom w:val="single" w:sz="8" w:space="0" w:color="1F2668"/>
                            </w:tcBorders>
                            <w:shd w:fill="E9F9D8" w:val="clear"/>
                            <w:tcMar>
                              <w:bottom w:w="50" w:type="dxa"/>
                            </w:tcMar>
                            <w:vAlign w:val="center"/>
                          </w:tcPr>
                          <w:p>
                            <w:pPr>
                              <w:pStyle w:val="TableContents"/>
                              <w:bidi w:val="0"/>
                              <w:spacing w:before="0" w:after="0"/>
                              <w:jc w:val="left"/>
                              <w:rPr>
                                <w:spacing w:val="-2"/>
                              </w:rPr>
                            </w:pPr>
                            <w:r>
                              <w:rPr>
                                <w:spacing w:val="-2"/>
                              </w:rPr>
                              <w:t xml:space="preserve">TDC </w:t>
                            </w:r>
                          </w:p>
                        </w:tc>
                        <w:tc>
                          <w:tcPr>
                            <w:tcW w:w="109" w:type="dxa"/>
                            <w:tcBorders>
                              <w:bottom w:val="single" w:sz="8" w:space="0" w:color="1F2668"/>
                            </w:tcBorders>
                            <w:shd w:fill="E9F9D8" w:val="clear"/>
                            <w:vAlign w:val="center"/>
                          </w:tcPr>
                          <w:p>
                            <w:pPr>
                              <w:pStyle w:val="TableContents"/>
                              <w:bidi w:val="0"/>
                              <w:spacing w:before="0" w:after="283"/>
                              <w:jc w:val="left"/>
                              <w:rPr/>
                            </w:pPr>
                            <w:r>
                              <w:rPr/>
                              <w:t>​</w:t>
                            </w:r>
                          </w:p>
                        </w:tc>
                        <w:tc>
                          <w:tcPr>
                            <w:tcW w:w="109" w:type="dxa"/>
                            <w:tcBorders>
                              <w:bottom w:val="single" w:sz="8" w:space="0" w:color="1F2668"/>
                            </w:tcBorders>
                            <w:vAlign w:val="center"/>
                          </w:tcPr>
                          <w:p>
                            <w:pPr>
                              <w:pStyle w:val="TableContents"/>
                              <w:bidi w:val="0"/>
                              <w:spacing w:before="0" w:after="283"/>
                              <w:jc w:val="left"/>
                              <w:rPr/>
                            </w:pPr>
                            <w:r>
                              <w:rPr/>
                              <w:t>​</w:t>
                            </w:r>
                          </w:p>
                        </w:tc>
                        <w:tc>
                          <w:tcPr>
                            <w:tcW w:w="1002" w:type="dxa"/>
                            <w:tcBorders>
                              <w:bottom w:val="single" w:sz="8" w:space="0" w:color="1F2668"/>
                            </w:tcBorders>
                            <w:tcMar>
                              <w:bottom w:w="50" w:type="dxa"/>
                            </w:tcMar>
                            <w:vAlign w:val="center"/>
                          </w:tcPr>
                          <w:p>
                            <w:pPr>
                              <w:pStyle w:val="TableContents"/>
                              <w:bidi w:val="0"/>
                              <w:spacing w:before="0" w:after="0"/>
                              <w:jc w:val="left"/>
                              <w:rPr>
                                <w:spacing w:val="-2"/>
                              </w:rPr>
                            </w:pPr>
                            <w:r>
                              <w:rPr>
                                <w:spacing w:val="-2"/>
                              </w:rPr>
                              <w:t xml:space="preserve">SCT </w:t>
                            </w:r>
                          </w:p>
                        </w:tc>
                        <w:tc>
                          <w:tcPr>
                            <w:tcW w:w="109" w:type="dxa"/>
                            <w:tcBorders>
                              <w:bottom w:val="single" w:sz="8" w:space="0" w:color="1F2668"/>
                            </w:tcBorders>
                            <w:vAlign w:val="center"/>
                          </w:tcPr>
                          <w:p>
                            <w:pPr>
                              <w:pStyle w:val="TableContents"/>
                              <w:bidi w:val="0"/>
                              <w:spacing w:before="0" w:after="283"/>
                              <w:jc w:val="left"/>
                              <w:rPr/>
                            </w:pPr>
                            <w:r>
                              <w:rPr/>
                              <w:t>​</w:t>
                            </w:r>
                          </w:p>
                        </w:tc>
                        <w:tc>
                          <w:tcPr>
                            <w:tcW w:w="109" w:type="dxa"/>
                            <w:tcBorders>
                              <w:bottom w:val="single" w:sz="8" w:space="0" w:color="1F2668"/>
                            </w:tcBorders>
                            <w:vAlign w:val="center"/>
                          </w:tcPr>
                          <w:p>
                            <w:pPr>
                              <w:pStyle w:val="TableContents"/>
                              <w:bidi w:val="0"/>
                              <w:spacing w:before="0" w:after="283"/>
                              <w:jc w:val="left"/>
                              <w:rPr/>
                            </w:pPr>
                            <w:r>
                              <w:rPr/>
                              <w:t>​</w:t>
                            </w:r>
                          </w:p>
                        </w:tc>
                        <w:tc>
                          <w:tcPr>
                            <w:tcW w:w="7485" w:type="dxa"/>
                            <w:tcBorders>
                              <w:bottom w:val="single" w:sz="8" w:space="0" w:color="1F2668"/>
                            </w:tcBorders>
                            <w:tcMar>
                              <w:bottom w:w="50" w:type="dxa"/>
                            </w:tcMar>
                            <w:vAlign w:val="center"/>
                          </w:tcPr>
                          <w:p>
                            <w:pPr>
                              <w:pStyle w:val="TableContents"/>
                              <w:bidi w:val="0"/>
                              <w:spacing w:before="0" w:after="0"/>
                              <w:jc w:val="left"/>
                              <w:rPr>
                                <w:spacing w:val="-2"/>
                              </w:rPr>
                            </w:pPr>
                            <w:r>
                              <w:rPr>
                                <w:spacing w:val="-2"/>
                              </w:rPr>
                              <w:t xml:space="preserve">Element of Compensation </w:t>
                            </w:r>
                          </w:p>
                        </w:tc>
                        <w:tc>
                          <w:tcPr>
                            <w:tcW w:w="156" w:type="dxa"/>
                            <w:tcBorders>
                              <w:bottom w:val="single" w:sz="8" w:space="0" w:color="1F2668"/>
                            </w:tcBorders>
                            <w:vAlign w:val="center"/>
                          </w:tcPr>
                          <w:p>
                            <w:pPr>
                              <w:pStyle w:val="TableContents"/>
                              <w:bidi w:val="0"/>
                              <w:spacing w:before="0" w:after="283"/>
                              <w:jc w:val="left"/>
                              <w:rPr/>
                            </w:pPr>
                            <w:r>
                              <w:rPr/>
                              <w:t>​</w:t>
                            </w:r>
                          </w:p>
                        </w:tc>
                      </w:tr>
                      <w:tr>
                        <w:trPr/>
                        <w:tc>
                          <w:tcPr>
                            <w:tcW w:w="124" w:type="dxa"/>
                            <w:tcBorders>
                              <w:bottom w:val="single" w:sz="2" w:space="0" w:color="4B5088"/>
                            </w:tcBorders>
                            <w:shd w:fill="E9F9D8" w:val="clear"/>
                            <w:vAlign w:val="center"/>
                          </w:tcPr>
                          <w:p>
                            <w:pPr>
                              <w:pStyle w:val="TableContents"/>
                              <w:bidi w:val="0"/>
                              <w:spacing w:before="0" w:after="283"/>
                              <w:jc w:val="left"/>
                              <w:rPr/>
                            </w:pPr>
                            <w:r>
                              <w:rPr/>
                              <w:t>​</w:t>
                            </w:r>
                          </w:p>
                        </w:tc>
                        <w:tc>
                          <w:tcPr>
                            <w:tcW w:w="1002" w:type="dxa"/>
                            <w:tcBorders>
                              <w:bottom w:val="single" w:sz="2" w:space="0" w:color="4B5088"/>
                            </w:tcBorders>
                            <w:shd w:fill="E9F9D8" w:val="clear"/>
                            <w:tcMar>
                              <w:bottom w:w="68" w:type="dxa"/>
                            </w:tcMar>
                            <w:vAlign w:val="center"/>
                          </w:tcPr>
                          <w:p>
                            <w:pPr>
                              <w:pStyle w:val="TableContents"/>
                              <w:bidi w:val="0"/>
                              <w:spacing w:before="0" w:after="0"/>
                              <w:jc w:val="left"/>
                              <w:rPr>
                                <w:b w:val="false"/>
                                <w:color w:val="1F2668"/>
                                <w:sz w:val="36"/>
                              </w:rPr>
                            </w:pPr>
                            <w:r>
                              <w:rPr>
                                <w:b w:val="false"/>
                                <w:color w:val="1F2668"/>
                                <w:sz w:val="36"/>
                              </w:rPr>
                              <w:t>13%</w:t>
                            </w:r>
                          </w:p>
                          <w:p>
                            <w:pPr>
                              <w:pStyle w:val="TableContents"/>
                              <w:bidi w:val="0"/>
                              <w:spacing w:lineRule="atLeast" w:line="200" w:before="20" w:after="283"/>
                              <w:jc w:val="left"/>
                              <w:rPr/>
                            </w:pPr>
                            <w:r>
                              <w:rPr>
                                <w:spacing w:val="-2"/>
                              </w:rPr>
                              <w:t>$600,000</w:t>
                            </w:r>
                            <w:r>
                              <w:rPr/>
                              <w:t xml:space="preserve"> </w:t>
                            </w:r>
                          </w:p>
                        </w:tc>
                        <w:tc>
                          <w:tcPr>
                            <w:tcW w:w="109" w:type="dxa"/>
                            <w:tcBorders>
                              <w:bottom w:val="single" w:sz="2" w:space="0" w:color="4B5088"/>
                            </w:tcBorders>
                            <w:shd w:fill="E9F9D8" w:val="clear"/>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1002" w:type="dxa"/>
                            <w:tcBorders>
                              <w:bottom w:val="single" w:sz="2" w:space="0" w:color="4B5088"/>
                            </w:tcBorders>
                            <w:tcMar>
                              <w:bottom w:w="68" w:type="dxa"/>
                            </w:tcMar>
                            <w:vAlign w:val="center"/>
                          </w:tcPr>
                          <w:p>
                            <w:pPr>
                              <w:pStyle w:val="TableContents"/>
                              <w:bidi w:val="0"/>
                              <w:spacing w:before="0" w:after="0"/>
                              <w:jc w:val="left"/>
                              <w:rPr>
                                <w:b w:val="false"/>
                                <w:color w:val="1F2668"/>
                                <w:sz w:val="36"/>
                              </w:rPr>
                            </w:pPr>
                            <w:r>
                              <w:rPr>
                                <w:b w:val="false"/>
                                <w:color w:val="1F2668"/>
                                <w:sz w:val="36"/>
                              </w:rPr>
                              <w:t>13%</w:t>
                            </w:r>
                          </w:p>
                          <w:p>
                            <w:pPr>
                              <w:pStyle w:val="TableContents"/>
                              <w:bidi w:val="0"/>
                              <w:spacing w:lineRule="atLeast" w:line="200" w:before="20" w:after="283"/>
                              <w:jc w:val="left"/>
                              <w:rPr/>
                            </w:pPr>
                            <w:r>
                              <w:rPr>
                                <w:spacing w:val="-2"/>
                              </w:rPr>
                              <w:t>$600,000</w:t>
                            </w:r>
                            <w:r>
                              <w:rPr/>
                              <w:t xml:space="preserve"> </w:t>
                            </w:r>
                          </w:p>
                        </w:tc>
                        <w:tc>
                          <w:tcPr>
                            <w:tcW w:w="109"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7485" w:type="dxa"/>
                            <w:tcBorders>
                              <w:bottom w:val="single" w:sz="2" w:space="0" w:color="4B5088"/>
                            </w:tcBorders>
                            <w:tcMar>
                              <w:bottom w:w="68" w:type="dxa"/>
                            </w:tcMar>
                            <w:vAlign w:val="center"/>
                          </w:tcPr>
                          <w:p>
                            <w:pPr>
                              <w:pStyle w:val="TableContents"/>
                              <w:bidi w:val="0"/>
                              <w:spacing w:lineRule="atLeast" w:line="200" w:before="0" w:after="0"/>
                              <w:jc w:val="left"/>
                              <w:rPr/>
                            </w:pPr>
                            <w:r>
                              <w:rPr>
                                <w:spacing w:val="-2"/>
                              </w:rPr>
                              <w:t>Annual Base Salary</w:t>
                            </w:r>
                            <w:r>
                              <w:rPr/>
                              <w:t xml:space="preserve"> </w:t>
                            </w:r>
                          </w:p>
                          <w:p>
                            <w:pPr>
                              <w:pStyle w:val="TableContents"/>
                              <w:bidi w:val="0"/>
                              <w:spacing w:lineRule="atLeast" w:line="190" w:before="20" w:after="283"/>
                              <w:jc w:val="left"/>
                              <w:rPr>
                                <w:b w:val="false"/>
                                <w:spacing w:val="-2"/>
                                <w:sz w:val="17"/>
                              </w:rPr>
                            </w:pPr>
                            <w:r>
                              <w:rPr>
                                <w:b w:val="false"/>
                                <w:spacing w:val="-2"/>
                                <w:sz w:val="17"/>
                              </w:rPr>
                              <w:t xml:space="preserve">Mr. DiLiberto’s base salary was equal to the minimum amount set forth in his employment agreement. </w:t>
                            </w:r>
                          </w:p>
                        </w:tc>
                        <w:tc>
                          <w:tcPr>
                            <w:tcW w:w="156" w:type="dxa"/>
                            <w:tcBorders>
                              <w:bottom w:val="single" w:sz="2" w:space="0" w:color="4B5088"/>
                            </w:tcBorders>
                            <w:vAlign w:val="center"/>
                          </w:tcPr>
                          <w:p>
                            <w:pPr>
                              <w:pStyle w:val="TableContents"/>
                              <w:bidi w:val="0"/>
                              <w:spacing w:before="0" w:after="283"/>
                              <w:jc w:val="left"/>
                              <w:rPr/>
                            </w:pPr>
                            <w:r>
                              <w:rPr/>
                              <w:t>​</w:t>
                            </w:r>
                          </w:p>
                        </w:tc>
                      </w:tr>
                      <w:tr>
                        <w:trPr/>
                        <w:tc>
                          <w:tcPr>
                            <w:tcW w:w="124" w:type="dxa"/>
                            <w:tcBorders>
                              <w:bottom w:val="single" w:sz="2" w:space="0" w:color="4B5088"/>
                            </w:tcBorders>
                            <w:shd w:fill="E9F9D8" w:val="clear"/>
                            <w:vAlign w:val="center"/>
                          </w:tcPr>
                          <w:p>
                            <w:pPr>
                              <w:pStyle w:val="TableContents"/>
                              <w:bidi w:val="0"/>
                              <w:spacing w:before="0" w:after="283"/>
                              <w:jc w:val="left"/>
                              <w:rPr/>
                            </w:pPr>
                            <w:r>
                              <w:rPr/>
                              <w:t>​</w:t>
                            </w:r>
                          </w:p>
                        </w:tc>
                        <w:tc>
                          <w:tcPr>
                            <w:tcW w:w="1002" w:type="dxa"/>
                            <w:tcBorders>
                              <w:bottom w:val="single" w:sz="2" w:space="0" w:color="4B5088"/>
                            </w:tcBorders>
                            <w:shd w:fill="E9F9D8" w:val="clear"/>
                            <w:tcMar>
                              <w:bottom w:w="68" w:type="dxa"/>
                            </w:tcMar>
                            <w:vAlign w:val="center"/>
                          </w:tcPr>
                          <w:p>
                            <w:pPr>
                              <w:pStyle w:val="TableContents"/>
                              <w:bidi w:val="0"/>
                              <w:spacing w:before="0" w:after="0"/>
                              <w:jc w:val="left"/>
                              <w:rPr>
                                <w:color w:val="1F2668"/>
                                <w:sz w:val="36"/>
                              </w:rPr>
                            </w:pPr>
                            <w:r>
                              <w:rPr>
                                <w:color w:val="1F2668"/>
                                <w:sz w:val="36"/>
                              </w:rPr>
                              <w:t>35%</w:t>
                            </w:r>
                          </w:p>
                          <w:p>
                            <w:pPr>
                              <w:pStyle w:val="TableContents"/>
                              <w:bidi w:val="0"/>
                              <w:spacing w:lineRule="atLeast" w:line="200" w:before="20" w:after="283"/>
                              <w:jc w:val="left"/>
                              <w:rPr>
                                <w:b/>
                                <w:sz w:val="18"/>
                              </w:rPr>
                            </w:pPr>
                            <w:r>
                              <w:rPr>
                                <w:b/>
                                <w:spacing w:val="-2"/>
                                <w:sz w:val="18"/>
                              </w:rPr>
                              <w:t>$1,622,500</w:t>
                            </w:r>
                            <w:r>
                              <w:rPr>
                                <w:b/>
                                <w:sz w:val="18"/>
                              </w:rPr>
                              <w:t xml:space="preserve"> </w:t>
                            </w:r>
                          </w:p>
                        </w:tc>
                        <w:tc>
                          <w:tcPr>
                            <w:tcW w:w="109" w:type="dxa"/>
                            <w:tcBorders>
                              <w:bottom w:val="single" w:sz="2" w:space="0" w:color="4B5088"/>
                            </w:tcBorders>
                            <w:shd w:fill="E9F9D8" w:val="clear"/>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1002" w:type="dxa"/>
                            <w:tcBorders>
                              <w:bottom w:val="single" w:sz="2" w:space="0" w:color="4B5088"/>
                            </w:tcBorders>
                            <w:tcMar>
                              <w:bottom w:w="68" w:type="dxa"/>
                            </w:tcMar>
                            <w:vAlign w:val="center"/>
                          </w:tcPr>
                          <w:p>
                            <w:pPr>
                              <w:pStyle w:val="TableContents"/>
                              <w:bidi w:val="0"/>
                              <w:spacing w:before="0" w:after="0"/>
                              <w:jc w:val="left"/>
                              <w:rPr>
                                <w:color w:val="1F2668"/>
                                <w:sz w:val="36"/>
                              </w:rPr>
                            </w:pPr>
                            <w:r>
                              <w:rPr>
                                <w:color w:val="1F2668"/>
                                <w:sz w:val="36"/>
                              </w:rPr>
                              <w:t>35%</w:t>
                            </w:r>
                          </w:p>
                          <w:p>
                            <w:pPr>
                              <w:pStyle w:val="TableContents"/>
                              <w:bidi w:val="0"/>
                              <w:spacing w:lineRule="atLeast" w:line="200" w:before="20" w:after="283"/>
                              <w:jc w:val="left"/>
                              <w:rPr>
                                <w:b/>
                                <w:sz w:val="18"/>
                              </w:rPr>
                            </w:pPr>
                            <w:r>
                              <w:rPr>
                                <w:b/>
                                <w:spacing w:val="-2"/>
                                <w:sz w:val="18"/>
                              </w:rPr>
                              <w:t>$1,606,350</w:t>
                            </w:r>
                            <w:r>
                              <w:rPr>
                                <w:b/>
                                <w:sz w:val="18"/>
                              </w:rPr>
                              <w:t xml:space="preserve"> </w:t>
                            </w:r>
                          </w:p>
                        </w:tc>
                        <w:tc>
                          <w:tcPr>
                            <w:tcW w:w="109"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7485" w:type="dxa"/>
                            <w:tcBorders>
                              <w:bottom w:val="single" w:sz="2" w:space="0" w:color="4B5088"/>
                            </w:tcBorders>
                            <w:tcMar>
                              <w:bottom w:w="68" w:type="dxa"/>
                            </w:tcMar>
                            <w:vAlign w:val="center"/>
                          </w:tcPr>
                          <w:p>
                            <w:pPr>
                              <w:pStyle w:val="TableContents"/>
                              <w:bidi w:val="0"/>
                              <w:spacing w:lineRule="atLeast" w:line="200" w:before="0" w:after="0"/>
                              <w:jc w:val="left"/>
                              <w:rPr>
                                <w:b/>
                                <w:sz w:val="18"/>
                              </w:rPr>
                            </w:pPr>
                            <w:r>
                              <w:rPr>
                                <w:b/>
                                <w:spacing w:val="-2"/>
                                <w:sz w:val="18"/>
                              </w:rPr>
                              <w:t>Annual Bonus</w:t>
                            </w:r>
                            <w:r>
                              <w:rPr>
                                <w:b/>
                                <w:sz w:val="18"/>
                              </w:rPr>
                              <w:t xml:space="preserve"> </w:t>
                            </w:r>
                          </w:p>
                          <w:p>
                            <w:pPr>
                              <w:pStyle w:val="TableContents"/>
                              <w:bidi w:val="0"/>
                              <w:spacing w:lineRule="atLeast" w:line="190" w:before="20" w:after="283"/>
                              <w:jc w:val="left"/>
                              <w:rPr/>
                            </w:pPr>
                            <w:r>
                              <w:rPr>
                                <w:spacing w:val="-2"/>
                              </w:rPr>
                              <w:t xml:space="preserve">Determined 60% formulaically, with the remaining 40% discretionary. For 2025, Mr. DiLiberto earned a total bonus of </w:t>
                            </w:r>
                            <w:r>
                              <w:rPr>
                                <w:b/>
                                <w:spacing w:val="-2"/>
                              </w:rPr>
                              <w:t>$1,622,500</w:t>
                            </w:r>
                            <w:r>
                              <w:rPr>
                                <w:spacing w:val="-2"/>
                              </w:rPr>
                              <w:t xml:space="preserve">. This amount consists of </w:t>
                            </w:r>
                            <w:r>
                              <w:rPr>
                                <w:b/>
                                <w:spacing w:val="-2"/>
                              </w:rPr>
                              <w:t>$1,003,500</w:t>
                            </w:r>
                            <w:r>
                              <w:rPr>
                                <w:spacing w:val="-2"/>
                              </w:rPr>
                              <w:t xml:space="preserve"> earned on a formulaic basis (approximately </w:t>
                            </w:r>
                            <w:r>
                              <w:rPr>
                                <w:b/>
                                <w:spacing w:val="-2"/>
                              </w:rPr>
                              <w:t>95.6%</w:t>
                            </w:r>
                            <w:r>
                              <w:rPr>
                                <w:spacing w:val="-2"/>
                              </w:rPr>
                              <w:t xml:space="preserve"> of the target amount), and a discretionary award of </w:t>
                            </w:r>
                            <w:r>
                              <w:rPr>
                                <w:b/>
                                <w:spacing w:val="-2"/>
                              </w:rPr>
                              <w:t>$669,000</w:t>
                            </w:r>
                            <w:r>
                              <w:rPr>
                                <w:spacing w:val="-2"/>
                              </w:rPr>
                              <w:t xml:space="preserve">, reduced by a final true-up adjustment of </w:t>
                            </w:r>
                            <w:r>
                              <w:rPr>
                                <w:b/>
                                <w:spacing w:val="-2"/>
                              </w:rPr>
                              <w:t>$50,000</w:t>
                            </w:r>
                            <w:r>
                              <w:rPr>
                                <w:spacing w:val="-2"/>
                              </w:rPr>
                              <w:t xml:space="preserve"> on account of 2024 actual performance.</w:t>
                            </w:r>
                            <w:r>
                              <w:rPr/>
                              <w:t xml:space="preserve"> </w:t>
                            </w:r>
                          </w:p>
                          <w:p>
                            <w:pPr>
                              <w:pStyle w:val="TableContents"/>
                              <w:bidi w:val="0"/>
                              <w:spacing w:lineRule="atLeast" w:line="190" w:before="60" w:after="283"/>
                              <w:jc w:val="left"/>
                              <w:rPr/>
                            </w:pPr>
                            <w:r>
                              <w:rPr>
                                <w:spacing w:val="-2"/>
                              </w:rPr>
                              <w:t xml:space="preserve">Mr. DiLiberto received </w:t>
                            </w:r>
                            <w:r>
                              <w:rPr>
                                <w:b/>
                                <w:spacing w:val="-2"/>
                              </w:rPr>
                              <w:t>100%</w:t>
                            </w:r>
                            <w:r>
                              <w:rPr>
                                <w:spacing w:val="-2"/>
                              </w:rPr>
                              <w:t xml:space="preserve"> of the bonus in the form of equity. The corresponding </w:t>
                            </w:r>
                            <w:r>
                              <w:rPr>
                                <w:b/>
                                <w:spacing w:val="-2"/>
                              </w:rPr>
                              <w:t>35,464</w:t>
                            </w:r>
                            <w:r>
                              <w:rPr>
                                <w:spacing w:val="-2"/>
                              </w:rPr>
                              <w:t xml:space="preserve"> LTIP units granted in </w:t>
                            </w:r>
                            <w:r>
                              <w:rPr>
                                <w:b/>
                                <w:spacing w:val="-2"/>
                              </w:rPr>
                              <w:t>February 2026</w:t>
                            </w:r>
                            <w:r>
                              <w:rPr>
                                <w:spacing w:val="-2"/>
                              </w:rPr>
                              <w:t xml:space="preserve"> were fully vested upon grant, but remain subject to a three-year no-sell restriction. Because these LTIP units were granted in 2026, the value of the awards will be reported in next year’s Summary Compensation table.</w:t>
                            </w:r>
                            <w:r>
                              <w:rPr/>
                              <w:t xml:space="preserve"> </w:t>
                            </w:r>
                          </w:p>
                          <w:p>
                            <w:pPr>
                              <w:pStyle w:val="TableContents"/>
                              <w:bidi w:val="0"/>
                              <w:spacing w:lineRule="atLeast" w:line="190" w:before="60" w:after="283"/>
                              <w:jc w:val="left"/>
                              <w:rPr/>
                            </w:pPr>
                            <w:r>
                              <w:rPr>
                                <w:spacing w:val="-2"/>
                              </w:rPr>
                              <w:t xml:space="preserve">The SCT amount reflects the grant date value of equity granted </w:t>
                            </w:r>
                            <w:r>
                              <w:rPr>
                                <w:b/>
                                <w:spacing w:val="-2"/>
                              </w:rPr>
                              <w:t>in January 2025</w:t>
                            </w:r>
                            <w:r>
                              <w:rPr>
                                <w:spacing w:val="-2"/>
                              </w:rPr>
                              <w:t xml:space="preserve"> representing Mr. DiLiberto’s </w:t>
                            </w:r>
                            <w:r>
                              <w:rPr>
                                <w:b/>
                                <w:spacing w:val="-2"/>
                              </w:rPr>
                              <w:t>2024 annual bonus</w:t>
                            </w:r>
                            <w:r>
                              <w:rPr>
                                <w:spacing w:val="-2"/>
                              </w:rPr>
                              <w:t xml:space="preserve">. </w:t>
                            </w:r>
                          </w:p>
                        </w:tc>
                        <w:tc>
                          <w:tcPr>
                            <w:tcW w:w="156" w:type="dxa"/>
                            <w:tcBorders>
                              <w:bottom w:val="single" w:sz="2" w:space="0" w:color="4B5088"/>
                            </w:tcBorders>
                            <w:vAlign w:val="center"/>
                          </w:tcPr>
                          <w:p>
                            <w:pPr>
                              <w:pStyle w:val="TableContents"/>
                              <w:bidi w:val="0"/>
                              <w:spacing w:before="0" w:after="283"/>
                              <w:jc w:val="left"/>
                              <w:rPr/>
                            </w:pPr>
                            <w:r>
                              <w:rPr/>
                              <w:t>​</w:t>
                            </w:r>
                          </w:p>
                        </w:tc>
                      </w:tr>
                      <w:tr>
                        <w:trPr/>
                        <w:tc>
                          <w:tcPr>
                            <w:tcW w:w="124" w:type="dxa"/>
                            <w:tcBorders/>
                            <w:shd w:fill="E9F9D8" w:val="clear"/>
                            <w:tcMar>
                              <w:bottom w:w="0" w:type="dxa"/>
                            </w:tcMar>
                            <w:vAlign w:val="center"/>
                          </w:tcPr>
                          <w:p>
                            <w:pPr>
                              <w:pStyle w:val="TableContents"/>
                              <w:bidi w:val="0"/>
                              <w:spacing w:before="0" w:after="283"/>
                              <w:jc w:val="left"/>
                              <w:rPr/>
                            </w:pPr>
                            <w:r>
                              <w:rPr/>
                              <w:t>​</w:t>
                            </w:r>
                          </w:p>
                        </w:tc>
                        <w:tc>
                          <w:tcPr>
                            <w:tcW w:w="1002" w:type="dxa"/>
                            <w:tcBorders/>
                            <w:shd w:fill="E9F9D8" w:val="clear"/>
                            <w:tcMar>
                              <w:bottom w:w="0" w:type="dxa"/>
                            </w:tcMar>
                            <w:vAlign w:val="center"/>
                          </w:tcPr>
                          <w:p>
                            <w:pPr>
                              <w:pStyle w:val="TableContents"/>
                              <w:bidi w:val="0"/>
                              <w:spacing w:before="0" w:after="0"/>
                              <w:jc w:val="left"/>
                              <w:rPr>
                                <w:b w:val="false"/>
                                <w:color w:val="1F2668"/>
                                <w:sz w:val="36"/>
                              </w:rPr>
                            </w:pPr>
                            <w:r>
                              <w:rPr>
                                <w:b w:val="false"/>
                                <w:color w:val="1F2668"/>
                                <w:sz w:val="36"/>
                              </w:rPr>
                              <w:t>18%</w:t>
                            </w:r>
                          </w:p>
                          <w:p>
                            <w:pPr>
                              <w:pStyle w:val="TableContents"/>
                              <w:bidi w:val="0"/>
                              <w:spacing w:lineRule="atLeast" w:line="200" w:before="20" w:after="283"/>
                              <w:jc w:val="left"/>
                              <w:rPr>
                                <w:sz w:val="18"/>
                              </w:rPr>
                            </w:pPr>
                            <w:r>
                              <w:rPr>
                                <w:spacing w:val="-2"/>
                                <w:sz w:val="18"/>
                              </w:rPr>
                              <w:t>$750,000</w:t>
                            </w:r>
                            <w:r>
                              <w:rPr>
                                <w:sz w:val="18"/>
                              </w:rPr>
                              <w:t xml:space="preserve"> </w:t>
                            </w:r>
                          </w:p>
                        </w:tc>
                        <w:tc>
                          <w:tcPr>
                            <w:tcW w:w="109" w:type="dxa"/>
                            <w:tcBorders/>
                            <w:shd w:fill="E9F9D8"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02" w:type="dxa"/>
                            <w:tcBorders/>
                            <w:tcMar>
                              <w:bottom w:w="0" w:type="dxa"/>
                            </w:tcMar>
                            <w:vAlign w:val="center"/>
                          </w:tcPr>
                          <w:p>
                            <w:pPr>
                              <w:pStyle w:val="TableContents"/>
                              <w:bidi w:val="0"/>
                              <w:spacing w:before="0" w:after="0"/>
                              <w:jc w:val="left"/>
                              <w:rPr>
                                <w:b w:val="false"/>
                                <w:color w:val="1F2668"/>
                                <w:sz w:val="36"/>
                              </w:rPr>
                            </w:pPr>
                            <w:r>
                              <w:rPr>
                                <w:b w:val="false"/>
                                <w:color w:val="1F2668"/>
                                <w:sz w:val="36"/>
                              </w:rPr>
                              <w:t>17%</w:t>
                            </w:r>
                          </w:p>
                          <w:p>
                            <w:pPr>
                              <w:pStyle w:val="TableContents"/>
                              <w:bidi w:val="0"/>
                              <w:spacing w:lineRule="atLeast" w:line="200" w:before="20" w:after="283"/>
                              <w:jc w:val="left"/>
                              <w:rPr>
                                <w:sz w:val="18"/>
                              </w:rPr>
                            </w:pPr>
                            <w:r>
                              <w:rPr>
                                <w:spacing w:val="-2"/>
                                <w:sz w:val="18"/>
                              </w:rPr>
                              <w:t>$737,893</w:t>
                            </w:r>
                            <w:r>
                              <w:rPr>
                                <w:sz w:val="18"/>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85" w:type="dxa"/>
                            <w:tcBorders/>
                            <w:tcMar>
                              <w:bottom w:w="0" w:type="dxa"/>
                            </w:tcMar>
                            <w:vAlign w:val="center"/>
                          </w:tcPr>
                          <w:p>
                            <w:pPr>
                              <w:pStyle w:val="TableContents"/>
                              <w:bidi w:val="0"/>
                              <w:spacing w:lineRule="atLeast" w:line="200" w:before="0" w:after="0"/>
                              <w:jc w:val="left"/>
                              <w:rPr>
                                <w:sz w:val="18"/>
                              </w:rPr>
                            </w:pPr>
                            <w:r>
                              <w:rPr>
                                <w:spacing w:val="-2"/>
                                <w:sz w:val="18"/>
                              </w:rPr>
                              <w:t>Performance-Based Equity Awards</w:t>
                            </w:r>
                            <w:r>
                              <w:rPr>
                                <w:sz w:val="18"/>
                              </w:rPr>
                              <w:t xml:space="preserve"> </w:t>
                            </w:r>
                          </w:p>
                          <w:p>
                            <w:pPr>
                              <w:pStyle w:val="TableContents"/>
                              <w:bidi w:val="0"/>
                              <w:spacing w:lineRule="atLeast" w:line="190" w:before="20" w:after="283"/>
                              <w:jc w:val="left"/>
                              <w:rPr/>
                            </w:pPr>
                            <w:r>
                              <w:rPr>
                                <w:b w:val="false"/>
                                <w:spacing w:val="-2"/>
                              </w:rPr>
                              <w:t xml:space="preserve">The TDC amount reflects the target notional value of </w:t>
                            </w:r>
                            <w:r>
                              <w:rPr>
                                <w:spacing w:val="-2"/>
                              </w:rPr>
                              <w:t xml:space="preserve">$750,000 </w:t>
                            </w:r>
                            <w:r>
                              <w:rPr>
                                <w:b w:val="false"/>
                                <w:spacing w:val="-2"/>
                              </w:rPr>
                              <w:t xml:space="preserve">approved by the Committee in 2025. </w:t>
                            </w:r>
                            <w:r>
                              <w:rPr>
                                <w:spacing w:val="-2"/>
                              </w:rPr>
                              <w:t>The SCT amount represents the grant date value of the awards</w:t>
                            </w:r>
                            <w:r>
                              <w:rPr>
                                <w:b w:val="false"/>
                                <w:spacing w:val="-2"/>
                              </w:rPr>
                              <w:t>.</w:t>
                            </w:r>
                            <w:r>
                              <w:rPr/>
                              <w:t xml:space="preserve"> </w:t>
                            </w:r>
                          </w:p>
                          <w:p>
                            <w:pPr>
                              <w:pStyle w:val="TableContents"/>
                              <w:bidi w:val="0"/>
                              <w:spacing w:lineRule="atLeast" w:line="190" w:before="60" w:after="283"/>
                              <w:jc w:val="left"/>
                              <w:rPr>
                                <w:b w:val="false"/>
                              </w:rPr>
                            </w:pPr>
                            <w:r>
                              <w:rPr>
                                <w:b w:val="false"/>
                                <w:spacing w:val="-2"/>
                              </w:rPr>
                              <w:t>The award relates to the corresponding number of LTIP units set forth below:</w:t>
                            </w:r>
                            <w:r>
                              <w:rPr>
                                <w:b w:val="false"/>
                              </w:rPr>
                              <w:t xml:space="preserve"> </w:t>
                            </w:r>
                          </w:p>
                        </w:tc>
                        <w:tc>
                          <w:tcPr>
                            <w:tcW w:w="156" w:type="dxa"/>
                            <w:tcBorders/>
                            <w:tcMar>
                              <w:bottom w:w="0" w:type="dxa"/>
                            </w:tcMar>
                            <w:vAlign w:val="center"/>
                          </w:tcPr>
                          <w:p>
                            <w:pPr>
                              <w:pStyle w:val="TableContents"/>
                              <w:bidi w:val="0"/>
                              <w:spacing w:before="0" w:after="283"/>
                              <w:jc w:val="left"/>
                              <w:rPr/>
                            </w:pPr>
                            <w:r>
                              <w:rPr/>
                              <w:t>​</w:t>
                            </w:r>
                          </w:p>
                        </w:tc>
                      </w:tr>
                    </w:tbl>
                    <w:tbl>
                      <w:tblPr>
                        <w:tblW w:w="6274" w:type="dxa"/>
                        <w:jc w:val="left"/>
                        <w:tblInd w:w="0" w:type="dxa"/>
                        <w:tblLayout w:type="fixed"/>
                        <w:tblCellMar>
                          <w:top w:w="0" w:type="dxa"/>
                          <w:left w:w="0" w:type="dxa"/>
                          <w:bottom w:w="0" w:type="dxa"/>
                          <w:right w:w="0" w:type="dxa"/>
                        </w:tblCellMar>
                      </w:tblPr>
                      <w:tblGrid>
                        <w:gridCol w:w="124"/>
                        <w:gridCol w:w="109"/>
                        <w:gridCol w:w="109"/>
                        <w:gridCol w:w="109"/>
                        <w:gridCol w:w="109"/>
                        <w:gridCol w:w="109"/>
                        <w:gridCol w:w="1110"/>
                        <w:gridCol w:w="109"/>
                        <w:gridCol w:w="109"/>
                        <w:gridCol w:w="816"/>
                        <w:gridCol w:w="109"/>
                        <w:gridCol w:w="109"/>
                        <w:gridCol w:w="1129"/>
                        <w:gridCol w:w="109"/>
                        <w:gridCol w:w="109"/>
                        <w:gridCol w:w="1742"/>
                        <w:gridCol w:w="154"/>
                      </w:tblGrid>
                      <w:tr>
                        <w:trPr/>
                        <w:tc>
                          <w:tcPr>
                            <w:tcW w:w="124" w:type="dxa"/>
                            <w:tcBorders/>
                            <w:shd w:fill="E9F9D8" w:val="clear"/>
                            <w:vAlign w:val="center"/>
                          </w:tcPr>
                          <w:p>
                            <w:pPr>
                              <w:pStyle w:val="TableContents"/>
                              <w:bidi w:val="0"/>
                              <w:spacing w:before="0" w:after="283"/>
                              <w:jc w:val="left"/>
                              <w:rPr/>
                            </w:pPr>
                            <w:r>
                              <w:rPr/>
                              <w:t>​</w:t>
                            </w:r>
                          </w:p>
                        </w:tc>
                        <w:tc>
                          <w:tcPr>
                            <w:tcW w:w="109" w:type="dxa"/>
                            <w:tcBorders/>
                            <w:shd w:fill="E9F9D8" w:val="cle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top w:val="single" w:sz="16" w:space="0" w:color="1F2668"/>
                              <w:bottom w:val="single" w:sz="16" w:space="0" w:color="1F2668"/>
                            </w:tcBorders>
                            <w:tcMar>
                              <w:top w:w="28" w:type="dxa"/>
                              <w:bottom w:w="28" w:type="dxa"/>
                            </w:tcMar>
                            <w:vAlign w:val="center"/>
                          </w:tcPr>
                          <w:p>
                            <w:pPr>
                              <w:pStyle w:val="TableContents"/>
                              <w:bidi w:val="0"/>
                              <w:spacing w:before="0" w:after="283"/>
                              <w:jc w:val="left"/>
                              <w:rPr/>
                            </w:pPr>
                            <w:r>
                              <w:rPr/>
                              <w:t>​</w:t>
                            </w:r>
                          </w:p>
                        </w:tc>
                        <w:tc>
                          <w:tcPr>
                            <w:tcW w:w="5451" w:type="dxa"/>
                            <w:gridSpan w:val="10"/>
                            <w:tcBorders>
                              <w:top w:val="single" w:sz="16" w:space="0" w:color="1F2668"/>
                              <w:bottom w:val="single" w:sz="16" w:space="0" w:color="1F2668"/>
                            </w:tcBorders>
                            <w:tcMar>
                              <w:top w:w="57" w:type="dxa"/>
                              <w:bottom w:w="28" w:type="dxa"/>
                            </w:tcMar>
                            <w:vAlign w:val="center"/>
                          </w:tcPr>
                          <w:p>
                            <w:pPr>
                              <w:pStyle w:val="TableContents"/>
                              <w:bidi w:val="0"/>
                              <w:spacing w:before="0" w:after="0"/>
                              <w:jc w:val="center"/>
                              <w:rPr>
                                <w:spacing w:val="-2"/>
                              </w:rPr>
                            </w:pPr>
                            <w:r>
                              <w:rPr>
                                <w:spacing w:val="-2"/>
                              </w:rPr>
                              <w:t xml:space="preserve">2025 Annual Performance-Based Award— </w:t>
                              <w:br/>
                              <w:t xml:space="preserve">Number of LTIP Units Granted </w:t>
                            </w:r>
                          </w:p>
                        </w:tc>
                        <w:tc>
                          <w:tcPr>
                            <w:tcW w:w="154" w:type="dxa"/>
                            <w:tcBorders>
                              <w:top w:val="single" w:sz="16" w:space="0" w:color="1F2668"/>
                              <w:bottom w:val="single" w:sz="16" w:space="0" w:color="1F2668"/>
                            </w:tcBorders>
                            <w:tcMar>
                              <w:top w:w="28" w:type="dxa"/>
                              <w:bottom w:w="28" w:type="dxa"/>
                            </w:tcMar>
                            <w:vAlign w:val="center"/>
                          </w:tcPr>
                          <w:p>
                            <w:pPr>
                              <w:pStyle w:val="TableContents"/>
                              <w:bidi w:val="0"/>
                              <w:spacing w:before="0" w:after="283"/>
                              <w:jc w:val="left"/>
                              <w:rPr/>
                            </w:pPr>
                            <w:r>
                              <w:rPr/>
                              <w:t>​</w:t>
                            </w:r>
                          </w:p>
                        </w:tc>
                      </w:tr>
                      <w:tr>
                        <w:trPr/>
                        <w:tc>
                          <w:tcPr>
                            <w:tcW w:w="124"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4B5088"/>
                            </w:tcBorders>
                            <w:tcMar>
                              <w:bottom w:w="28" w:type="dxa"/>
                            </w:tcMar>
                            <w:vAlign w:val="center"/>
                          </w:tcPr>
                          <w:p>
                            <w:pPr>
                              <w:pStyle w:val="TableContents"/>
                              <w:bidi w:val="0"/>
                              <w:spacing w:before="0" w:after="283"/>
                              <w:jc w:val="left"/>
                              <w:rPr/>
                            </w:pPr>
                            <w:r>
                              <w:rPr/>
                              <w:t>​</w:t>
                            </w:r>
                          </w:p>
                        </w:tc>
                        <w:tc>
                          <w:tcPr>
                            <w:tcW w:w="1110" w:type="dxa"/>
                            <w:tcBorders>
                              <w:bottom w:val="single" w:sz="12" w:space="0" w:color="4B5088"/>
                            </w:tcBorders>
                            <w:tcMar>
                              <w:bottom w:w="33" w:type="dxa"/>
                            </w:tcMar>
                            <w:vAlign w:val="center"/>
                          </w:tcPr>
                          <w:p>
                            <w:pPr>
                              <w:pStyle w:val="TableContents"/>
                              <w:bidi w:val="0"/>
                              <w:spacing w:before="0" w:after="0"/>
                              <w:jc w:val="right"/>
                              <w:rPr/>
                            </w:pPr>
                            <w:r>
                              <w:rPr>
                                <w:spacing w:val="-2"/>
                              </w:rPr>
                              <w:t>Threshold</w:t>
                            </w:r>
                            <w:r>
                              <w:rPr/>
                              <w:t xml:space="preserve"> </w:t>
                            </w:r>
                          </w:p>
                        </w:tc>
                        <w:tc>
                          <w:tcPr>
                            <w:tcW w:w="109" w:type="dxa"/>
                            <w:tcBorders>
                              <w:bottom w:val="single" w:sz="12" w:space="0" w:color="4B5088"/>
                            </w:tcBorders>
                            <w:tcMar>
                              <w:bottom w:w="28" w:type="dxa"/>
                            </w:tcMar>
                            <w:vAlign w:val="center"/>
                          </w:tcPr>
                          <w:p>
                            <w:pPr>
                              <w:pStyle w:val="TableContents"/>
                              <w:bidi w:val="0"/>
                              <w:spacing w:before="0" w:after="283"/>
                              <w:jc w:val="left"/>
                              <w:rPr/>
                            </w:pPr>
                            <w:r>
                              <w:rPr/>
                              <w:t>​</w:t>
                            </w:r>
                          </w:p>
                        </w:tc>
                        <w:tc>
                          <w:tcPr>
                            <w:tcW w:w="109" w:type="dxa"/>
                            <w:tcBorders>
                              <w:bottom w:val="single" w:sz="12" w:space="0" w:color="4B5088"/>
                            </w:tcBorders>
                            <w:tcMar>
                              <w:bottom w:w="28" w:type="dxa"/>
                            </w:tcMar>
                            <w:vAlign w:val="center"/>
                          </w:tcPr>
                          <w:p>
                            <w:pPr>
                              <w:pStyle w:val="TableContents"/>
                              <w:bidi w:val="0"/>
                              <w:spacing w:before="0" w:after="283"/>
                              <w:jc w:val="left"/>
                              <w:rPr/>
                            </w:pPr>
                            <w:r>
                              <w:rPr/>
                              <w:t>​</w:t>
                            </w:r>
                          </w:p>
                        </w:tc>
                        <w:tc>
                          <w:tcPr>
                            <w:tcW w:w="816" w:type="dxa"/>
                            <w:tcBorders>
                              <w:bottom w:val="single" w:sz="12" w:space="0" w:color="4B5088"/>
                            </w:tcBorders>
                            <w:tcMar>
                              <w:bottom w:w="33" w:type="dxa"/>
                            </w:tcMar>
                            <w:vAlign w:val="center"/>
                          </w:tcPr>
                          <w:p>
                            <w:pPr>
                              <w:pStyle w:val="TableContents"/>
                              <w:bidi w:val="0"/>
                              <w:spacing w:before="0" w:after="0"/>
                              <w:jc w:val="right"/>
                              <w:rPr/>
                            </w:pPr>
                            <w:r>
                              <w:rPr>
                                <w:spacing w:val="-2"/>
                              </w:rPr>
                              <w:t>Target</w:t>
                            </w:r>
                            <w:r>
                              <w:rPr/>
                              <w:t xml:space="preserve"> </w:t>
                            </w:r>
                          </w:p>
                        </w:tc>
                        <w:tc>
                          <w:tcPr>
                            <w:tcW w:w="109" w:type="dxa"/>
                            <w:tcBorders>
                              <w:bottom w:val="single" w:sz="12" w:space="0" w:color="4B5088"/>
                            </w:tcBorders>
                            <w:tcMar>
                              <w:bottom w:w="28" w:type="dxa"/>
                            </w:tcMar>
                            <w:vAlign w:val="center"/>
                          </w:tcPr>
                          <w:p>
                            <w:pPr>
                              <w:pStyle w:val="TableContents"/>
                              <w:bidi w:val="0"/>
                              <w:spacing w:before="0" w:after="283"/>
                              <w:jc w:val="left"/>
                              <w:rPr/>
                            </w:pPr>
                            <w:r>
                              <w:rPr/>
                              <w:t>​</w:t>
                            </w:r>
                          </w:p>
                        </w:tc>
                        <w:tc>
                          <w:tcPr>
                            <w:tcW w:w="109" w:type="dxa"/>
                            <w:tcBorders>
                              <w:bottom w:val="single" w:sz="12" w:space="0" w:color="4B5088"/>
                            </w:tcBorders>
                            <w:tcMar>
                              <w:bottom w:w="28" w:type="dxa"/>
                            </w:tcMar>
                            <w:vAlign w:val="center"/>
                          </w:tcPr>
                          <w:p>
                            <w:pPr>
                              <w:pStyle w:val="TableContents"/>
                              <w:bidi w:val="0"/>
                              <w:spacing w:before="0" w:after="283"/>
                              <w:jc w:val="left"/>
                              <w:rPr/>
                            </w:pPr>
                            <w:r>
                              <w:rPr/>
                              <w:t>​</w:t>
                            </w:r>
                          </w:p>
                        </w:tc>
                        <w:tc>
                          <w:tcPr>
                            <w:tcW w:w="1129" w:type="dxa"/>
                            <w:tcBorders>
                              <w:bottom w:val="single" w:sz="12" w:space="0" w:color="4B5088"/>
                            </w:tcBorders>
                            <w:tcMar>
                              <w:bottom w:w="33" w:type="dxa"/>
                            </w:tcMar>
                            <w:vAlign w:val="center"/>
                          </w:tcPr>
                          <w:p>
                            <w:pPr>
                              <w:pStyle w:val="TableContents"/>
                              <w:bidi w:val="0"/>
                              <w:spacing w:before="0" w:after="0"/>
                              <w:jc w:val="right"/>
                              <w:rPr/>
                            </w:pPr>
                            <w:r>
                              <w:rPr>
                                <w:spacing w:val="-2"/>
                              </w:rPr>
                              <w:t>Maximum</w:t>
                            </w:r>
                            <w:r>
                              <w:rPr/>
                              <w:t xml:space="preserve"> </w:t>
                            </w:r>
                          </w:p>
                        </w:tc>
                        <w:tc>
                          <w:tcPr>
                            <w:tcW w:w="109" w:type="dxa"/>
                            <w:tcBorders>
                              <w:bottom w:val="single" w:sz="12" w:space="0" w:color="4B5088"/>
                            </w:tcBorders>
                            <w:tcMar>
                              <w:bottom w:w="28" w:type="dxa"/>
                            </w:tcMar>
                            <w:vAlign w:val="center"/>
                          </w:tcPr>
                          <w:p>
                            <w:pPr>
                              <w:pStyle w:val="TableContents"/>
                              <w:bidi w:val="0"/>
                              <w:spacing w:before="0" w:after="283"/>
                              <w:jc w:val="left"/>
                              <w:rPr/>
                            </w:pPr>
                            <w:r>
                              <w:rPr/>
                              <w:t>​</w:t>
                            </w:r>
                          </w:p>
                        </w:tc>
                        <w:tc>
                          <w:tcPr>
                            <w:tcW w:w="109" w:type="dxa"/>
                            <w:tcBorders>
                              <w:bottom w:val="single" w:sz="12" w:space="0" w:color="4B5088"/>
                            </w:tcBorders>
                            <w:tcMar>
                              <w:bottom w:w="28" w:type="dxa"/>
                            </w:tcMar>
                            <w:vAlign w:val="center"/>
                          </w:tcPr>
                          <w:p>
                            <w:pPr>
                              <w:pStyle w:val="TableContents"/>
                              <w:bidi w:val="0"/>
                              <w:spacing w:before="0" w:after="283"/>
                              <w:jc w:val="left"/>
                              <w:rPr/>
                            </w:pPr>
                            <w:r>
                              <w:rPr/>
                              <w:t>​</w:t>
                            </w:r>
                          </w:p>
                        </w:tc>
                        <w:tc>
                          <w:tcPr>
                            <w:tcW w:w="1742" w:type="dxa"/>
                            <w:tcBorders>
                              <w:bottom w:val="single" w:sz="12" w:space="0" w:color="4B5088"/>
                            </w:tcBorders>
                            <w:tcMar>
                              <w:bottom w:w="33" w:type="dxa"/>
                            </w:tcMar>
                            <w:vAlign w:val="center"/>
                          </w:tcPr>
                          <w:p>
                            <w:pPr>
                              <w:pStyle w:val="TableContents"/>
                              <w:bidi w:val="0"/>
                              <w:spacing w:before="0" w:after="0"/>
                              <w:jc w:val="right"/>
                              <w:rPr/>
                            </w:pPr>
                            <w:r>
                              <w:rPr>
                                <w:spacing w:val="-2"/>
                              </w:rPr>
                              <w:t xml:space="preserve">Projected </w:t>
                              <w:br/>
                              <w:t xml:space="preserve">Earned </w:t>
                              <w:br/>
                              <w:t>as of 12/31/2025</w:t>
                            </w:r>
                            <w:r>
                              <w:rPr/>
                              <w:t xml:space="preserve"> </w:t>
                            </w:r>
                          </w:p>
                        </w:tc>
                        <w:tc>
                          <w:tcPr>
                            <w:tcW w:w="154" w:type="dxa"/>
                            <w:tcBorders>
                              <w:bottom w:val="single" w:sz="12" w:space="0" w:color="4B508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E9F9D8"/>
                            </w:tcBorders>
                            <w:shd w:fill="E9F9D8" w:val="clear"/>
                            <w:tcMar>
                              <w:bottom w:w="70"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110" w:type="dxa"/>
                            <w:tcBorders>
                              <w:bottom w:val="single" w:sz="2" w:space="0" w:color="4B5088"/>
                            </w:tcBorders>
                            <w:tcMar>
                              <w:bottom w:w="33" w:type="dxa"/>
                            </w:tcMar>
                            <w:vAlign w:val="center"/>
                          </w:tcPr>
                          <w:p>
                            <w:pPr>
                              <w:pStyle w:val="TableContents"/>
                              <w:bidi w:val="0"/>
                              <w:spacing w:before="0" w:after="0"/>
                              <w:jc w:val="right"/>
                              <w:rPr/>
                            </w:pPr>
                            <w:r>
                              <w:rPr>
                                <w:spacing w:val="-2"/>
                              </w:rPr>
                              <w:t>5,153</w:t>
                            </w:r>
                            <w:r>
                              <w:rPr/>
                              <w:t xml:space="preserve">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816" w:type="dxa"/>
                            <w:tcBorders>
                              <w:bottom w:val="single" w:sz="2" w:space="0" w:color="4B5088"/>
                            </w:tcBorders>
                            <w:tcMar>
                              <w:bottom w:w="33" w:type="dxa"/>
                            </w:tcMar>
                            <w:vAlign w:val="center"/>
                          </w:tcPr>
                          <w:p>
                            <w:pPr>
                              <w:pStyle w:val="TableContents"/>
                              <w:bidi w:val="0"/>
                              <w:spacing w:before="0" w:after="0"/>
                              <w:jc w:val="right"/>
                              <w:rPr/>
                            </w:pPr>
                            <w:r>
                              <w:rPr>
                                <w:spacing w:val="-2"/>
                              </w:rPr>
                              <w:t>10,992</w:t>
                            </w:r>
                            <w:r>
                              <w:rPr/>
                              <w:t xml:space="preserve">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129" w:type="dxa"/>
                            <w:tcBorders>
                              <w:bottom w:val="single" w:sz="2" w:space="0" w:color="4B5088"/>
                            </w:tcBorders>
                            <w:tcMar>
                              <w:bottom w:w="33" w:type="dxa"/>
                            </w:tcMar>
                            <w:vAlign w:val="center"/>
                          </w:tcPr>
                          <w:p>
                            <w:pPr>
                              <w:pStyle w:val="TableContents"/>
                              <w:bidi w:val="0"/>
                              <w:spacing w:before="0" w:after="0"/>
                              <w:jc w:val="right"/>
                              <w:rPr/>
                            </w:pPr>
                            <w:r>
                              <w:rPr>
                                <w:spacing w:val="-2"/>
                              </w:rPr>
                              <w:t>24,732</w:t>
                            </w:r>
                            <w:r>
                              <w:rPr/>
                              <w:t xml:space="preserve">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742" w:type="dxa"/>
                            <w:tcBorders>
                              <w:bottom w:val="single" w:sz="2" w:space="0" w:color="4B5088"/>
                            </w:tcBorders>
                            <w:tcMar>
                              <w:bottom w:w="33" w:type="dxa"/>
                            </w:tcMar>
                            <w:vAlign w:val="center"/>
                          </w:tcPr>
                          <w:p>
                            <w:pPr>
                              <w:pStyle w:val="TableContents"/>
                              <w:bidi w:val="0"/>
                              <w:spacing w:before="0" w:after="0"/>
                              <w:jc w:val="right"/>
                              <w:rPr/>
                            </w:pPr>
                            <w:r>
                              <w:rPr>
                                <w:spacing w:val="-2"/>
                              </w:rPr>
                              <w:t>6,011</w:t>
                            </w:r>
                            <w:r>
                              <w:rPr/>
                              <w:t xml:space="preserve"> </w:t>
                            </w:r>
                          </w:p>
                        </w:tc>
                        <w:tc>
                          <w:tcPr>
                            <w:tcW w:w="154" w:type="dxa"/>
                            <w:tcBorders>
                              <w:bottom w:val="single" w:sz="2" w:space="0" w:color="4B5088"/>
                            </w:tcBorders>
                            <w:tcMar>
                              <w:bottom w:w="28" w:type="dxa"/>
                            </w:tcMar>
                            <w:vAlign w:val="center"/>
                          </w:tcPr>
                          <w:p>
                            <w:pPr>
                              <w:pStyle w:val="TableContents"/>
                              <w:bidi w:val="0"/>
                              <w:spacing w:before="0" w:after="283"/>
                              <w:jc w:val="left"/>
                              <w:rPr/>
                            </w:pPr>
                            <w:r>
                              <w:rPr/>
                              <w:t>​</w:t>
                            </w:r>
                          </w:p>
                        </w:tc>
                      </w:tr>
                    </w:tbl>
                    <w:tbl>
                      <w:tblPr>
                        <w:tblW w:w="10205" w:type="dxa"/>
                        <w:jc w:val="left"/>
                        <w:tblInd w:w="0" w:type="dxa"/>
                        <w:tblLayout w:type="fixed"/>
                        <w:tblCellMar>
                          <w:top w:w="0" w:type="dxa"/>
                          <w:left w:w="0" w:type="dxa"/>
                          <w:bottom w:w="28" w:type="dxa"/>
                          <w:right w:w="0" w:type="dxa"/>
                        </w:tblCellMar>
                      </w:tblPr>
                      <w:tblGrid>
                        <w:gridCol w:w="124"/>
                        <w:gridCol w:w="1178"/>
                        <w:gridCol w:w="109"/>
                        <w:gridCol w:w="109"/>
                        <w:gridCol w:w="1178"/>
                        <w:gridCol w:w="109"/>
                        <w:gridCol w:w="109"/>
                        <w:gridCol w:w="7134"/>
                        <w:gridCol w:w="155"/>
                      </w:tblGrid>
                      <w:tr>
                        <w:trPr/>
                        <w:tc>
                          <w:tcPr>
                            <w:tcW w:w="124" w:type="dxa"/>
                            <w:tcBorders>
                              <w:bottom w:val="single" w:sz="2" w:space="0" w:color="4B5088"/>
                            </w:tcBorders>
                            <w:shd w:fill="E9F9D8" w:val="clear"/>
                            <w:vAlign w:val="center"/>
                          </w:tcPr>
                          <w:p>
                            <w:pPr>
                              <w:pStyle w:val="TableContents"/>
                              <w:bidi w:val="0"/>
                              <w:spacing w:before="0" w:after="283"/>
                              <w:jc w:val="left"/>
                              <w:rPr/>
                            </w:pPr>
                            <w:r>
                              <w:rPr/>
                              <w:t>​</w:t>
                            </w:r>
                          </w:p>
                        </w:tc>
                        <w:tc>
                          <w:tcPr>
                            <w:tcW w:w="1178" w:type="dxa"/>
                            <w:tcBorders>
                              <w:bottom w:val="single" w:sz="2" w:space="0" w:color="4B5088"/>
                            </w:tcBorders>
                            <w:shd w:fill="E9F9D8" w:val="clear"/>
                            <w:tcMar>
                              <w:bottom w:w="33"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1178" w:type="dxa"/>
                            <w:tcBorders>
                              <w:bottom w:val="single" w:sz="2" w:space="0" w:color="4B5088"/>
                            </w:tcBorders>
                            <w:tcMar>
                              <w:bottom w:w="33" w:type="dxa"/>
                            </w:tcMar>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7134" w:type="dxa"/>
                            <w:tcBorders>
                              <w:bottom w:val="single" w:sz="2" w:space="0" w:color="4B5088"/>
                            </w:tcBorders>
                            <w:tcMar>
                              <w:bottom w:w="33" w:type="dxa"/>
                            </w:tcMar>
                            <w:vAlign w:val="center"/>
                          </w:tcPr>
                          <w:p>
                            <w:pPr>
                              <w:pStyle w:val="TableContents"/>
                              <w:bidi w:val="0"/>
                              <w:spacing w:lineRule="atLeast" w:line="185" w:before="0" w:after="0"/>
                              <w:jc w:val="left"/>
                              <w:rPr>
                                <w:spacing w:val="-2"/>
                              </w:rPr>
                            </w:pPr>
                            <w:r>
                              <w:rPr>
                                <w:spacing w:val="-2"/>
                              </w:rPr>
                              <w:t xml:space="preserve">The actual number of LTIP units earned will be determined based on Company performance measured after the end of the full performance period ending December 31, 2027, based on one-year operational performance goals, and our three-year absolute and relative TSR. Earned LTIP units will vest 50% as of December 31, 2027 and 50% as of December 31, 2028 </w:t>
                            </w:r>
                          </w:p>
                        </w:tc>
                        <w:tc>
                          <w:tcPr>
                            <w:tcW w:w="155" w:type="dxa"/>
                            <w:tcBorders>
                              <w:bottom w:val="single" w:sz="2" w:space="0" w:color="4B5088"/>
                            </w:tcBorders>
                            <w:vAlign w:val="center"/>
                          </w:tcPr>
                          <w:p>
                            <w:pPr>
                              <w:pStyle w:val="TableContents"/>
                              <w:bidi w:val="0"/>
                              <w:spacing w:before="0" w:after="283"/>
                              <w:jc w:val="left"/>
                              <w:rPr/>
                            </w:pPr>
                            <w:r>
                              <w:rPr/>
                              <w:t>​</w:t>
                            </w:r>
                          </w:p>
                        </w:tc>
                      </w:tr>
                      <w:tr>
                        <w:trPr/>
                        <w:tc>
                          <w:tcPr>
                            <w:tcW w:w="124" w:type="dxa"/>
                            <w:tcBorders>
                              <w:bottom w:val="single" w:sz="2" w:space="0" w:color="4B5088"/>
                            </w:tcBorders>
                            <w:shd w:fill="E9F9D8" w:val="clear"/>
                            <w:vAlign w:val="center"/>
                          </w:tcPr>
                          <w:p>
                            <w:pPr>
                              <w:pStyle w:val="TableContents"/>
                              <w:bidi w:val="0"/>
                              <w:spacing w:before="0" w:after="283"/>
                              <w:jc w:val="left"/>
                              <w:rPr/>
                            </w:pPr>
                            <w:r>
                              <w:rPr/>
                              <w:t>​</w:t>
                            </w:r>
                          </w:p>
                        </w:tc>
                        <w:tc>
                          <w:tcPr>
                            <w:tcW w:w="1178" w:type="dxa"/>
                            <w:tcBorders>
                              <w:bottom w:val="single" w:sz="2" w:space="0" w:color="4B5088"/>
                            </w:tcBorders>
                            <w:shd w:fill="E9F9D8" w:val="clear"/>
                            <w:tcMar>
                              <w:bottom w:w="82" w:type="dxa"/>
                            </w:tcMar>
                            <w:vAlign w:val="center"/>
                          </w:tcPr>
                          <w:p>
                            <w:pPr>
                              <w:pStyle w:val="TableContents"/>
                              <w:bidi w:val="0"/>
                              <w:spacing w:before="0" w:after="0"/>
                              <w:jc w:val="left"/>
                              <w:rPr>
                                <w:color w:val="1F2668"/>
                                <w:sz w:val="36"/>
                              </w:rPr>
                            </w:pPr>
                            <w:r>
                              <w:rPr>
                                <w:color w:val="1F2668"/>
                                <w:sz w:val="36"/>
                              </w:rPr>
                              <w:t>34%</w:t>
                            </w:r>
                          </w:p>
                          <w:p>
                            <w:pPr>
                              <w:pStyle w:val="TableContents"/>
                              <w:bidi w:val="0"/>
                              <w:spacing w:lineRule="atLeast" w:line="220" w:before="40" w:after="283"/>
                              <w:jc w:val="left"/>
                              <w:rPr>
                                <w:b/>
                                <w:sz w:val="18"/>
                              </w:rPr>
                            </w:pPr>
                            <w:r>
                              <w:rPr>
                                <w:b/>
                                <w:spacing w:val="-2"/>
                                <w:sz w:val="18"/>
                              </w:rPr>
                              <w:t>$1,540,000</w:t>
                            </w:r>
                            <w:r>
                              <w:rPr>
                                <w:b/>
                                <w:sz w:val="18"/>
                              </w:rPr>
                              <w:t xml:space="preserve"> </w:t>
                            </w:r>
                          </w:p>
                        </w:tc>
                        <w:tc>
                          <w:tcPr>
                            <w:tcW w:w="109" w:type="dxa"/>
                            <w:tcBorders>
                              <w:bottom w:val="single" w:sz="2" w:space="0" w:color="4B5088"/>
                            </w:tcBorders>
                            <w:shd w:fill="E9F9D8" w:val="clear"/>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1178" w:type="dxa"/>
                            <w:tcBorders>
                              <w:bottom w:val="single" w:sz="2" w:space="0" w:color="4B5088"/>
                            </w:tcBorders>
                            <w:tcMar>
                              <w:bottom w:w="82" w:type="dxa"/>
                            </w:tcMar>
                            <w:vAlign w:val="center"/>
                          </w:tcPr>
                          <w:p>
                            <w:pPr>
                              <w:pStyle w:val="TableContents"/>
                              <w:bidi w:val="0"/>
                              <w:spacing w:before="0" w:after="0"/>
                              <w:jc w:val="left"/>
                              <w:rPr>
                                <w:color w:val="1F2668"/>
                                <w:sz w:val="36"/>
                              </w:rPr>
                            </w:pPr>
                            <w:r>
                              <w:rPr>
                                <w:color w:val="1F2668"/>
                                <w:sz w:val="36"/>
                              </w:rPr>
                              <w:t>35%</w:t>
                            </w:r>
                          </w:p>
                          <w:p>
                            <w:pPr>
                              <w:pStyle w:val="TableContents"/>
                              <w:bidi w:val="0"/>
                              <w:spacing w:lineRule="atLeast" w:line="220" w:before="40" w:after="283"/>
                              <w:jc w:val="left"/>
                              <w:rPr>
                                <w:b/>
                                <w:sz w:val="18"/>
                              </w:rPr>
                            </w:pPr>
                            <w:r>
                              <w:rPr>
                                <w:b/>
                                <w:spacing w:val="-2"/>
                                <w:sz w:val="18"/>
                              </w:rPr>
                              <w:t>$1,576,449</w:t>
                            </w:r>
                            <w:r>
                              <w:rPr>
                                <w:b/>
                                <w:sz w:val="18"/>
                              </w:rPr>
                              <w:t xml:space="preserve"> </w:t>
                            </w:r>
                          </w:p>
                        </w:tc>
                        <w:tc>
                          <w:tcPr>
                            <w:tcW w:w="109"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7134" w:type="dxa"/>
                            <w:tcBorders>
                              <w:bottom w:val="single" w:sz="2" w:space="0" w:color="4B5088"/>
                            </w:tcBorders>
                            <w:tcMar>
                              <w:bottom w:w="82" w:type="dxa"/>
                            </w:tcMar>
                            <w:vAlign w:val="center"/>
                          </w:tcPr>
                          <w:p>
                            <w:pPr>
                              <w:pStyle w:val="TableContents"/>
                              <w:bidi w:val="0"/>
                              <w:spacing w:lineRule="atLeast" w:line="195" w:before="0" w:after="0"/>
                              <w:jc w:val="left"/>
                              <w:rPr>
                                <w:b/>
                                <w:sz w:val="18"/>
                              </w:rPr>
                            </w:pPr>
                            <w:r>
                              <w:rPr>
                                <w:b/>
                                <w:spacing w:val="-2"/>
                                <w:sz w:val="18"/>
                              </w:rPr>
                              <w:t>Time-Based Equity Awards</w:t>
                            </w:r>
                            <w:r>
                              <w:rPr>
                                <w:b/>
                                <w:sz w:val="18"/>
                              </w:rPr>
                              <w:t xml:space="preserve"> </w:t>
                            </w:r>
                          </w:p>
                          <w:p>
                            <w:pPr>
                              <w:pStyle w:val="TableContents"/>
                              <w:bidi w:val="0"/>
                              <w:spacing w:lineRule="atLeast" w:line="185" w:before="15" w:after="283"/>
                              <w:jc w:val="left"/>
                              <w:rPr/>
                            </w:pPr>
                            <w:r>
                              <w:rPr>
                                <w:spacing w:val="-2"/>
                              </w:rPr>
                              <w:t xml:space="preserve">The Committee granted time-based awards in February 2026 based on the Company’s 2025 performance. The awards had a target value of </w:t>
                            </w:r>
                            <w:r>
                              <w:rPr>
                                <w:b/>
                                <w:spacing w:val="-2"/>
                              </w:rPr>
                              <w:t>$1,540,000</w:t>
                            </w:r>
                            <w:r>
                              <w:rPr>
                                <w:spacing w:val="-2"/>
                              </w:rPr>
                              <w:t xml:space="preserve">. The corresponding </w:t>
                            </w:r>
                            <w:r>
                              <w:rPr>
                                <w:b/>
                                <w:spacing w:val="-2"/>
                              </w:rPr>
                              <w:t>33,999</w:t>
                            </w:r>
                            <w:r>
                              <w:rPr>
                                <w:spacing w:val="-2"/>
                              </w:rPr>
                              <w:t xml:space="preserve"> LTIP units vest ratably in three equal installments on January 1, 2027, January 1, 2028 and January 1, 2029, subject to continued employment.</w:t>
                            </w:r>
                            <w:r>
                              <w:rPr/>
                              <w:t xml:space="preserve"> </w:t>
                            </w:r>
                          </w:p>
                          <w:p>
                            <w:pPr>
                              <w:pStyle w:val="TableContents"/>
                              <w:bidi w:val="0"/>
                              <w:spacing w:lineRule="atLeast" w:line="185" w:before="60" w:after="283"/>
                              <w:jc w:val="left"/>
                              <w:rPr>
                                <w:b/>
                              </w:rPr>
                            </w:pPr>
                            <w:r>
                              <w:rPr>
                                <w:b/>
                                <w:spacing w:val="-2"/>
                              </w:rPr>
                              <w:t>The SCT amount represents the grant date value of the awards granted retrospectively in January 2025 based on the Company’s 2024 performance</w:t>
                            </w:r>
                            <w:r>
                              <w:rPr>
                                <w:b w:val="false"/>
                                <w:spacing w:val="-2"/>
                              </w:rPr>
                              <w:t xml:space="preserve">. </w:t>
                            </w:r>
                          </w:p>
                        </w:tc>
                        <w:tc>
                          <w:tcPr>
                            <w:tcW w:w="155" w:type="dxa"/>
                            <w:tcBorders>
                              <w:bottom w:val="single" w:sz="2" w:space="0" w:color="4B5088"/>
                            </w:tcBorders>
                            <w:vAlign w:val="center"/>
                          </w:tcPr>
                          <w:p>
                            <w:pPr>
                              <w:pStyle w:val="TableContents"/>
                              <w:bidi w:val="0"/>
                              <w:spacing w:before="0" w:after="283"/>
                              <w:jc w:val="left"/>
                              <w:rPr/>
                            </w:pPr>
                            <w:r>
                              <w:rPr/>
                              <w:t>​</w:t>
                            </w:r>
                          </w:p>
                        </w:tc>
                      </w:tr>
                      <w:tr>
                        <w:trPr/>
                        <w:tc>
                          <w:tcPr>
                            <w:tcW w:w="124" w:type="dxa"/>
                            <w:tcBorders>
                              <w:bottom w:val="single" w:sz="2" w:space="0" w:color="4B5088"/>
                            </w:tcBorders>
                            <w:shd w:fill="E9F9D8" w:val="clear"/>
                            <w:vAlign w:val="center"/>
                          </w:tcPr>
                          <w:p>
                            <w:pPr>
                              <w:pStyle w:val="TableContents"/>
                              <w:bidi w:val="0"/>
                              <w:spacing w:before="0" w:after="283"/>
                              <w:jc w:val="left"/>
                              <w:rPr/>
                            </w:pPr>
                            <w:r>
                              <w:rPr/>
                              <w:t>​</w:t>
                            </w:r>
                          </w:p>
                        </w:tc>
                        <w:tc>
                          <w:tcPr>
                            <w:tcW w:w="1178" w:type="dxa"/>
                            <w:tcBorders>
                              <w:bottom w:val="single" w:sz="2" w:space="0" w:color="4B5088"/>
                            </w:tcBorders>
                            <w:shd w:fill="E9F9D8" w:val="clear"/>
                            <w:tcMar>
                              <w:bottom w:w="82" w:type="dxa"/>
                            </w:tcMar>
                            <w:vAlign w:val="center"/>
                          </w:tcPr>
                          <w:p>
                            <w:pPr>
                              <w:pStyle w:val="TableContents"/>
                              <w:bidi w:val="0"/>
                              <w:spacing w:before="0" w:after="0"/>
                              <w:jc w:val="left"/>
                              <w:rPr>
                                <w:b w:val="false"/>
                                <w:color w:val="1F2668"/>
                                <w:sz w:val="36"/>
                              </w:rPr>
                            </w:pPr>
                            <w:r>
                              <w:rPr>
                                <w:b w:val="false"/>
                                <w:color w:val="1F2668"/>
                                <w:sz w:val="36"/>
                              </w:rPr>
                              <w:t>100%</w:t>
                            </w:r>
                          </w:p>
                          <w:p>
                            <w:pPr>
                              <w:pStyle w:val="TableContents"/>
                              <w:bidi w:val="0"/>
                              <w:spacing w:lineRule="atLeast" w:line="220" w:before="40" w:after="283"/>
                              <w:jc w:val="left"/>
                              <w:rPr/>
                            </w:pPr>
                            <w:r>
                              <w:rPr>
                                <w:spacing w:val="-2"/>
                              </w:rPr>
                              <w:t>$4,526,500</w:t>
                            </w:r>
                            <w:r>
                              <w:rPr/>
                              <w:t xml:space="preserve"> </w:t>
                            </w:r>
                          </w:p>
                        </w:tc>
                        <w:tc>
                          <w:tcPr>
                            <w:tcW w:w="109" w:type="dxa"/>
                            <w:tcBorders>
                              <w:bottom w:val="single" w:sz="2" w:space="0" w:color="4B5088"/>
                            </w:tcBorders>
                            <w:shd w:fill="E9F9D8" w:val="clear"/>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1178" w:type="dxa"/>
                            <w:tcBorders>
                              <w:bottom w:val="single" w:sz="2" w:space="0" w:color="4B5088"/>
                            </w:tcBorders>
                            <w:tcMar>
                              <w:bottom w:w="82" w:type="dxa"/>
                            </w:tcMar>
                            <w:vAlign w:val="center"/>
                          </w:tcPr>
                          <w:p>
                            <w:pPr>
                              <w:pStyle w:val="TableContents"/>
                              <w:bidi w:val="0"/>
                              <w:spacing w:before="0" w:after="0"/>
                              <w:jc w:val="left"/>
                              <w:rPr>
                                <w:b w:val="false"/>
                                <w:color w:val="1F2668"/>
                                <w:sz w:val="36"/>
                              </w:rPr>
                            </w:pPr>
                            <w:r>
                              <w:rPr>
                                <w:b w:val="false"/>
                                <w:color w:val="1F2668"/>
                                <w:sz w:val="36"/>
                              </w:rPr>
                              <w:t>100%</w:t>
                            </w:r>
                          </w:p>
                          <w:p>
                            <w:pPr>
                              <w:pStyle w:val="TableContents"/>
                              <w:bidi w:val="0"/>
                              <w:spacing w:lineRule="atLeast" w:line="220" w:before="40" w:after="283"/>
                              <w:jc w:val="left"/>
                              <w:rPr/>
                            </w:pPr>
                            <w:r>
                              <w:rPr>
                                <w:spacing w:val="-2"/>
                              </w:rPr>
                              <w:t>$4,534,692</w:t>
                            </w:r>
                            <w:r>
                              <w:rPr/>
                              <w:t xml:space="preserve"> </w:t>
                            </w:r>
                          </w:p>
                        </w:tc>
                        <w:tc>
                          <w:tcPr>
                            <w:tcW w:w="109"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7134" w:type="dxa"/>
                            <w:tcBorders>
                              <w:bottom w:val="single" w:sz="2" w:space="0" w:color="4B5088"/>
                            </w:tcBorders>
                            <w:tcMar>
                              <w:bottom w:w="82" w:type="dxa"/>
                            </w:tcMar>
                            <w:vAlign w:val="center"/>
                          </w:tcPr>
                          <w:p>
                            <w:pPr>
                              <w:pStyle w:val="TableContents"/>
                              <w:bidi w:val="0"/>
                              <w:spacing w:lineRule="atLeast" w:line="185" w:before="0" w:after="0"/>
                              <w:jc w:val="left"/>
                              <w:rPr>
                                <w:b w:val="false"/>
                                <w:sz w:val="17"/>
                              </w:rPr>
                            </w:pPr>
                            <w:r>
                              <w:rPr>
                                <w:b w:val="false"/>
                                <w:spacing w:val="-2"/>
                                <w:sz w:val="17"/>
                              </w:rPr>
                              <w:t>Both totals include $14,000 of “Other Compensation,” as reflected in the Summary Compensation Table.</w:t>
                            </w:r>
                            <w:r>
                              <w:rPr>
                                <w:b w:val="false"/>
                                <w:sz w:val="17"/>
                              </w:rPr>
                              <w:t xml:space="preserve"> </w:t>
                            </w:r>
                          </w:p>
                        </w:tc>
                        <w:tc>
                          <w:tcPr>
                            <w:tcW w:w="155" w:type="dxa"/>
                            <w:tcBorders>
                              <w:bottom w:val="single" w:sz="2" w:space="0" w:color="4B5088"/>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4330" w:type="dxa"/>
        <w:jc w:val="left"/>
        <w:tblInd w:w="900" w:type="dxa"/>
        <w:tblLayout w:type="fixed"/>
        <w:tblCellMar>
          <w:top w:w="0" w:type="dxa"/>
          <w:left w:w="0" w:type="dxa"/>
          <w:bottom w:w="0" w:type="dxa"/>
          <w:right w:w="0" w:type="dxa"/>
        </w:tblCellMar>
      </w:tblPr>
      <w:tblGrid>
        <w:gridCol w:w="124"/>
        <w:gridCol w:w="3488"/>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3488" w:type="dxa"/>
            <w:tcBorders/>
            <w:vAlign w:val="center"/>
          </w:tcPr>
          <w:p>
            <w:pPr>
              <w:pStyle w:val="TableContents"/>
              <w:bidi w:val="0"/>
              <w:spacing w:lineRule="atLeast" w:line="200" w:before="0" w:after="0"/>
              <w:jc w:val="left"/>
              <w:rPr/>
            </w:pPr>
            <w:r>
              <w:rPr>
                <w:spacing w:val="-2"/>
              </w:rPr>
              <w:t>EXECUTIVE COMPENSATION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color w:val="1F2668"/>
                <w:sz w:val="24"/>
              </w:rPr>
            </w:pPr>
            <w:r>
              <w:rPr>
                <w:color w:val="1F2668"/>
                <w:sz w:val="24"/>
              </w:rPr>
              <w:t>57</w:t>
            </w:r>
          </w:p>
        </w:tc>
        <w:tc>
          <w:tcPr>
            <w:tcW w:w="154" w:type="dxa"/>
            <w:tcBorders/>
            <w:vAlign w:val="center"/>
          </w:tcPr>
          <w:p>
            <w:pPr>
              <w:pStyle w:val="TableContents"/>
              <w:bidi w:val="0"/>
              <w:spacing w:before="0" w:after="283"/>
              <w:jc w:val="left"/>
              <w:rPr/>
            </w:pPr>
            <w:r>
              <w:rPr/>
              <w:t>​</w:t>
            </w:r>
          </w:p>
        </w:tc>
      </w:tr>
    </w:tbl>
    <w:p>
      <w:pPr>
        <w:pStyle w:val="TextBody"/>
        <w:bidi w:val="0"/>
        <w:spacing w:before="0" w:after="1289"/>
        <w:ind w:left="900" w:right="0" w:hanging="0"/>
        <w:jc w:val="left"/>
        <w:rPr>
          <w:caps w:val="false"/>
          <w:smallCaps w:val="false"/>
          <w:color w:val="000000"/>
        </w:rPr>
      </w:pPr>
      <w:r>
        <w:rPr>
          <w:caps w:val="false"/>
          <w:smallCaps w:val="false"/>
          <w:color w:val="000000"/>
        </w:rPr>
        <w:t>​</w:t>
      </w:r>
      <w:r>
        <mc:AlternateContent>
          <mc:Choice Requires="wps">
            <w:drawing>
              <wp:anchor behindDoc="0" distT="0" distB="0" distL="571500" distR="0" simplePos="0" locked="0" layoutInCell="1" allowOverlap="1" relativeHeight="228">
                <wp:simplePos x="0" y="0"/>
                <wp:positionH relativeFrom="column">
                  <wp:align>left</wp:align>
                </wp:positionH>
                <wp:positionV relativeFrom="line">
                  <wp:posOffset>635</wp:posOffset>
                </wp:positionV>
                <wp:extent cx="1790700" cy="6732905"/>
                <wp:effectExtent l="0" t="0" r="0" b="0"/>
                <wp:wrapSquare wrapText="right"/>
                <wp:docPr id="713" name="Frame392"/>
                <a:graphic xmlns:a="http://schemas.openxmlformats.org/drawingml/2006/main">
                  <a:graphicData uri="http://schemas.microsoft.com/office/word/2010/wordprocessingShape">
                    <wps:wsp>
                      <wps:cNvSpPr txBox="1"/>
                      <wps:spPr>
                        <a:xfrm>
                          <a:off x="0" y="0"/>
                          <a:ext cx="1790700" cy="6732905"/>
                        </a:xfrm>
                        <a:prstGeom prst="rect"/>
                        <a:solidFill>
                          <a:srgbClr val="FFFFFF"/>
                        </a:solidFill>
                      </wps:spPr>
                      <wps:txbx>
                        <w:txbxContent>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10205" w:type="dxa"/>
                              <w:jc w:val="left"/>
                              <w:tblInd w:w="0" w:type="dxa"/>
                              <w:tblLayout w:type="fixed"/>
                              <w:tblCellMar>
                                <w:top w:w="0" w:type="dxa"/>
                                <w:left w:w="0" w:type="dxa"/>
                                <w:bottom w:w="0" w:type="dxa"/>
                                <w:right w:w="0" w:type="dxa"/>
                              </w:tblCellMar>
                            </w:tblPr>
                            <w:tblGrid>
                              <w:gridCol w:w="124"/>
                              <w:gridCol w:w="109"/>
                              <w:gridCol w:w="97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709" w:type="dxa"/>
                                  <w:tcBorders/>
                                  <w:shd w:fill="1F2668" w:val="clear"/>
                                  <w:vAlign w:val="center"/>
                                </w:tcPr>
                                <w:p>
                                  <w:pPr>
                                    <w:pStyle w:val="TableContents"/>
                                    <w:bidi w:val="0"/>
                                    <w:spacing w:lineRule="atLeast" w:line="300" w:before="0" w:after="0"/>
                                    <w:ind w:left="0" w:right="160" w:hanging="0"/>
                                    <w:jc w:val="left"/>
                                    <w:rPr>
                                      <w:b/>
                                      <w:sz w:val="26"/>
                                    </w:rPr>
                                  </w:pPr>
                                  <w:r>
                                    <w:rPr>
                                      <w:b/>
                                      <w:spacing w:val="-3"/>
                                      <w:sz w:val="26"/>
                                    </w:rPr>
                                    <w:t xml:space="preserve">ANDREW S. </w:t>
                                    <w:br/>
                                    <w:t>LEVINE</w:t>
                                  </w:r>
                                  <w:r>
                                    <w:rPr>
                                      <w:b/>
                                      <w:sz w:val="26"/>
                                    </w:rPr>
                                    <w:t xml:space="preserve">​ </w:t>
                                  </w:r>
                                </w:p>
                                <w:p>
                                  <w:pPr>
                                    <w:pStyle w:val="TableContents"/>
                                    <w:bidi w:val="0"/>
                                    <w:spacing w:before="126" w:after="283"/>
                                    <w:ind w:left="0" w:right="160" w:hanging="0"/>
                                    <w:jc w:val="center"/>
                                    <w:rPr/>
                                  </w:pPr>
                                  <w:r>
                                    <w:rPr/>
                                    <w:drawing>
                                      <wp:inline distT="0" distB="0" distL="0" distR="0">
                                        <wp:extent cx="1219200" cy="1524000"/>
                                        <wp:effectExtent l="0" t="0" r="0" b="0"/>
                                        <wp:docPr id="714" name="Image2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4" name="Image236" descr=""/>
                                                <pic:cNvPicPr>
                                                  <a:picLocks noChangeAspect="1" noChangeArrowheads="1"/>
                                                </pic:cNvPicPr>
                                              </pic:nvPicPr>
                                              <pic:blipFill>
                                                <a:blip r:embed="rId329"/>
                                                <a:stretch>
                                                  <a:fillRect/>
                                                </a:stretch>
                                              </pic:blipFill>
                                              <pic:spPr bwMode="auto">
                                                <a:xfrm>
                                                  <a:off x="0" y="0"/>
                                                  <a:ext cx="1219200" cy="1524000"/>
                                                </a:xfrm>
                                                <a:prstGeom prst="rect">
                                                  <a:avLst/>
                                                </a:prstGeom>
                                              </pic:spPr>
                                            </pic:pic>
                                          </a:graphicData>
                                        </a:graphic>
                                      </wp:inline>
                                    </w:drawing>
                                  </w:r>
                                  <w:r>
                                    <w:rPr/>
                                    <w:t xml:space="preserve"> </w:t>
                                  </w:r>
                                </w:p>
                                <w:p>
                                  <w:pPr>
                                    <w:pStyle w:val="TableContents"/>
                                    <w:bidi w:val="0"/>
                                    <w:spacing w:lineRule="atLeast" w:line="166" w:before="208" w:after="283"/>
                                    <w:ind w:left="0" w:right="160" w:hanging="0"/>
                                    <w:jc w:val="left"/>
                                    <w:rPr/>
                                  </w:pPr>
                                  <w:r>
                                    <w:rPr>
                                      <w:spacing w:val="-2"/>
                                    </w:rPr>
                                    <w:t>Chief Legal Officer and General Counsel</w:t>
                                  </w:r>
                                  <w:r>
                                    <w:rPr/>
                                    <w:t xml:space="preserve"> </w:t>
                                  </w:r>
                                </w:p>
                                <w:p>
                                  <w:pPr>
                                    <w:pStyle w:val="TableContents"/>
                                    <w:bidi w:val="0"/>
                                    <w:spacing w:lineRule="atLeast" w:line="166" w:before="20" w:after="283"/>
                                    <w:ind w:left="0" w:right="160" w:hanging="0"/>
                                    <w:jc w:val="left"/>
                                    <w:rPr/>
                                  </w:pPr>
                                  <w:r>
                                    <w:rPr>
                                      <w:spacing w:val="-2"/>
                                    </w:rPr>
                                    <w:t>Mr. Levine’s 2025 compensation reflects the value delivered by the Company’s sophisticated in-house legal team, led by our General Counsel, which supports the complex and diverse business and corporate initiatives that we undertook during 2025, and which are expected to position the Company for future success.</w:t>
                                  </w:r>
                                  <w:r>
                                    <w:rPr/>
                                    <w:t xml:space="preserve"> </w:t>
                                  </w:r>
                                </w:p>
                                <w:p>
                                  <w:pPr>
                                    <w:pStyle w:val="TableContents"/>
                                    <w:bidi w:val="0"/>
                                    <w:spacing w:lineRule="atLeast" w:line="166" w:before="80" w:after="283"/>
                                    <w:ind w:left="0" w:right="160" w:hanging="0"/>
                                    <w:jc w:val="left"/>
                                    <w:rPr/>
                                  </w:pPr>
                                  <w:r>
                                    <w:rPr>
                                      <w:spacing w:val="-2"/>
                                    </w:rPr>
                                    <w:t>In addition to supervising legal functions relating to our core business, Mr. Levine was integral to advancing key initiatives that pushed the boundaries of our traditional operations, including the expansion of our special servicing and asset management functions, enhancement of our organizational capabilities through targeted hiring, was central to our nearly $1 billion in acquisition activity, and navigating risks and technical matters related to a large scale development site.</w:t>
                                  </w:r>
                                  <w:r>
                                    <w:rPr/>
                                    <w:t xml:space="preserve"> </w:t>
                                  </w:r>
                                </w:p>
                                <w:p>
                                  <w:pPr>
                                    <w:pStyle w:val="TableContents"/>
                                    <w:bidi w:val="0"/>
                                    <w:spacing w:lineRule="atLeast" w:line="166" w:before="80" w:after="283"/>
                                    <w:ind w:left="0" w:right="160" w:hanging="0"/>
                                    <w:jc w:val="left"/>
                                    <w:rPr>
                                      <w:b/>
                                    </w:rPr>
                                  </w:pPr>
                                  <w:r>
                                    <w:rPr>
                                      <w:b/>
                                      <w:spacing w:val="-2"/>
                                    </w:rPr>
                                    <w:t>The Total Direct Compensation approved by the Committee for Mr. Levine for 2025 is approximately 8% higher than the Summary Compensation Table amount for 2025 due primarily to the form and timing of Mr. Levine’s annual bonus, which was paid fully in equity that was granted in January 2026, and therefore will not appear in the Summary Compensation Table until our 2027 proxy statement.</w:t>
                                  </w:r>
                                  <w:r>
                                    <w:rPr>
                                      <w:b/>
                                    </w:rPr>
                                    <w:t xml:space="preserve"> </w:t>
                                  </w:r>
                                </w:p>
                              </w:tc>
                              <w:tc>
                                <w:tcPr>
                                  <w:tcW w:w="109" w:type="dxa"/>
                                  <w:tcBorders/>
                                  <w:vAlign w:val="center"/>
                                </w:tcPr>
                                <w:p>
                                  <w:pPr>
                                    <w:pStyle w:val="TableContents"/>
                                    <w:bidi w:val="0"/>
                                    <w:spacing w:before="0" w:after="283"/>
                                    <w:jc w:val="left"/>
                                    <w:rPr/>
                                  </w:pPr>
                                  <w:r>
                                    <w:rPr/>
                                    <w:t>​</w:t>
                                  </w:r>
                                </w:p>
                              </w:tc>
                              <w:tc>
                                <w:tcPr>
                                  <w:tcW w:w="154" w:type="dxa"/>
                                  <w:tcBorders/>
                                  <w:shd w:fill="1F2668" w:val="clear"/>
                                  <w:vAlign w:val="center"/>
                                </w:tcPr>
                                <w:p>
                                  <w:pPr>
                                    <w:pStyle w:val="TableContents"/>
                                    <w:bidi w:val="0"/>
                                    <w:spacing w:before="0" w:after="283"/>
                                    <w:jc w:val="left"/>
                                    <w:rPr/>
                                  </w:pPr>
                                  <w:r>
                                    <w:rPr/>
                                    <w:t>​</w:t>
                                  </w:r>
                                </w:p>
                              </w:tc>
                            </w:tr>
                          </w:tbl>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41pt;height:530.15pt;mso-wrap-distance-left:45pt;mso-wrap-distance-right:0pt;mso-wrap-distance-top:0pt;mso-wrap-distance-bottom:0pt;margin-top:0pt;mso-position-vertical:top;mso-position-vertical-relative:text;margin-left:45pt;mso-position-horizontal:left;mso-position-horizontal-relative:text">
                <v:textbox>
                  <w:txbxContent>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10205" w:type="dxa"/>
                        <w:jc w:val="left"/>
                        <w:tblInd w:w="0" w:type="dxa"/>
                        <w:tblLayout w:type="fixed"/>
                        <w:tblCellMar>
                          <w:top w:w="0" w:type="dxa"/>
                          <w:left w:w="0" w:type="dxa"/>
                          <w:bottom w:w="0" w:type="dxa"/>
                          <w:right w:w="0" w:type="dxa"/>
                        </w:tblCellMar>
                      </w:tblPr>
                      <w:tblGrid>
                        <w:gridCol w:w="124"/>
                        <w:gridCol w:w="109"/>
                        <w:gridCol w:w="97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709" w:type="dxa"/>
                            <w:tcBorders/>
                            <w:shd w:fill="1F2668" w:val="clear"/>
                            <w:vAlign w:val="center"/>
                          </w:tcPr>
                          <w:p>
                            <w:pPr>
                              <w:pStyle w:val="TableContents"/>
                              <w:bidi w:val="0"/>
                              <w:spacing w:lineRule="atLeast" w:line="300" w:before="0" w:after="0"/>
                              <w:ind w:left="0" w:right="160" w:hanging="0"/>
                              <w:jc w:val="left"/>
                              <w:rPr>
                                <w:b/>
                                <w:sz w:val="26"/>
                              </w:rPr>
                            </w:pPr>
                            <w:r>
                              <w:rPr>
                                <w:b/>
                                <w:spacing w:val="-3"/>
                                <w:sz w:val="26"/>
                              </w:rPr>
                              <w:t xml:space="preserve">ANDREW S. </w:t>
                              <w:br/>
                              <w:t>LEVINE</w:t>
                            </w:r>
                            <w:r>
                              <w:rPr>
                                <w:b/>
                                <w:sz w:val="26"/>
                              </w:rPr>
                              <w:t xml:space="preserve">​ </w:t>
                            </w:r>
                          </w:p>
                          <w:p>
                            <w:pPr>
                              <w:pStyle w:val="TableContents"/>
                              <w:bidi w:val="0"/>
                              <w:spacing w:before="126" w:after="283"/>
                              <w:ind w:left="0" w:right="160" w:hanging="0"/>
                              <w:jc w:val="center"/>
                              <w:rPr/>
                            </w:pPr>
                            <w:r>
                              <w:rPr/>
                              <w:drawing>
                                <wp:inline distT="0" distB="0" distL="0" distR="0">
                                  <wp:extent cx="1219200" cy="1524000"/>
                                  <wp:effectExtent l="0" t="0" r="0" b="0"/>
                                  <wp:docPr id="715" name="Image2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5" name="Image236" descr=""/>
                                          <pic:cNvPicPr>
                                            <a:picLocks noChangeAspect="1" noChangeArrowheads="1"/>
                                          </pic:cNvPicPr>
                                        </pic:nvPicPr>
                                        <pic:blipFill>
                                          <a:blip r:embed="rId330"/>
                                          <a:stretch>
                                            <a:fillRect/>
                                          </a:stretch>
                                        </pic:blipFill>
                                        <pic:spPr bwMode="auto">
                                          <a:xfrm>
                                            <a:off x="0" y="0"/>
                                            <a:ext cx="1219200" cy="1524000"/>
                                          </a:xfrm>
                                          <a:prstGeom prst="rect">
                                            <a:avLst/>
                                          </a:prstGeom>
                                        </pic:spPr>
                                      </pic:pic>
                                    </a:graphicData>
                                  </a:graphic>
                                </wp:inline>
                              </w:drawing>
                            </w:r>
                            <w:r>
                              <w:rPr/>
                              <w:t xml:space="preserve"> </w:t>
                            </w:r>
                          </w:p>
                          <w:p>
                            <w:pPr>
                              <w:pStyle w:val="TableContents"/>
                              <w:bidi w:val="0"/>
                              <w:spacing w:lineRule="atLeast" w:line="166" w:before="208" w:after="283"/>
                              <w:ind w:left="0" w:right="160" w:hanging="0"/>
                              <w:jc w:val="left"/>
                              <w:rPr/>
                            </w:pPr>
                            <w:r>
                              <w:rPr>
                                <w:spacing w:val="-2"/>
                              </w:rPr>
                              <w:t>Chief Legal Officer and General Counsel</w:t>
                            </w:r>
                            <w:r>
                              <w:rPr/>
                              <w:t xml:space="preserve"> </w:t>
                            </w:r>
                          </w:p>
                          <w:p>
                            <w:pPr>
                              <w:pStyle w:val="TableContents"/>
                              <w:bidi w:val="0"/>
                              <w:spacing w:lineRule="atLeast" w:line="166" w:before="20" w:after="283"/>
                              <w:ind w:left="0" w:right="160" w:hanging="0"/>
                              <w:jc w:val="left"/>
                              <w:rPr/>
                            </w:pPr>
                            <w:r>
                              <w:rPr>
                                <w:spacing w:val="-2"/>
                              </w:rPr>
                              <w:t>Mr. Levine’s 2025 compensation reflects the value delivered by the Company’s sophisticated in-house legal team, led by our General Counsel, which supports the complex and diverse business and corporate initiatives that we undertook during 2025, and which are expected to position the Company for future success.</w:t>
                            </w:r>
                            <w:r>
                              <w:rPr/>
                              <w:t xml:space="preserve"> </w:t>
                            </w:r>
                          </w:p>
                          <w:p>
                            <w:pPr>
                              <w:pStyle w:val="TableContents"/>
                              <w:bidi w:val="0"/>
                              <w:spacing w:lineRule="atLeast" w:line="166" w:before="80" w:after="283"/>
                              <w:ind w:left="0" w:right="160" w:hanging="0"/>
                              <w:jc w:val="left"/>
                              <w:rPr/>
                            </w:pPr>
                            <w:r>
                              <w:rPr>
                                <w:spacing w:val="-2"/>
                              </w:rPr>
                              <w:t>In addition to supervising legal functions relating to our core business, Mr. Levine was integral to advancing key initiatives that pushed the boundaries of our traditional operations, including the expansion of our special servicing and asset management functions, enhancement of our organizational capabilities through targeted hiring, was central to our nearly $1 billion in acquisition activity, and navigating risks and technical matters related to a large scale development site.</w:t>
                            </w:r>
                            <w:r>
                              <w:rPr/>
                              <w:t xml:space="preserve"> </w:t>
                            </w:r>
                          </w:p>
                          <w:p>
                            <w:pPr>
                              <w:pStyle w:val="TableContents"/>
                              <w:bidi w:val="0"/>
                              <w:spacing w:lineRule="atLeast" w:line="166" w:before="80" w:after="283"/>
                              <w:ind w:left="0" w:right="160" w:hanging="0"/>
                              <w:jc w:val="left"/>
                              <w:rPr>
                                <w:b/>
                              </w:rPr>
                            </w:pPr>
                            <w:r>
                              <w:rPr>
                                <w:b/>
                                <w:spacing w:val="-2"/>
                              </w:rPr>
                              <w:t>The Total Direct Compensation approved by the Committee for Mr. Levine for 2025 is approximately 8% higher than the Summary Compensation Table amount for 2025 due primarily to the form and timing of Mr. Levine’s annual bonus, which was paid fully in equity that was granted in January 2026, and therefore will not appear in the Summary Compensation Table until our 2027 proxy statement.</w:t>
                            </w:r>
                            <w:r>
                              <w:rPr>
                                <w:b/>
                              </w:rPr>
                              <w:t xml:space="preserve"> </w:t>
                            </w:r>
                          </w:p>
                        </w:tc>
                        <w:tc>
                          <w:tcPr>
                            <w:tcW w:w="109" w:type="dxa"/>
                            <w:tcBorders/>
                            <w:vAlign w:val="center"/>
                          </w:tcPr>
                          <w:p>
                            <w:pPr>
                              <w:pStyle w:val="TableContents"/>
                              <w:bidi w:val="0"/>
                              <w:spacing w:before="0" w:after="283"/>
                              <w:jc w:val="left"/>
                              <w:rPr/>
                            </w:pPr>
                            <w:r>
                              <w:rPr/>
                              <w:t>​</w:t>
                            </w:r>
                          </w:p>
                        </w:tc>
                        <w:tc>
                          <w:tcPr>
                            <w:tcW w:w="154" w:type="dxa"/>
                            <w:tcBorders/>
                            <w:shd w:fill="1F2668" w:val="clear"/>
                            <w:vAlign w:val="center"/>
                          </w:tcPr>
                          <w:p>
                            <w:pPr>
                              <w:pStyle w:val="TableContents"/>
                              <w:bidi w:val="0"/>
                              <w:spacing w:before="0" w:after="283"/>
                              <w:jc w:val="left"/>
                              <w:rPr/>
                            </w:pPr>
                            <w:r>
                              <w:rPr/>
                              <w:t>​</w:t>
                            </w:r>
                          </w:p>
                        </w:tc>
                      </w:tr>
                    </w:tbl>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203200" distR="0" simplePos="0" locked="0" layoutInCell="1" allowOverlap="1" relativeHeight="653">
                <wp:simplePos x="0" y="0"/>
                <wp:positionH relativeFrom="column">
                  <wp:align>left</wp:align>
                </wp:positionH>
                <wp:positionV relativeFrom="line">
                  <wp:posOffset>635</wp:posOffset>
                </wp:positionV>
                <wp:extent cx="4406900" cy="9972040"/>
                <wp:effectExtent l="0" t="0" r="0" b="0"/>
                <wp:wrapSquare wrapText="right"/>
                <wp:docPr id="716" name="Frame393"/>
                <a:graphic xmlns:a="http://schemas.openxmlformats.org/drawingml/2006/main">
                  <a:graphicData uri="http://schemas.microsoft.com/office/word/2010/wordprocessingShape">
                    <wps:wsp>
                      <wps:cNvSpPr txBox="1"/>
                      <wps:spPr>
                        <a:xfrm>
                          <a:off x="0" y="0"/>
                          <a:ext cx="4406900" cy="9972040"/>
                        </a:xfrm>
                        <a:prstGeom prst="rect"/>
                        <a:solidFill>
                          <a:srgbClr val="FFFFFF"/>
                        </a:solidFill>
                      </wps:spPr>
                      <wps:txbx>
                        <w:txbxContent>
                          <w:p>
                            <w:pPr>
                              <w:pStyle w:val="TextBody"/>
                              <w:bidi w:val="0"/>
                              <w:spacing w:lineRule="atLeast" w:line="260" w:before="260" w:after="283"/>
                              <w:jc w:val="left"/>
                              <w:rPr>
                                <w:b/>
                                <w:color w:val="83AD40"/>
                                <w:sz w:val="22"/>
                              </w:rPr>
                            </w:pPr>
                            <w:r>
                              <w:rPr>
                                <w:b/>
                                <w:color w:val="83AD40"/>
                                <w:spacing w:val="-2"/>
                                <w:sz w:val="22"/>
                              </w:rPr>
                              <w:t xml:space="preserve">2025 Performance and Compensation— </w:t>
                              <w:br/>
                              <w:t>Total Direct Compensation vs. Summary Compensation Table</w:t>
                            </w:r>
                            <w:r>
                              <w:rPr>
                                <w:b/>
                                <w:color w:val="000000"/>
                                <w:spacing w:val="4"/>
                                <w:sz w:val="22"/>
                              </w:rPr>
                              <w:t xml:space="preserve"> </w:t>
                            </w:r>
                          </w:p>
                          <w:tbl>
                            <w:tblPr>
                              <w:tblW w:w="10205" w:type="dxa"/>
                              <w:jc w:val="left"/>
                              <w:tblInd w:w="0" w:type="dxa"/>
                              <w:tblLayout w:type="fixed"/>
                              <w:tblCellMar>
                                <w:top w:w="0" w:type="dxa"/>
                                <w:left w:w="0" w:type="dxa"/>
                                <w:bottom w:w="28" w:type="dxa"/>
                                <w:right w:w="0" w:type="dxa"/>
                              </w:tblCellMar>
                            </w:tblPr>
                            <w:tblGrid>
                              <w:gridCol w:w="124"/>
                              <w:gridCol w:w="902"/>
                              <w:gridCol w:w="109"/>
                              <w:gridCol w:w="109"/>
                              <w:gridCol w:w="771"/>
                              <w:gridCol w:w="109"/>
                              <w:gridCol w:w="109"/>
                              <w:gridCol w:w="7816"/>
                              <w:gridCol w:w="156"/>
                            </w:tblGrid>
                            <w:tr>
                              <w:trPr/>
                              <w:tc>
                                <w:tcPr>
                                  <w:tcW w:w="124" w:type="dxa"/>
                                  <w:tcBorders>
                                    <w:bottom w:val="single" w:sz="8" w:space="0" w:color="1F2668"/>
                                  </w:tcBorders>
                                  <w:shd w:fill="E9F9D8" w:val="clear"/>
                                  <w:vAlign w:val="center"/>
                                </w:tcPr>
                                <w:p>
                                  <w:pPr>
                                    <w:pStyle w:val="TableContents"/>
                                    <w:bidi w:val="0"/>
                                    <w:spacing w:before="0" w:after="283"/>
                                    <w:jc w:val="left"/>
                                    <w:rPr/>
                                  </w:pPr>
                                  <w:r>
                                    <w:rPr/>
                                    <w:t>​</w:t>
                                  </w:r>
                                </w:p>
                              </w:tc>
                              <w:tc>
                                <w:tcPr>
                                  <w:tcW w:w="902" w:type="dxa"/>
                                  <w:tcBorders>
                                    <w:bottom w:val="single" w:sz="8" w:space="0" w:color="1F2668"/>
                                  </w:tcBorders>
                                  <w:shd w:fill="E9F9D8" w:val="clear"/>
                                  <w:tcMar>
                                    <w:bottom w:w="50" w:type="dxa"/>
                                  </w:tcMar>
                                  <w:vAlign w:val="center"/>
                                </w:tcPr>
                                <w:p>
                                  <w:pPr>
                                    <w:pStyle w:val="TableContents"/>
                                    <w:bidi w:val="0"/>
                                    <w:spacing w:before="0" w:after="0"/>
                                    <w:jc w:val="left"/>
                                    <w:rPr>
                                      <w:spacing w:val="-2"/>
                                    </w:rPr>
                                  </w:pPr>
                                  <w:r>
                                    <w:rPr>
                                      <w:spacing w:val="-2"/>
                                    </w:rPr>
                                    <w:t xml:space="preserve">TDC </w:t>
                                  </w:r>
                                </w:p>
                              </w:tc>
                              <w:tc>
                                <w:tcPr>
                                  <w:tcW w:w="109" w:type="dxa"/>
                                  <w:tcBorders>
                                    <w:bottom w:val="single" w:sz="8" w:space="0" w:color="1F2668"/>
                                  </w:tcBorders>
                                  <w:shd w:fill="E9F9D8" w:val="clear"/>
                                  <w:vAlign w:val="center"/>
                                </w:tcPr>
                                <w:p>
                                  <w:pPr>
                                    <w:pStyle w:val="TableContents"/>
                                    <w:bidi w:val="0"/>
                                    <w:spacing w:before="0" w:after="283"/>
                                    <w:jc w:val="left"/>
                                    <w:rPr/>
                                  </w:pPr>
                                  <w:r>
                                    <w:rPr/>
                                    <w:t>​</w:t>
                                  </w:r>
                                </w:p>
                              </w:tc>
                              <w:tc>
                                <w:tcPr>
                                  <w:tcW w:w="109" w:type="dxa"/>
                                  <w:tcBorders>
                                    <w:bottom w:val="single" w:sz="8" w:space="0" w:color="1F2668"/>
                                  </w:tcBorders>
                                  <w:vAlign w:val="center"/>
                                </w:tcPr>
                                <w:p>
                                  <w:pPr>
                                    <w:pStyle w:val="TableContents"/>
                                    <w:bidi w:val="0"/>
                                    <w:spacing w:before="0" w:after="283"/>
                                    <w:jc w:val="left"/>
                                    <w:rPr/>
                                  </w:pPr>
                                  <w:r>
                                    <w:rPr/>
                                    <w:t>​</w:t>
                                  </w:r>
                                </w:p>
                              </w:tc>
                              <w:tc>
                                <w:tcPr>
                                  <w:tcW w:w="771" w:type="dxa"/>
                                  <w:tcBorders>
                                    <w:bottom w:val="single" w:sz="8" w:space="0" w:color="1F2668"/>
                                  </w:tcBorders>
                                  <w:tcMar>
                                    <w:bottom w:w="50" w:type="dxa"/>
                                  </w:tcMar>
                                  <w:vAlign w:val="center"/>
                                </w:tcPr>
                                <w:p>
                                  <w:pPr>
                                    <w:pStyle w:val="TableContents"/>
                                    <w:bidi w:val="0"/>
                                    <w:spacing w:before="0" w:after="0"/>
                                    <w:jc w:val="left"/>
                                    <w:rPr>
                                      <w:spacing w:val="-2"/>
                                    </w:rPr>
                                  </w:pPr>
                                  <w:r>
                                    <w:rPr>
                                      <w:spacing w:val="-2"/>
                                    </w:rPr>
                                    <w:t xml:space="preserve">SCT </w:t>
                                  </w:r>
                                </w:p>
                              </w:tc>
                              <w:tc>
                                <w:tcPr>
                                  <w:tcW w:w="109" w:type="dxa"/>
                                  <w:tcBorders>
                                    <w:bottom w:val="single" w:sz="8" w:space="0" w:color="1F2668"/>
                                  </w:tcBorders>
                                  <w:vAlign w:val="center"/>
                                </w:tcPr>
                                <w:p>
                                  <w:pPr>
                                    <w:pStyle w:val="TableContents"/>
                                    <w:bidi w:val="0"/>
                                    <w:spacing w:before="0" w:after="283"/>
                                    <w:jc w:val="left"/>
                                    <w:rPr/>
                                  </w:pPr>
                                  <w:r>
                                    <w:rPr/>
                                    <w:t>​</w:t>
                                  </w:r>
                                </w:p>
                              </w:tc>
                              <w:tc>
                                <w:tcPr>
                                  <w:tcW w:w="109" w:type="dxa"/>
                                  <w:tcBorders>
                                    <w:bottom w:val="single" w:sz="8" w:space="0" w:color="1F2668"/>
                                  </w:tcBorders>
                                  <w:vAlign w:val="center"/>
                                </w:tcPr>
                                <w:p>
                                  <w:pPr>
                                    <w:pStyle w:val="TableContents"/>
                                    <w:bidi w:val="0"/>
                                    <w:spacing w:before="0" w:after="283"/>
                                    <w:jc w:val="left"/>
                                    <w:rPr/>
                                  </w:pPr>
                                  <w:r>
                                    <w:rPr/>
                                    <w:t>​</w:t>
                                  </w:r>
                                </w:p>
                              </w:tc>
                              <w:tc>
                                <w:tcPr>
                                  <w:tcW w:w="7816" w:type="dxa"/>
                                  <w:tcBorders>
                                    <w:bottom w:val="single" w:sz="8" w:space="0" w:color="1F2668"/>
                                  </w:tcBorders>
                                  <w:tcMar>
                                    <w:bottom w:w="50" w:type="dxa"/>
                                  </w:tcMar>
                                  <w:vAlign w:val="center"/>
                                </w:tcPr>
                                <w:p>
                                  <w:pPr>
                                    <w:pStyle w:val="TableContents"/>
                                    <w:bidi w:val="0"/>
                                    <w:spacing w:before="0" w:after="0"/>
                                    <w:jc w:val="left"/>
                                    <w:rPr>
                                      <w:spacing w:val="-2"/>
                                    </w:rPr>
                                  </w:pPr>
                                  <w:r>
                                    <w:rPr>
                                      <w:spacing w:val="-2"/>
                                    </w:rPr>
                                    <w:t xml:space="preserve">Element of Compensation </w:t>
                                  </w:r>
                                </w:p>
                              </w:tc>
                              <w:tc>
                                <w:tcPr>
                                  <w:tcW w:w="156" w:type="dxa"/>
                                  <w:tcBorders>
                                    <w:bottom w:val="single" w:sz="8" w:space="0" w:color="1F2668"/>
                                  </w:tcBorders>
                                  <w:vAlign w:val="center"/>
                                </w:tcPr>
                                <w:p>
                                  <w:pPr>
                                    <w:pStyle w:val="TableContents"/>
                                    <w:bidi w:val="0"/>
                                    <w:spacing w:before="0" w:after="283"/>
                                    <w:jc w:val="left"/>
                                    <w:rPr/>
                                  </w:pPr>
                                  <w:r>
                                    <w:rPr/>
                                    <w:t>​</w:t>
                                  </w:r>
                                </w:p>
                              </w:tc>
                            </w:tr>
                            <w:tr>
                              <w:trPr/>
                              <w:tc>
                                <w:tcPr>
                                  <w:tcW w:w="124" w:type="dxa"/>
                                  <w:tcBorders>
                                    <w:bottom w:val="single" w:sz="2" w:space="0" w:color="4B5088"/>
                                  </w:tcBorders>
                                  <w:shd w:fill="E9F9D8" w:val="clear"/>
                                  <w:vAlign w:val="center"/>
                                </w:tcPr>
                                <w:p>
                                  <w:pPr>
                                    <w:pStyle w:val="TableContents"/>
                                    <w:bidi w:val="0"/>
                                    <w:spacing w:before="0" w:after="283"/>
                                    <w:jc w:val="left"/>
                                    <w:rPr/>
                                  </w:pPr>
                                  <w:r>
                                    <w:rPr/>
                                    <w:t>​</w:t>
                                  </w:r>
                                </w:p>
                              </w:tc>
                              <w:tc>
                                <w:tcPr>
                                  <w:tcW w:w="902" w:type="dxa"/>
                                  <w:tcBorders>
                                    <w:bottom w:val="single" w:sz="2" w:space="0" w:color="4B5088"/>
                                  </w:tcBorders>
                                  <w:shd w:fill="E9F9D8" w:val="clear"/>
                                  <w:tcMar>
                                    <w:bottom w:w="68" w:type="dxa"/>
                                  </w:tcMar>
                                  <w:vAlign w:val="center"/>
                                </w:tcPr>
                                <w:p>
                                  <w:pPr>
                                    <w:pStyle w:val="TableContents"/>
                                    <w:bidi w:val="0"/>
                                    <w:spacing w:before="0" w:after="0"/>
                                    <w:jc w:val="left"/>
                                    <w:rPr>
                                      <w:color w:val="1F2668"/>
                                      <w:sz w:val="36"/>
                                    </w:rPr>
                                  </w:pPr>
                                  <w:r>
                                    <w:rPr>
                                      <w:color w:val="1F2668"/>
                                      <w:sz w:val="36"/>
                                    </w:rPr>
                                    <w:t>16%</w:t>
                                  </w:r>
                                </w:p>
                                <w:p>
                                  <w:pPr>
                                    <w:pStyle w:val="TableContents"/>
                                    <w:bidi w:val="0"/>
                                    <w:spacing w:lineRule="atLeast" w:line="200" w:before="20" w:after="283"/>
                                    <w:jc w:val="left"/>
                                    <w:rPr>
                                      <w:b/>
                                      <w:sz w:val="18"/>
                                    </w:rPr>
                                  </w:pPr>
                                  <w:r>
                                    <w:rPr>
                                      <w:b/>
                                      <w:spacing w:val="-2"/>
                                      <w:sz w:val="18"/>
                                    </w:rPr>
                                    <w:t>$600,000</w:t>
                                  </w:r>
                                  <w:r>
                                    <w:rPr>
                                      <w:b/>
                                      <w:sz w:val="18"/>
                                    </w:rPr>
                                    <w:t xml:space="preserve"> </w:t>
                                  </w:r>
                                </w:p>
                              </w:tc>
                              <w:tc>
                                <w:tcPr>
                                  <w:tcW w:w="109" w:type="dxa"/>
                                  <w:tcBorders>
                                    <w:bottom w:val="single" w:sz="2" w:space="0" w:color="4B5088"/>
                                  </w:tcBorders>
                                  <w:shd w:fill="E9F9D8" w:val="clear"/>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771" w:type="dxa"/>
                                  <w:tcBorders>
                                    <w:bottom w:val="single" w:sz="2" w:space="0" w:color="4B5088"/>
                                  </w:tcBorders>
                                  <w:tcMar>
                                    <w:bottom w:w="68" w:type="dxa"/>
                                  </w:tcMar>
                                  <w:vAlign w:val="center"/>
                                </w:tcPr>
                                <w:p>
                                  <w:pPr>
                                    <w:pStyle w:val="TableContents"/>
                                    <w:bidi w:val="0"/>
                                    <w:spacing w:before="0" w:after="0"/>
                                    <w:jc w:val="left"/>
                                    <w:rPr>
                                      <w:color w:val="1F2668"/>
                                      <w:sz w:val="36"/>
                                    </w:rPr>
                                  </w:pPr>
                                  <w:r>
                                    <w:rPr>
                                      <w:color w:val="1F2668"/>
                                      <w:sz w:val="36"/>
                                    </w:rPr>
                                    <w:t>18%</w:t>
                                  </w:r>
                                </w:p>
                                <w:p>
                                  <w:pPr>
                                    <w:pStyle w:val="TableContents"/>
                                    <w:bidi w:val="0"/>
                                    <w:spacing w:lineRule="atLeast" w:line="200" w:before="20" w:after="283"/>
                                    <w:jc w:val="left"/>
                                    <w:rPr>
                                      <w:b/>
                                      <w:sz w:val="18"/>
                                    </w:rPr>
                                  </w:pPr>
                                  <w:r>
                                    <w:rPr>
                                      <w:b/>
                                      <w:spacing w:val="-2"/>
                                      <w:sz w:val="18"/>
                                    </w:rPr>
                                    <w:t>$600,000</w:t>
                                  </w:r>
                                  <w:r>
                                    <w:rPr>
                                      <w:b/>
                                      <w:sz w:val="18"/>
                                    </w:rPr>
                                    <w:t xml:space="preserve"> </w:t>
                                  </w:r>
                                </w:p>
                              </w:tc>
                              <w:tc>
                                <w:tcPr>
                                  <w:tcW w:w="109"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7816" w:type="dxa"/>
                                  <w:tcBorders>
                                    <w:bottom w:val="single" w:sz="2" w:space="0" w:color="4B5088"/>
                                  </w:tcBorders>
                                  <w:tcMar>
                                    <w:bottom w:w="68" w:type="dxa"/>
                                  </w:tcMar>
                                  <w:vAlign w:val="center"/>
                                </w:tcPr>
                                <w:p>
                                  <w:pPr>
                                    <w:pStyle w:val="TableContents"/>
                                    <w:bidi w:val="0"/>
                                    <w:spacing w:lineRule="atLeast" w:line="200" w:before="0" w:after="0"/>
                                    <w:jc w:val="left"/>
                                    <w:rPr>
                                      <w:b/>
                                      <w:sz w:val="18"/>
                                    </w:rPr>
                                  </w:pPr>
                                  <w:r>
                                    <w:rPr>
                                      <w:b/>
                                      <w:spacing w:val="-2"/>
                                      <w:sz w:val="18"/>
                                    </w:rPr>
                                    <w:t>Annual Base Salary</w:t>
                                  </w:r>
                                  <w:r>
                                    <w:rPr>
                                      <w:b/>
                                      <w:sz w:val="18"/>
                                    </w:rPr>
                                    <w:t xml:space="preserve"> </w:t>
                                  </w:r>
                                </w:p>
                                <w:p>
                                  <w:pPr>
                                    <w:pStyle w:val="TableContents"/>
                                    <w:bidi w:val="0"/>
                                    <w:spacing w:lineRule="atLeast" w:line="190" w:before="20" w:after="283"/>
                                    <w:jc w:val="left"/>
                                    <w:rPr>
                                      <w:spacing w:val="-2"/>
                                    </w:rPr>
                                  </w:pPr>
                                  <w:r>
                                    <w:rPr>
                                      <w:spacing w:val="-2"/>
                                    </w:rPr>
                                    <w:t xml:space="preserve">Mr. Levine’s base salary was equal to the minimum set forth in his employment agreement. In connection with Mr. Levine’s new employment agreement, his base salary increased by 3.3% year-over year to bring it in line with market. Prior to 2025, there had been no change to his base salary since 2019. </w:t>
                                  </w:r>
                                </w:p>
                              </w:tc>
                              <w:tc>
                                <w:tcPr>
                                  <w:tcW w:w="156" w:type="dxa"/>
                                  <w:tcBorders>
                                    <w:bottom w:val="single" w:sz="2" w:space="0" w:color="4B5088"/>
                                  </w:tcBorders>
                                  <w:vAlign w:val="center"/>
                                </w:tcPr>
                                <w:p>
                                  <w:pPr>
                                    <w:pStyle w:val="TableContents"/>
                                    <w:bidi w:val="0"/>
                                    <w:spacing w:before="0" w:after="283"/>
                                    <w:jc w:val="left"/>
                                    <w:rPr/>
                                  </w:pPr>
                                  <w:r>
                                    <w:rPr/>
                                    <w:t>​</w:t>
                                  </w:r>
                                </w:p>
                              </w:tc>
                            </w:tr>
                            <w:tr>
                              <w:trPr/>
                              <w:tc>
                                <w:tcPr>
                                  <w:tcW w:w="124" w:type="dxa"/>
                                  <w:tcBorders>
                                    <w:bottom w:val="single" w:sz="2" w:space="0" w:color="4B5088"/>
                                  </w:tcBorders>
                                  <w:shd w:fill="E9F9D8" w:val="clear"/>
                                  <w:vAlign w:val="center"/>
                                </w:tcPr>
                                <w:p>
                                  <w:pPr>
                                    <w:pStyle w:val="TableContents"/>
                                    <w:bidi w:val="0"/>
                                    <w:spacing w:before="0" w:after="283"/>
                                    <w:jc w:val="left"/>
                                    <w:rPr/>
                                  </w:pPr>
                                  <w:r>
                                    <w:rPr/>
                                    <w:t>​</w:t>
                                  </w:r>
                                </w:p>
                              </w:tc>
                              <w:tc>
                                <w:tcPr>
                                  <w:tcW w:w="902" w:type="dxa"/>
                                  <w:tcBorders>
                                    <w:bottom w:val="single" w:sz="2" w:space="0" w:color="4B5088"/>
                                  </w:tcBorders>
                                  <w:shd w:fill="E9F9D8" w:val="clear"/>
                                  <w:tcMar>
                                    <w:bottom w:w="68" w:type="dxa"/>
                                  </w:tcMar>
                                  <w:vAlign w:val="center"/>
                                </w:tcPr>
                                <w:p>
                                  <w:pPr>
                                    <w:pStyle w:val="TableContents"/>
                                    <w:bidi w:val="0"/>
                                    <w:spacing w:before="0" w:after="0"/>
                                    <w:jc w:val="left"/>
                                    <w:rPr>
                                      <w:color w:val="1F2668"/>
                                      <w:sz w:val="36"/>
                                    </w:rPr>
                                  </w:pPr>
                                  <w:r>
                                    <w:rPr>
                                      <w:color w:val="1F2668"/>
                                      <w:sz w:val="36"/>
                                    </w:rPr>
                                    <w:t>29%</w:t>
                                  </w:r>
                                </w:p>
                                <w:p>
                                  <w:pPr>
                                    <w:pStyle w:val="TableContents"/>
                                    <w:bidi w:val="0"/>
                                    <w:spacing w:lineRule="atLeast" w:line="200" w:before="20" w:after="283"/>
                                    <w:jc w:val="left"/>
                                    <w:rPr>
                                      <w:b/>
                                      <w:sz w:val="18"/>
                                    </w:rPr>
                                  </w:pPr>
                                  <w:r>
                                    <w:rPr>
                                      <w:b/>
                                      <w:spacing w:val="-2"/>
                                      <w:sz w:val="18"/>
                                    </w:rPr>
                                    <w:t>$1,100,000</w:t>
                                  </w:r>
                                  <w:r>
                                    <w:rPr>
                                      <w:b/>
                                      <w:sz w:val="18"/>
                                    </w:rPr>
                                    <w:t xml:space="preserve"> </w:t>
                                  </w:r>
                                </w:p>
                              </w:tc>
                              <w:tc>
                                <w:tcPr>
                                  <w:tcW w:w="109" w:type="dxa"/>
                                  <w:tcBorders>
                                    <w:bottom w:val="single" w:sz="2" w:space="0" w:color="4B5088"/>
                                  </w:tcBorders>
                                  <w:shd w:fill="E9F9D8" w:val="clear"/>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771" w:type="dxa"/>
                                  <w:tcBorders>
                                    <w:bottom w:val="single" w:sz="2" w:space="0" w:color="4B5088"/>
                                  </w:tcBorders>
                                  <w:tcMar>
                                    <w:bottom w:w="68" w:type="dxa"/>
                                  </w:tcMar>
                                  <w:vAlign w:val="center"/>
                                </w:tcPr>
                                <w:p>
                                  <w:pPr>
                                    <w:pStyle w:val="TableContents"/>
                                    <w:bidi w:val="0"/>
                                    <w:spacing w:before="0" w:after="0"/>
                                    <w:jc w:val="left"/>
                                    <w:rPr>
                                      <w:color w:val="1F2668"/>
                                      <w:sz w:val="36"/>
                                    </w:rPr>
                                  </w:pPr>
                                  <w:r>
                                    <w:rPr>
                                      <w:color w:val="1F2668"/>
                                      <w:sz w:val="36"/>
                                    </w:rPr>
                                    <w:t>21%</w:t>
                                  </w:r>
                                </w:p>
                                <w:p>
                                  <w:pPr>
                                    <w:pStyle w:val="TableContents"/>
                                    <w:bidi w:val="0"/>
                                    <w:spacing w:lineRule="atLeast" w:line="200" w:before="20" w:after="283"/>
                                    <w:jc w:val="left"/>
                                    <w:rPr>
                                      <w:b/>
                                      <w:sz w:val="18"/>
                                    </w:rPr>
                                  </w:pPr>
                                  <w:r>
                                    <w:rPr>
                                      <w:b/>
                                      <w:spacing w:val="-2"/>
                                      <w:sz w:val="18"/>
                                    </w:rPr>
                                    <w:t>$739,636</w:t>
                                  </w:r>
                                  <w:r>
                                    <w:rPr>
                                      <w:b/>
                                      <w:sz w:val="18"/>
                                    </w:rPr>
                                    <w:t xml:space="preserve"> </w:t>
                                  </w:r>
                                </w:p>
                              </w:tc>
                              <w:tc>
                                <w:tcPr>
                                  <w:tcW w:w="109"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7816" w:type="dxa"/>
                                  <w:tcBorders>
                                    <w:bottom w:val="single" w:sz="2" w:space="0" w:color="4B5088"/>
                                  </w:tcBorders>
                                  <w:tcMar>
                                    <w:bottom w:w="68" w:type="dxa"/>
                                  </w:tcMar>
                                  <w:vAlign w:val="center"/>
                                </w:tcPr>
                                <w:p>
                                  <w:pPr>
                                    <w:pStyle w:val="TableContents"/>
                                    <w:bidi w:val="0"/>
                                    <w:spacing w:lineRule="atLeast" w:line="200" w:before="0" w:after="0"/>
                                    <w:jc w:val="left"/>
                                    <w:rPr>
                                      <w:b/>
                                      <w:sz w:val="18"/>
                                    </w:rPr>
                                  </w:pPr>
                                  <w:r>
                                    <w:rPr>
                                      <w:b/>
                                      <w:spacing w:val="-2"/>
                                      <w:sz w:val="18"/>
                                    </w:rPr>
                                    <w:t>Annual Bonus</w:t>
                                  </w:r>
                                  <w:r>
                                    <w:rPr>
                                      <w:b/>
                                      <w:sz w:val="18"/>
                                    </w:rPr>
                                    <w:t xml:space="preserve"> </w:t>
                                  </w:r>
                                </w:p>
                                <w:p>
                                  <w:pPr>
                                    <w:pStyle w:val="TableContents"/>
                                    <w:bidi w:val="0"/>
                                    <w:spacing w:lineRule="atLeast" w:line="190" w:before="20" w:after="283"/>
                                    <w:jc w:val="left"/>
                                    <w:rPr/>
                                  </w:pPr>
                                  <w:r>
                                    <w:rPr>
                                      <w:spacing w:val="-2"/>
                                    </w:rPr>
                                    <w:t xml:space="preserve">Determined 50% formulaically, with the remaining 50% discretionary. For 2025, Mr. Levine earned a total bonus of </w:t>
                                  </w:r>
                                  <w:r>
                                    <w:rPr>
                                      <w:b/>
                                      <w:spacing w:val="-2"/>
                                    </w:rPr>
                                    <w:t>$1,100,000</w:t>
                                  </w:r>
                                  <w:r>
                                    <w:rPr>
                                      <w:spacing w:val="-2"/>
                                    </w:rPr>
                                    <w:t xml:space="preserve">. This amount consists of </w:t>
                                  </w:r>
                                  <w:r>
                                    <w:rPr>
                                      <w:b/>
                                      <w:spacing w:val="-2"/>
                                    </w:rPr>
                                    <w:t>$594,000</w:t>
                                  </w:r>
                                  <w:r>
                                    <w:rPr>
                                      <w:spacing w:val="-2"/>
                                    </w:rPr>
                                    <w:t xml:space="preserve"> earned on a formulaic basis (approximately </w:t>
                                  </w:r>
                                  <w:r>
                                    <w:rPr>
                                      <w:b/>
                                      <w:spacing w:val="-2"/>
                                    </w:rPr>
                                    <w:t>99%</w:t>
                                  </w:r>
                                  <w:r>
                                    <w:rPr>
                                      <w:spacing w:val="-2"/>
                                    </w:rPr>
                                    <w:t xml:space="preserve"> of the target amount),and a discretionary award of </w:t>
                                  </w:r>
                                  <w:r>
                                    <w:rPr>
                                      <w:b/>
                                      <w:spacing w:val="-2"/>
                                    </w:rPr>
                                    <w:t>$506,000</w:t>
                                  </w:r>
                                  <w:r>
                                    <w:rPr>
                                      <w:spacing w:val="-2"/>
                                    </w:rPr>
                                    <w:t xml:space="preserve">. Mr. Levine received </w:t>
                                  </w:r>
                                  <w:r>
                                    <w:rPr>
                                      <w:b/>
                                      <w:spacing w:val="-2"/>
                                    </w:rPr>
                                    <w:t>100%</w:t>
                                  </w:r>
                                  <w:r>
                                    <w:rPr>
                                      <w:spacing w:val="-2"/>
                                    </w:rPr>
                                    <w:t xml:space="preserve"> of the bonus in the form of equity. The corresponding </w:t>
                                  </w:r>
                                  <w:r>
                                    <w:rPr>
                                      <w:b/>
                                      <w:spacing w:val="-2"/>
                                    </w:rPr>
                                    <w:t>24,044</w:t>
                                  </w:r>
                                  <w:r>
                                    <w:rPr>
                                      <w:spacing w:val="-2"/>
                                    </w:rPr>
                                    <w:t xml:space="preserve"> LTIP units granted in </w:t>
                                  </w:r>
                                  <w:r>
                                    <w:rPr>
                                      <w:b/>
                                      <w:spacing w:val="-2"/>
                                    </w:rPr>
                                    <w:t>February 2026</w:t>
                                  </w:r>
                                  <w:r>
                                    <w:rPr>
                                      <w:spacing w:val="-2"/>
                                    </w:rPr>
                                    <w:t xml:space="preserve"> were fully vested upon grant, but remain subject to a three-year no-sell restriction. Because these LTIP units were granted in 2026, the value of the awards will be reported in next year’s Summary Compensation table.</w:t>
                                  </w:r>
                                  <w:r>
                                    <w:rPr/>
                                    <w:t xml:space="preserve"> </w:t>
                                  </w:r>
                                </w:p>
                                <w:p>
                                  <w:pPr>
                                    <w:pStyle w:val="TableContents"/>
                                    <w:bidi w:val="0"/>
                                    <w:spacing w:lineRule="atLeast" w:line="190" w:before="60" w:after="283"/>
                                    <w:jc w:val="left"/>
                                    <w:rPr/>
                                  </w:pPr>
                                  <w:r>
                                    <w:rPr>
                                      <w:spacing w:val="-2"/>
                                    </w:rPr>
                                    <w:t xml:space="preserve">The SCT amount reflects the grant date value of equity granted </w:t>
                                  </w:r>
                                  <w:r>
                                    <w:rPr>
                                      <w:b/>
                                      <w:spacing w:val="-2"/>
                                    </w:rPr>
                                    <w:t>in January 2025</w:t>
                                  </w:r>
                                  <w:r>
                                    <w:rPr>
                                      <w:spacing w:val="-2"/>
                                    </w:rPr>
                                    <w:t xml:space="preserve"> representing Mr. Levine’s </w:t>
                                  </w:r>
                                  <w:r>
                                    <w:rPr>
                                      <w:b/>
                                      <w:spacing w:val="-2"/>
                                    </w:rPr>
                                    <w:t>2024 annual bonus</w:t>
                                  </w:r>
                                  <w:r>
                                    <w:rPr>
                                      <w:spacing w:val="-2"/>
                                    </w:rPr>
                                    <w:t xml:space="preserve">. </w:t>
                                  </w:r>
                                </w:p>
                              </w:tc>
                              <w:tc>
                                <w:tcPr>
                                  <w:tcW w:w="156" w:type="dxa"/>
                                  <w:tcBorders>
                                    <w:bottom w:val="single" w:sz="2" w:space="0" w:color="4B5088"/>
                                  </w:tcBorders>
                                  <w:vAlign w:val="center"/>
                                </w:tcPr>
                                <w:p>
                                  <w:pPr>
                                    <w:pStyle w:val="TableContents"/>
                                    <w:bidi w:val="0"/>
                                    <w:spacing w:before="0" w:after="283"/>
                                    <w:jc w:val="left"/>
                                    <w:rPr/>
                                  </w:pPr>
                                  <w:r>
                                    <w:rPr/>
                                    <w:t>​</w:t>
                                  </w:r>
                                </w:p>
                              </w:tc>
                            </w:tr>
                            <w:tr>
                              <w:trPr/>
                              <w:tc>
                                <w:tcPr>
                                  <w:tcW w:w="124" w:type="dxa"/>
                                  <w:tcBorders/>
                                  <w:shd w:fill="E9F9D8" w:val="clear"/>
                                  <w:tcMar>
                                    <w:bottom w:w="0" w:type="dxa"/>
                                  </w:tcMar>
                                  <w:vAlign w:val="center"/>
                                </w:tcPr>
                                <w:p>
                                  <w:pPr>
                                    <w:pStyle w:val="TableContents"/>
                                    <w:bidi w:val="0"/>
                                    <w:spacing w:before="0" w:after="283"/>
                                    <w:jc w:val="left"/>
                                    <w:rPr/>
                                  </w:pPr>
                                  <w:r>
                                    <w:rPr/>
                                    <w:t>​</w:t>
                                  </w:r>
                                </w:p>
                              </w:tc>
                              <w:tc>
                                <w:tcPr>
                                  <w:tcW w:w="902" w:type="dxa"/>
                                  <w:tcBorders/>
                                  <w:shd w:fill="E9F9D8" w:val="clear"/>
                                  <w:tcMar>
                                    <w:bottom w:w="0" w:type="dxa"/>
                                  </w:tcMar>
                                  <w:vAlign w:val="center"/>
                                </w:tcPr>
                                <w:p>
                                  <w:pPr>
                                    <w:pStyle w:val="TableContents"/>
                                    <w:bidi w:val="0"/>
                                    <w:spacing w:before="0" w:after="0"/>
                                    <w:jc w:val="left"/>
                                    <w:rPr>
                                      <w:color w:val="1F2668"/>
                                      <w:sz w:val="36"/>
                                    </w:rPr>
                                  </w:pPr>
                                  <w:r>
                                    <w:rPr>
                                      <w:color w:val="1F2668"/>
                                      <w:sz w:val="36"/>
                                    </w:rPr>
                                    <w:t>16%</w:t>
                                  </w:r>
                                </w:p>
                                <w:p>
                                  <w:pPr>
                                    <w:pStyle w:val="TableContents"/>
                                    <w:bidi w:val="0"/>
                                    <w:spacing w:lineRule="atLeast" w:line="200" w:before="20" w:after="283"/>
                                    <w:jc w:val="left"/>
                                    <w:rPr>
                                      <w:b/>
                                      <w:sz w:val="18"/>
                                    </w:rPr>
                                  </w:pPr>
                                  <w:r>
                                    <w:rPr>
                                      <w:b/>
                                      <w:spacing w:val="-2"/>
                                      <w:sz w:val="18"/>
                                    </w:rPr>
                                    <w:t>$600,000</w:t>
                                  </w:r>
                                  <w:r>
                                    <w:rPr>
                                      <w:b/>
                                      <w:sz w:val="18"/>
                                    </w:rPr>
                                    <w:t xml:space="preserve"> </w:t>
                                  </w:r>
                                </w:p>
                              </w:tc>
                              <w:tc>
                                <w:tcPr>
                                  <w:tcW w:w="109" w:type="dxa"/>
                                  <w:tcBorders/>
                                  <w:shd w:fill="E9F9D8"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71" w:type="dxa"/>
                                  <w:tcBorders/>
                                  <w:tcMar>
                                    <w:bottom w:w="0" w:type="dxa"/>
                                  </w:tcMar>
                                  <w:vAlign w:val="center"/>
                                </w:tcPr>
                                <w:p>
                                  <w:pPr>
                                    <w:pStyle w:val="TableContents"/>
                                    <w:bidi w:val="0"/>
                                    <w:spacing w:before="0" w:after="0"/>
                                    <w:jc w:val="left"/>
                                    <w:rPr>
                                      <w:color w:val="1F2668"/>
                                      <w:sz w:val="36"/>
                                    </w:rPr>
                                  </w:pPr>
                                  <w:r>
                                    <w:rPr>
                                      <w:color w:val="1F2668"/>
                                      <w:sz w:val="36"/>
                                    </w:rPr>
                                    <w:t>19%</w:t>
                                  </w:r>
                                </w:p>
                                <w:p>
                                  <w:pPr>
                                    <w:pStyle w:val="TableContents"/>
                                    <w:bidi w:val="0"/>
                                    <w:spacing w:lineRule="atLeast" w:line="200" w:before="20" w:after="283"/>
                                    <w:jc w:val="left"/>
                                    <w:rPr>
                                      <w:b/>
                                      <w:sz w:val="18"/>
                                    </w:rPr>
                                  </w:pPr>
                                  <w:r>
                                    <w:rPr>
                                      <w:b/>
                                      <w:spacing w:val="-2"/>
                                      <w:sz w:val="18"/>
                                    </w:rPr>
                                    <w:t>$660,088</w:t>
                                  </w:r>
                                  <w:r>
                                    <w:rPr>
                                      <w:b/>
                                      <w:sz w:val="18"/>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816" w:type="dxa"/>
                                  <w:tcBorders/>
                                  <w:tcMar>
                                    <w:bottom w:w="0" w:type="dxa"/>
                                  </w:tcMar>
                                  <w:vAlign w:val="center"/>
                                </w:tcPr>
                                <w:p>
                                  <w:pPr>
                                    <w:pStyle w:val="TableContents"/>
                                    <w:bidi w:val="0"/>
                                    <w:spacing w:lineRule="atLeast" w:line="200" w:before="0" w:after="0"/>
                                    <w:jc w:val="left"/>
                                    <w:rPr>
                                      <w:b/>
                                      <w:sz w:val="18"/>
                                    </w:rPr>
                                  </w:pPr>
                                  <w:r>
                                    <w:rPr>
                                      <w:b/>
                                      <w:spacing w:val="-2"/>
                                      <w:sz w:val="18"/>
                                    </w:rPr>
                                    <w:t>Performance-Based Equity Awards</w:t>
                                  </w:r>
                                  <w:r>
                                    <w:rPr>
                                      <w:b/>
                                      <w:sz w:val="18"/>
                                    </w:rPr>
                                    <w:t xml:space="preserve"> </w:t>
                                  </w:r>
                                </w:p>
                                <w:p>
                                  <w:pPr>
                                    <w:pStyle w:val="TableContents"/>
                                    <w:bidi w:val="0"/>
                                    <w:spacing w:lineRule="atLeast" w:line="190" w:before="20" w:after="283"/>
                                    <w:jc w:val="left"/>
                                    <w:rPr/>
                                  </w:pPr>
                                  <w:r>
                                    <w:rPr>
                                      <w:spacing w:val="-2"/>
                                    </w:rPr>
                                    <w:t xml:space="preserve">The TDC amount reflects the target notional value of </w:t>
                                  </w:r>
                                  <w:r>
                                    <w:rPr>
                                      <w:b/>
                                      <w:spacing w:val="-2"/>
                                    </w:rPr>
                                    <w:t>$600,000</w:t>
                                  </w:r>
                                  <w:r>
                                    <w:rPr>
                                      <w:spacing w:val="-2"/>
                                    </w:rPr>
                                    <w:t xml:space="preserve"> approved by the Committee in 2025. </w:t>
                                  </w:r>
                                  <w:r>
                                    <w:rPr>
                                      <w:b/>
                                      <w:spacing w:val="-2"/>
                                    </w:rPr>
                                    <w:t>The SCT amount represents the grant date value of the awards</w:t>
                                  </w:r>
                                  <w:r>
                                    <w:rPr>
                                      <w:spacing w:val="-2"/>
                                    </w:rPr>
                                    <w:t>.</w:t>
                                  </w:r>
                                  <w:r>
                                    <w:rPr/>
                                    <w:t xml:space="preserve"> </w:t>
                                  </w:r>
                                </w:p>
                                <w:p>
                                  <w:pPr>
                                    <w:pStyle w:val="TableContents"/>
                                    <w:bidi w:val="0"/>
                                    <w:spacing w:lineRule="atLeast" w:line="190" w:before="60" w:after="283"/>
                                    <w:jc w:val="left"/>
                                    <w:rPr/>
                                  </w:pPr>
                                  <w:r>
                                    <w:rPr>
                                      <w:spacing w:val="-2"/>
                                    </w:rPr>
                                    <w:t>The award relates to the corresponding number of LTIP units set forth below:</w:t>
                                  </w:r>
                                  <w:r>
                                    <w:rPr/>
                                    <w:t xml:space="preserve"> </w:t>
                                  </w:r>
                                </w:p>
                              </w:tc>
                              <w:tc>
                                <w:tcPr>
                                  <w:tcW w:w="156" w:type="dxa"/>
                                  <w:tcBorders/>
                                  <w:tcMar>
                                    <w:bottom w:w="0" w:type="dxa"/>
                                  </w:tcMar>
                                  <w:vAlign w:val="center"/>
                                </w:tcPr>
                                <w:p>
                                  <w:pPr>
                                    <w:pStyle w:val="TableContents"/>
                                    <w:bidi w:val="0"/>
                                    <w:spacing w:before="0" w:after="283"/>
                                    <w:jc w:val="left"/>
                                    <w:rPr/>
                                  </w:pPr>
                                  <w:r>
                                    <w:rPr/>
                                    <w:t>​</w:t>
                                  </w:r>
                                </w:p>
                              </w:tc>
                            </w:tr>
                          </w:tbl>
                          <w:tbl>
                            <w:tblPr>
                              <w:tblW w:w="6229" w:type="dxa"/>
                              <w:jc w:val="left"/>
                              <w:tblInd w:w="0" w:type="dxa"/>
                              <w:tblLayout w:type="fixed"/>
                              <w:tblCellMar>
                                <w:top w:w="0" w:type="dxa"/>
                                <w:left w:w="0" w:type="dxa"/>
                                <w:bottom w:w="0" w:type="dxa"/>
                                <w:right w:w="0" w:type="dxa"/>
                              </w:tblCellMar>
                            </w:tblPr>
                            <w:tblGrid>
                              <w:gridCol w:w="124"/>
                              <w:gridCol w:w="109"/>
                              <w:gridCol w:w="109"/>
                              <w:gridCol w:w="109"/>
                              <w:gridCol w:w="109"/>
                              <w:gridCol w:w="109"/>
                              <w:gridCol w:w="1110"/>
                              <w:gridCol w:w="109"/>
                              <w:gridCol w:w="109"/>
                              <w:gridCol w:w="771"/>
                              <w:gridCol w:w="109"/>
                              <w:gridCol w:w="109"/>
                              <w:gridCol w:w="1129"/>
                              <w:gridCol w:w="109"/>
                              <w:gridCol w:w="109"/>
                              <w:gridCol w:w="1742"/>
                              <w:gridCol w:w="154"/>
                            </w:tblGrid>
                            <w:tr>
                              <w:trPr/>
                              <w:tc>
                                <w:tcPr>
                                  <w:tcW w:w="124" w:type="dxa"/>
                                  <w:tcBorders/>
                                  <w:shd w:fill="E9F9D8" w:val="clear"/>
                                  <w:vAlign w:val="center"/>
                                </w:tcPr>
                                <w:p>
                                  <w:pPr>
                                    <w:pStyle w:val="TableContents"/>
                                    <w:bidi w:val="0"/>
                                    <w:spacing w:before="0" w:after="283"/>
                                    <w:jc w:val="left"/>
                                    <w:rPr/>
                                  </w:pPr>
                                  <w:r>
                                    <w:rPr/>
                                    <w:t>​</w:t>
                                  </w:r>
                                </w:p>
                              </w:tc>
                              <w:tc>
                                <w:tcPr>
                                  <w:tcW w:w="109" w:type="dxa"/>
                                  <w:tcBorders/>
                                  <w:shd w:fill="E9F9D8" w:val="cle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top w:val="single" w:sz="16" w:space="0" w:color="1F2668"/>
                                    <w:bottom w:val="single" w:sz="16" w:space="0" w:color="1F2668"/>
                                  </w:tcBorders>
                                  <w:tcMar>
                                    <w:top w:w="28" w:type="dxa"/>
                                    <w:bottom w:w="28" w:type="dxa"/>
                                  </w:tcMar>
                                  <w:vAlign w:val="center"/>
                                </w:tcPr>
                                <w:p>
                                  <w:pPr>
                                    <w:pStyle w:val="TableContents"/>
                                    <w:bidi w:val="0"/>
                                    <w:spacing w:before="0" w:after="283"/>
                                    <w:jc w:val="left"/>
                                    <w:rPr/>
                                  </w:pPr>
                                  <w:r>
                                    <w:rPr/>
                                    <w:t>​</w:t>
                                  </w:r>
                                </w:p>
                              </w:tc>
                              <w:tc>
                                <w:tcPr>
                                  <w:tcW w:w="5406" w:type="dxa"/>
                                  <w:gridSpan w:val="10"/>
                                  <w:tcBorders>
                                    <w:top w:val="single" w:sz="16" w:space="0" w:color="1F2668"/>
                                    <w:bottom w:val="single" w:sz="16" w:space="0" w:color="1F2668"/>
                                  </w:tcBorders>
                                  <w:tcMar>
                                    <w:top w:w="57" w:type="dxa"/>
                                    <w:bottom w:w="28" w:type="dxa"/>
                                  </w:tcMar>
                                  <w:vAlign w:val="center"/>
                                </w:tcPr>
                                <w:p>
                                  <w:pPr>
                                    <w:pStyle w:val="TableContents"/>
                                    <w:bidi w:val="0"/>
                                    <w:spacing w:before="0" w:after="0"/>
                                    <w:jc w:val="center"/>
                                    <w:rPr>
                                      <w:spacing w:val="-2"/>
                                    </w:rPr>
                                  </w:pPr>
                                  <w:r>
                                    <w:rPr>
                                      <w:spacing w:val="-2"/>
                                    </w:rPr>
                                    <w:t xml:space="preserve">2025 Annual Performance-Based Award— </w:t>
                                    <w:br/>
                                    <w:t xml:space="preserve">Number of LTIP Units Granted </w:t>
                                  </w:r>
                                </w:p>
                              </w:tc>
                              <w:tc>
                                <w:tcPr>
                                  <w:tcW w:w="154" w:type="dxa"/>
                                  <w:tcBorders>
                                    <w:top w:val="single" w:sz="16" w:space="0" w:color="1F2668"/>
                                    <w:bottom w:val="single" w:sz="16" w:space="0" w:color="1F2668"/>
                                  </w:tcBorders>
                                  <w:tcMar>
                                    <w:top w:w="28" w:type="dxa"/>
                                    <w:bottom w:w="28" w:type="dxa"/>
                                  </w:tcMar>
                                  <w:vAlign w:val="center"/>
                                </w:tcPr>
                                <w:p>
                                  <w:pPr>
                                    <w:pStyle w:val="TableContents"/>
                                    <w:bidi w:val="0"/>
                                    <w:spacing w:before="0" w:after="283"/>
                                    <w:jc w:val="left"/>
                                    <w:rPr/>
                                  </w:pPr>
                                  <w:r>
                                    <w:rPr/>
                                    <w:t>​</w:t>
                                  </w:r>
                                </w:p>
                              </w:tc>
                            </w:tr>
                            <w:tr>
                              <w:trPr/>
                              <w:tc>
                                <w:tcPr>
                                  <w:tcW w:w="124"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4B5088"/>
                                  </w:tcBorders>
                                  <w:tcMar>
                                    <w:bottom w:w="28" w:type="dxa"/>
                                  </w:tcMar>
                                  <w:vAlign w:val="center"/>
                                </w:tcPr>
                                <w:p>
                                  <w:pPr>
                                    <w:pStyle w:val="TableContents"/>
                                    <w:bidi w:val="0"/>
                                    <w:spacing w:before="0" w:after="283"/>
                                    <w:jc w:val="left"/>
                                    <w:rPr/>
                                  </w:pPr>
                                  <w:r>
                                    <w:rPr/>
                                    <w:t>​</w:t>
                                  </w:r>
                                </w:p>
                              </w:tc>
                              <w:tc>
                                <w:tcPr>
                                  <w:tcW w:w="1110" w:type="dxa"/>
                                  <w:tcBorders>
                                    <w:bottom w:val="single" w:sz="12" w:space="0" w:color="4B5088"/>
                                  </w:tcBorders>
                                  <w:tcMar>
                                    <w:bottom w:w="33" w:type="dxa"/>
                                  </w:tcMar>
                                  <w:vAlign w:val="center"/>
                                </w:tcPr>
                                <w:p>
                                  <w:pPr>
                                    <w:pStyle w:val="TableContents"/>
                                    <w:bidi w:val="0"/>
                                    <w:spacing w:before="0" w:after="0"/>
                                    <w:jc w:val="right"/>
                                    <w:rPr/>
                                  </w:pPr>
                                  <w:r>
                                    <w:rPr>
                                      <w:spacing w:val="-2"/>
                                    </w:rPr>
                                    <w:t>Threshold</w:t>
                                  </w:r>
                                  <w:r>
                                    <w:rPr/>
                                    <w:t xml:space="preserve"> </w:t>
                                  </w:r>
                                </w:p>
                              </w:tc>
                              <w:tc>
                                <w:tcPr>
                                  <w:tcW w:w="109" w:type="dxa"/>
                                  <w:tcBorders>
                                    <w:bottom w:val="single" w:sz="12" w:space="0" w:color="4B5088"/>
                                  </w:tcBorders>
                                  <w:tcMar>
                                    <w:bottom w:w="28" w:type="dxa"/>
                                  </w:tcMar>
                                  <w:vAlign w:val="center"/>
                                </w:tcPr>
                                <w:p>
                                  <w:pPr>
                                    <w:pStyle w:val="TableContents"/>
                                    <w:bidi w:val="0"/>
                                    <w:spacing w:before="0" w:after="283"/>
                                    <w:jc w:val="left"/>
                                    <w:rPr/>
                                  </w:pPr>
                                  <w:r>
                                    <w:rPr/>
                                    <w:t>​</w:t>
                                  </w:r>
                                </w:p>
                              </w:tc>
                              <w:tc>
                                <w:tcPr>
                                  <w:tcW w:w="109" w:type="dxa"/>
                                  <w:tcBorders>
                                    <w:bottom w:val="single" w:sz="12" w:space="0" w:color="4B5088"/>
                                  </w:tcBorders>
                                  <w:tcMar>
                                    <w:bottom w:w="28" w:type="dxa"/>
                                  </w:tcMar>
                                  <w:vAlign w:val="center"/>
                                </w:tcPr>
                                <w:p>
                                  <w:pPr>
                                    <w:pStyle w:val="TableContents"/>
                                    <w:bidi w:val="0"/>
                                    <w:spacing w:before="0" w:after="283"/>
                                    <w:jc w:val="left"/>
                                    <w:rPr/>
                                  </w:pPr>
                                  <w:r>
                                    <w:rPr/>
                                    <w:t>​</w:t>
                                  </w:r>
                                </w:p>
                              </w:tc>
                              <w:tc>
                                <w:tcPr>
                                  <w:tcW w:w="771" w:type="dxa"/>
                                  <w:tcBorders>
                                    <w:bottom w:val="single" w:sz="12" w:space="0" w:color="4B5088"/>
                                  </w:tcBorders>
                                  <w:tcMar>
                                    <w:bottom w:w="33" w:type="dxa"/>
                                  </w:tcMar>
                                  <w:vAlign w:val="center"/>
                                </w:tcPr>
                                <w:p>
                                  <w:pPr>
                                    <w:pStyle w:val="TableContents"/>
                                    <w:bidi w:val="0"/>
                                    <w:spacing w:before="0" w:after="0"/>
                                    <w:jc w:val="right"/>
                                    <w:rPr/>
                                  </w:pPr>
                                  <w:r>
                                    <w:rPr>
                                      <w:spacing w:val="-2"/>
                                    </w:rPr>
                                    <w:t>Target</w:t>
                                  </w:r>
                                  <w:r>
                                    <w:rPr/>
                                    <w:t xml:space="preserve"> </w:t>
                                  </w:r>
                                </w:p>
                              </w:tc>
                              <w:tc>
                                <w:tcPr>
                                  <w:tcW w:w="109" w:type="dxa"/>
                                  <w:tcBorders>
                                    <w:bottom w:val="single" w:sz="12" w:space="0" w:color="4B5088"/>
                                  </w:tcBorders>
                                  <w:tcMar>
                                    <w:bottom w:w="28" w:type="dxa"/>
                                  </w:tcMar>
                                  <w:vAlign w:val="center"/>
                                </w:tcPr>
                                <w:p>
                                  <w:pPr>
                                    <w:pStyle w:val="TableContents"/>
                                    <w:bidi w:val="0"/>
                                    <w:spacing w:before="0" w:after="283"/>
                                    <w:jc w:val="left"/>
                                    <w:rPr/>
                                  </w:pPr>
                                  <w:r>
                                    <w:rPr/>
                                    <w:t>​</w:t>
                                  </w:r>
                                </w:p>
                              </w:tc>
                              <w:tc>
                                <w:tcPr>
                                  <w:tcW w:w="109" w:type="dxa"/>
                                  <w:tcBorders>
                                    <w:bottom w:val="single" w:sz="12" w:space="0" w:color="4B5088"/>
                                  </w:tcBorders>
                                  <w:tcMar>
                                    <w:bottom w:w="28" w:type="dxa"/>
                                  </w:tcMar>
                                  <w:vAlign w:val="center"/>
                                </w:tcPr>
                                <w:p>
                                  <w:pPr>
                                    <w:pStyle w:val="TableContents"/>
                                    <w:bidi w:val="0"/>
                                    <w:spacing w:before="0" w:after="283"/>
                                    <w:jc w:val="left"/>
                                    <w:rPr/>
                                  </w:pPr>
                                  <w:r>
                                    <w:rPr/>
                                    <w:t>​</w:t>
                                  </w:r>
                                </w:p>
                              </w:tc>
                              <w:tc>
                                <w:tcPr>
                                  <w:tcW w:w="1129" w:type="dxa"/>
                                  <w:tcBorders>
                                    <w:bottom w:val="single" w:sz="12" w:space="0" w:color="4B5088"/>
                                  </w:tcBorders>
                                  <w:tcMar>
                                    <w:bottom w:w="33" w:type="dxa"/>
                                  </w:tcMar>
                                  <w:vAlign w:val="center"/>
                                </w:tcPr>
                                <w:p>
                                  <w:pPr>
                                    <w:pStyle w:val="TableContents"/>
                                    <w:bidi w:val="0"/>
                                    <w:spacing w:before="0" w:after="0"/>
                                    <w:jc w:val="right"/>
                                    <w:rPr/>
                                  </w:pPr>
                                  <w:r>
                                    <w:rPr>
                                      <w:spacing w:val="-2"/>
                                    </w:rPr>
                                    <w:t>Maximum</w:t>
                                  </w:r>
                                  <w:r>
                                    <w:rPr/>
                                    <w:t xml:space="preserve"> </w:t>
                                  </w:r>
                                </w:p>
                              </w:tc>
                              <w:tc>
                                <w:tcPr>
                                  <w:tcW w:w="109" w:type="dxa"/>
                                  <w:tcBorders>
                                    <w:bottom w:val="single" w:sz="12" w:space="0" w:color="4B5088"/>
                                  </w:tcBorders>
                                  <w:tcMar>
                                    <w:bottom w:w="28" w:type="dxa"/>
                                  </w:tcMar>
                                  <w:vAlign w:val="center"/>
                                </w:tcPr>
                                <w:p>
                                  <w:pPr>
                                    <w:pStyle w:val="TableContents"/>
                                    <w:bidi w:val="0"/>
                                    <w:spacing w:before="0" w:after="283"/>
                                    <w:jc w:val="left"/>
                                    <w:rPr/>
                                  </w:pPr>
                                  <w:r>
                                    <w:rPr/>
                                    <w:t>​</w:t>
                                  </w:r>
                                </w:p>
                              </w:tc>
                              <w:tc>
                                <w:tcPr>
                                  <w:tcW w:w="109" w:type="dxa"/>
                                  <w:tcBorders>
                                    <w:bottom w:val="single" w:sz="12" w:space="0" w:color="4B5088"/>
                                  </w:tcBorders>
                                  <w:tcMar>
                                    <w:bottom w:w="28" w:type="dxa"/>
                                  </w:tcMar>
                                  <w:vAlign w:val="center"/>
                                </w:tcPr>
                                <w:p>
                                  <w:pPr>
                                    <w:pStyle w:val="TableContents"/>
                                    <w:bidi w:val="0"/>
                                    <w:spacing w:before="0" w:after="283"/>
                                    <w:jc w:val="left"/>
                                    <w:rPr/>
                                  </w:pPr>
                                  <w:r>
                                    <w:rPr/>
                                    <w:t>​</w:t>
                                  </w:r>
                                </w:p>
                              </w:tc>
                              <w:tc>
                                <w:tcPr>
                                  <w:tcW w:w="1742" w:type="dxa"/>
                                  <w:tcBorders>
                                    <w:bottom w:val="single" w:sz="12" w:space="0" w:color="4B5088"/>
                                  </w:tcBorders>
                                  <w:tcMar>
                                    <w:bottom w:w="33" w:type="dxa"/>
                                  </w:tcMar>
                                  <w:vAlign w:val="center"/>
                                </w:tcPr>
                                <w:p>
                                  <w:pPr>
                                    <w:pStyle w:val="TableContents"/>
                                    <w:bidi w:val="0"/>
                                    <w:spacing w:before="0" w:after="0"/>
                                    <w:jc w:val="right"/>
                                    <w:rPr/>
                                  </w:pPr>
                                  <w:r>
                                    <w:rPr>
                                      <w:spacing w:val="-2"/>
                                    </w:rPr>
                                    <w:t xml:space="preserve">Projected </w:t>
                                    <w:br/>
                                    <w:t xml:space="preserve">Earned </w:t>
                                    <w:br/>
                                    <w:t>as of 12/31/2025</w:t>
                                  </w:r>
                                  <w:r>
                                    <w:rPr/>
                                    <w:t xml:space="preserve"> </w:t>
                                  </w:r>
                                </w:p>
                              </w:tc>
                              <w:tc>
                                <w:tcPr>
                                  <w:tcW w:w="154" w:type="dxa"/>
                                  <w:tcBorders>
                                    <w:bottom w:val="single" w:sz="12" w:space="0" w:color="4B508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E9F9D8"/>
                                  </w:tcBorders>
                                  <w:shd w:fill="E9F9D8" w:val="clear"/>
                                  <w:tcMar>
                                    <w:bottom w:w="70"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110" w:type="dxa"/>
                                  <w:tcBorders>
                                    <w:bottom w:val="single" w:sz="2" w:space="0" w:color="4B5088"/>
                                  </w:tcBorders>
                                  <w:tcMar>
                                    <w:bottom w:w="33" w:type="dxa"/>
                                  </w:tcMar>
                                  <w:vAlign w:val="center"/>
                                </w:tcPr>
                                <w:p>
                                  <w:pPr>
                                    <w:pStyle w:val="TableContents"/>
                                    <w:bidi w:val="0"/>
                                    <w:spacing w:before="0" w:after="0"/>
                                    <w:jc w:val="right"/>
                                    <w:rPr/>
                                  </w:pPr>
                                  <w:r>
                                    <w:rPr>
                                      <w:spacing w:val="-2"/>
                                    </w:rPr>
                                    <w:t>3,023</w:t>
                                  </w:r>
                                  <w:r>
                                    <w:rPr/>
                                    <w:t xml:space="preserve">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771" w:type="dxa"/>
                                  <w:tcBorders>
                                    <w:bottom w:val="single" w:sz="2" w:space="0" w:color="4B5088"/>
                                  </w:tcBorders>
                                  <w:tcMar>
                                    <w:bottom w:w="33" w:type="dxa"/>
                                  </w:tcMar>
                                  <w:vAlign w:val="center"/>
                                </w:tcPr>
                                <w:p>
                                  <w:pPr>
                                    <w:pStyle w:val="TableContents"/>
                                    <w:bidi w:val="0"/>
                                    <w:spacing w:before="0" w:after="0"/>
                                    <w:jc w:val="right"/>
                                    <w:rPr/>
                                  </w:pPr>
                                  <w:r>
                                    <w:rPr>
                                      <w:spacing w:val="-2"/>
                                    </w:rPr>
                                    <w:t>8,794</w:t>
                                  </w:r>
                                  <w:r>
                                    <w:rPr/>
                                    <w:t xml:space="preserve">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129" w:type="dxa"/>
                                  <w:tcBorders>
                                    <w:bottom w:val="single" w:sz="2" w:space="0" w:color="4B5088"/>
                                  </w:tcBorders>
                                  <w:tcMar>
                                    <w:bottom w:w="33" w:type="dxa"/>
                                  </w:tcMar>
                                  <w:vAlign w:val="center"/>
                                </w:tcPr>
                                <w:p>
                                  <w:pPr>
                                    <w:pStyle w:val="TableContents"/>
                                    <w:bidi w:val="0"/>
                                    <w:spacing w:before="0" w:after="0"/>
                                    <w:jc w:val="right"/>
                                    <w:rPr/>
                                  </w:pPr>
                                  <w:r>
                                    <w:rPr>
                                      <w:spacing w:val="-2"/>
                                    </w:rPr>
                                    <w:t>21,985</w:t>
                                  </w:r>
                                  <w:r>
                                    <w:rPr/>
                                    <w:t xml:space="preserve">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742" w:type="dxa"/>
                                  <w:tcBorders>
                                    <w:bottom w:val="single" w:sz="2" w:space="0" w:color="4B5088"/>
                                  </w:tcBorders>
                                  <w:tcMar>
                                    <w:bottom w:w="33" w:type="dxa"/>
                                  </w:tcMar>
                                  <w:vAlign w:val="center"/>
                                </w:tcPr>
                                <w:p>
                                  <w:pPr>
                                    <w:pStyle w:val="TableContents"/>
                                    <w:bidi w:val="0"/>
                                    <w:spacing w:before="0" w:after="0"/>
                                    <w:jc w:val="right"/>
                                    <w:rPr/>
                                  </w:pPr>
                                  <w:r>
                                    <w:rPr>
                                      <w:spacing w:val="-2"/>
                                    </w:rPr>
                                    <w:t>4,306</w:t>
                                  </w:r>
                                  <w:r>
                                    <w:rPr/>
                                    <w:t xml:space="preserve"> </w:t>
                                  </w:r>
                                </w:p>
                              </w:tc>
                              <w:tc>
                                <w:tcPr>
                                  <w:tcW w:w="154" w:type="dxa"/>
                                  <w:tcBorders>
                                    <w:bottom w:val="single" w:sz="2" w:space="0" w:color="4B5088"/>
                                  </w:tcBorders>
                                  <w:tcMar>
                                    <w:bottom w:w="28" w:type="dxa"/>
                                  </w:tcMar>
                                  <w:vAlign w:val="center"/>
                                </w:tcPr>
                                <w:p>
                                  <w:pPr>
                                    <w:pStyle w:val="TableContents"/>
                                    <w:bidi w:val="0"/>
                                    <w:spacing w:before="0" w:after="283"/>
                                    <w:jc w:val="left"/>
                                    <w:rPr/>
                                  </w:pPr>
                                  <w:r>
                                    <w:rPr/>
                                    <w:t>​</w:t>
                                  </w:r>
                                </w:p>
                              </w:tc>
                            </w:tr>
                          </w:tbl>
                          <w:tbl>
                            <w:tblPr>
                              <w:tblW w:w="10205" w:type="dxa"/>
                              <w:jc w:val="left"/>
                              <w:tblInd w:w="0" w:type="dxa"/>
                              <w:tblLayout w:type="fixed"/>
                              <w:tblCellMar>
                                <w:top w:w="0" w:type="dxa"/>
                                <w:left w:w="0" w:type="dxa"/>
                                <w:bottom w:w="28" w:type="dxa"/>
                                <w:right w:w="0" w:type="dxa"/>
                              </w:tblCellMar>
                            </w:tblPr>
                            <w:tblGrid>
                              <w:gridCol w:w="124"/>
                              <w:gridCol w:w="1179"/>
                              <w:gridCol w:w="109"/>
                              <w:gridCol w:w="109"/>
                              <w:gridCol w:w="1179"/>
                              <w:gridCol w:w="109"/>
                              <w:gridCol w:w="109"/>
                              <w:gridCol w:w="7132"/>
                              <w:gridCol w:w="155"/>
                            </w:tblGrid>
                            <w:tr>
                              <w:trPr/>
                              <w:tc>
                                <w:tcPr>
                                  <w:tcW w:w="124" w:type="dxa"/>
                                  <w:tcBorders>
                                    <w:bottom w:val="single" w:sz="2" w:space="0" w:color="4B5088"/>
                                  </w:tcBorders>
                                  <w:shd w:fill="E9F9D8" w:val="clear"/>
                                  <w:vAlign w:val="center"/>
                                </w:tcPr>
                                <w:p>
                                  <w:pPr>
                                    <w:pStyle w:val="TableContents"/>
                                    <w:bidi w:val="0"/>
                                    <w:spacing w:before="0" w:after="283"/>
                                    <w:jc w:val="left"/>
                                    <w:rPr/>
                                  </w:pPr>
                                  <w:r>
                                    <w:rPr/>
                                    <w:t>​</w:t>
                                  </w:r>
                                </w:p>
                              </w:tc>
                              <w:tc>
                                <w:tcPr>
                                  <w:tcW w:w="1179" w:type="dxa"/>
                                  <w:tcBorders>
                                    <w:bottom w:val="single" w:sz="2" w:space="0" w:color="4B5088"/>
                                  </w:tcBorders>
                                  <w:shd w:fill="E9F9D8" w:val="clear"/>
                                  <w:tcMar>
                                    <w:bottom w:w="33"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1179" w:type="dxa"/>
                                  <w:tcBorders>
                                    <w:bottom w:val="single" w:sz="2" w:space="0" w:color="4B5088"/>
                                  </w:tcBorders>
                                  <w:tcMar>
                                    <w:bottom w:w="33" w:type="dxa"/>
                                  </w:tcMar>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7132" w:type="dxa"/>
                                  <w:tcBorders>
                                    <w:bottom w:val="single" w:sz="2" w:space="0" w:color="4B5088"/>
                                  </w:tcBorders>
                                  <w:tcMar>
                                    <w:bottom w:w="33" w:type="dxa"/>
                                  </w:tcMar>
                                  <w:vAlign w:val="center"/>
                                </w:tcPr>
                                <w:p>
                                  <w:pPr>
                                    <w:pStyle w:val="TableContents"/>
                                    <w:bidi w:val="0"/>
                                    <w:spacing w:lineRule="atLeast" w:line="185" w:before="0" w:after="0"/>
                                    <w:jc w:val="left"/>
                                    <w:rPr>
                                      <w:spacing w:val="-2"/>
                                    </w:rPr>
                                  </w:pPr>
                                  <w:r>
                                    <w:rPr>
                                      <w:spacing w:val="-2"/>
                                    </w:rPr>
                                    <w:t xml:space="preserve">The actual number of LTIP units earned will be determined based on Company performance measured after the end of the full performance period ending December 31, 2027, based on three-year operational performance goals, and our three-year absolute and relative TSR, with earned LTIP units vesting as of December 31, 2027. </w:t>
                                  </w:r>
                                </w:p>
                              </w:tc>
                              <w:tc>
                                <w:tcPr>
                                  <w:tcW w:w="155" w:type="dxa"/>
                                  <w:tcBorders>
                                    <w:bottom w:val="single" w:sz="2" w:space="0" w:color="4B5088"/>
                                  </w:tcBorders>
                                  <w:vAlign w:val="center"/>
                                </w:tcPr>
                                <w:p>
                                  <w:pPr>
                                    <w:pStyle w:val="TableContents"/>
                                    <w:bidi w:val="0"/>
                                    <w:spacing w:before="0" w:after="283"/>
                                    <w:jc w:val="left"/>
                                    <w:rPr/>
                                  </w:pPr>
                                  <w:r>
                                    <w:rPr/>
                                    <w:t>​</w:t>
                                  </w:r>
                                </w:p>
                              </w:tc>
                            </w:tr>
                            <w:tr>
                              <w:trPr/>
                              <w:tc>
                                <w:tcPr>
                                  <w:tcW w:w="124" w:type="dxa"/>
                                  <w:tcBorders>
                                    <w:bottom w:val="single" w:sz="2" w:space="0" w:color="4B5088"/>
                                  </w:tcBorders>
                                  <w:shd w:fill="E9F9D8" w:val="clear"/>
                                  <w:vAlign w:val="center"/>
                                </w:tcPr>
                                <w:p>
                                  <w:pPr>
                                    <w:pStyle w:val="TableContents"/>
                                    <w:bidi w:val="0"/>
                                    <w:spacing w:before="0" w:after="283"/>
                                    <w:jc w:val="left"/>
                                    <w:rPr/>
                                  </w:pPr>
                                  <w:r>
                                    <w:rPr/>
                                    <w:t>​</w:t>
                                  </w:r>
                                </w:p>
                              </w:tc>
                              <w:tc>
                                <w:tcPr>
                                  <w:tcW w:w="1179" w:type="dxa"/>
                                  <w:tcBorders>
                                    <w:bottom w:val="single" w:sz="2" w:space="0" w:color="4B5088"/>
                                  </w:tcBorders>
                                  <w:shd w:fill="E9F9D8" w:val="clear"/>
                                  <w:tcMar>
                                    <w:bottom w:w="82" w:type="dxa"/>
                                  </w:tcMar>
                                  <w:vAlign w:val="center"/>
                                </w:tcPr>
                                <w:p>
                                  <w:pPr>
                                    <w:pStyle w:val="TableContents"/>
                                    <w:bidi w:val="0"/>
                                    <w:spacing w:before="0" w:after="0"/>
                                    <w:jc w:val="left"/>
                                    <w:rPr>
                                      <w:color w:val="1F2668"/>
                                      <w:sz w:val="36"/>
                                    </w:rPr>
                                  </w:pPr>
                                  <w:r>
                                    <w:rPr>
                                      <w:color w:val="1F2668"/>
                                      <w:sz w:val="36"/>
                                    </w:rPr>
                                    <w:t>39%</w:t>
                                  </w:r>
                                </w:p>
                                <w:p>
                                  <w:pPr>
                                    <w:pStyle w:val="TableContents"/>
                                    <w:bidi w:val="0"/>
                                    <w:spacing w:lineRule="atLeast" w:line="220" w:before="40" w:after="283"/>
                                    <w:jc w:val="left"/>
                                    <w:rPr>
                                      <w:b/>
                                      <w:sz w:val="18"/>
                                    </w:rPr>
                                  </w:pPr>
                                  <w:r>
                                    <w:rPr>
                                      <w:b/>
                                      <w:spacing w:val="-2"/>
                                      <w:sz w:val="18"/>
                                    </w:rPr>
                                    <w:t>$1,450,000</w:t>
                                  </w:r>
                                  <w:r>
                                    <w:rPr>
                                      <w:b/>
                                      <w:sz w:val="18"/>
                                    </w:rPr>
                                    <w:t xml:space="preserve"> </w:t>
                                  </w:r>
                                </w:p>
                              </w:tc>
                              <w:tc>
                                <w:tcPr>
                                  <w:tcW w:w="109" w:type="dxa"/>
                                  <w:tcBorders>
                                    <w:bottom w:val="single" w:sz="2" w:space="0" w:color="4B5088"/>
                                  </w:tcBorders>
                                  <w:shd w:fill="E9F9D8" w:val="clear"/>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1179" w:type="dxa"/>
                                  <w:tcBorders>
                                    <w:bottom w:val="single" w:sz="2" w:space="0" w:color="4B5088"/>
                                  </w:tcBorders>
                                  <w:tcMar>
                                    <w:bottom w:w="82" w:type="dxa"/>
                                  </w:tcMar>
                                  <w:vAlign w:val="center"/>
                                </w:tcPr>
                                <w:p>
                                  <w:pPr>
                                    <w:pStyle w:val="TableContents"/>
                                    <w:bidi w:val="0"/>
                                    <w:spacing w:before="0" w:after="0"/>
                                    <w:jc w:val="left"/>
                                    <w:rPr>
                                      <w:color w:val="1F2668"/>
                                      <w:sz w:val="36"/>
                                    </w:rPr>
                                  </w:pPr>
                                  <w:r>
                                    <w:rPr>
                                      <w:color w:val="1F2668"/>
                                      <w:sz w:val="36"/>
                                    </w:rPr>
                                    <w:t>42%</w:t>
                                  </w:r>
                                </w:p>
                                <w:p>
                                  <w:pPr>
                                    <w:pStyle w:val="TableContents"/>
                                    <w:bidi w:val="0"/>
                                    <w:spacing w:lineRule="atLeast" w:line="220" w:before="40" w:after="283"/>
                                    <w:jc w:val="left"/>
                                    <w:rPr>
                                      <w:b/>
                                      <w:sz w:val="18"/>
                                    </w:rPr>
                                  </w:pPr>
                                  <w:r>
                                    <w:rPr>
                                      <w:b/>
                                      <w:spacing w:val="-2"/>
                                      <w:sz w:val="18"/>
                                    </w:rPr>
                                    <w:t>$1,458,629</w:t>
                                  </w:r>
                                  <w:r>
                                    <w:rPr>
                                      <w:b/>
                                      <w:sz w:val="18"/>
                                    </w:rPr>
                                    <w:t xml:space="preserve"> </w:t>
                                  </w:r>
                                </w:p>
                              </w:tc>
                              <w:tc>
                                <w:tcPr>
                                  <w:tcW w:w="109"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7132" w:type="dxa"/>
                                  <w:tcBorders>
                                    <w:bottom w:val="single" w:sz="2" w:space="0" w:color="4B5088"/>
                                  </w:tcBorders>
                                  <w:tcMar>
                                    <w:bottom w:w="82" w:type="dxa"/>
                                  </w:tcMar>
                                  <w:vAlign w:val="center"/>
                                </w:tcPr>
                                <w:p>
                                  <w:pPr>
                                    <w:pStyle w:val="TableContents"/>
                                    <w:bidi w:val="0"/>
                                    <w:spacing w:lineRule="atLeast" w:line="195" w:before="0" w:after="0"/>
                                    <w:jc w:val="left"/>
                                    <w:rPr>
                                      <w:b/>
                                      <w:sz w:val="18"/>
                                    </w:rPr>
                                  </w:pPr>
                                  <w:r>
                                    <w:rPr>
                                      <w:b/>
                                      <w:spacing w:val="-2"/>
                                      <w:sz w:val="18"/>
                                    </w:rPr>
                                    <w:t>Time-Based Equity Awards</w:t>
                                  </w:r>
                                  <w:r>
                                    <w:rPr>
                                      <w:b/>
                                      <w:sz w:val="18"/>
                                    </w:rPr>
                                    <w:t xml:space="preserve"> </w:t>
                                  </w:r>
                                </w:p>
                                <w:p>
                                  <w:pPr>
                                    <w:pStyle w:val="TableContents"/>
                                    <w:bidi w:val="0"/>
                                    <w:spacing w:lineRule="atLeast" w:line="185" w:before="15" w:after="283"/>
                                    <w:jc w:val="left"/>
                                    <w:rPr/>
                                  </w:pPr>
                                  <w:r>
                                    <w:rPr>
                                      <w:spacing w:val="-2"/>
                                    </w:rPr>
                                    <w:t xml:space="preserve">The Committee granted time-based awards in February 2026 based on the Company’s 2025 performance. The awards had a target value of </w:t>
                                  </w:r>
                                  <w:r>
                                    <w:rPr>
                                      <w:b/>
                                      <w:spacing w:val="-2"/>
                                    </w:rPr>
                                    <w:t>$1,450,000</w:t>
                                  </w:r>
                                  <w:r>
                                    <w:rPr>
                                      <w:spacing w:val="-2"/>
                                    </w:rPr>
                                    <w:t xml:space="preserve">. The corresponding </w:t>
                                  </w:r>
                                  <w:r>
                                    <w:rPr>
                                      <w:b/>
                                      <w:spacing w:val="-2"/>
                                    </w:rPr>
                                    <w:t>32,012</w:t>
                                  </w:r>
                                  <w:r>
                                    <w:rPr>
                                      <w:spacing w:val="-2"/>
                                    </w:rPr>
                                    <w:t xml:space="preserve"> LTIP units vest in two equal installments on January 1, 2027 and January 1, 2028, subject to continued employment.</w:t>
                                  </w:r>
                                  <w:r>
                                    <w:rPr/>
                                    <w:t xml:space="preserve"> </w:t>
                                  </w:r>
                                </w:p>
                                <w:p>
                                  <w:pPr>
                                    <w:pStyle w:val="TableContents"/>
                                    <w:bidi w:val="0"/>
                                    <w:spacing w:lineRule="atLeast" w:line="185" w:before="60" w:after="283"/>
                                    <w:jc w:val="left"/>
                                    <w:rPr>
                                      <w:b/>
                                    </w:rPr>
                                  </w:pPr>
                                  <w:r>
                                    <w:rPr>
                                      <w:b/>
                                      <w:spacing w:val="-2"/>
                                    </w:rPr>
                                    <w:t>The SCT amount represents the grant date value of the awards granted retrospectively in January 2025 based on the Company’s 2024 performance</w:t>
                                  </w:r>
                                  <w:r>
                                    <w:rPr>
                                      <w:b w:val="false"/>
                                      <w:spacing w:val="-2"/>
                                    </w:rPr>
                                    <w:t xml:space="preserve">. </w:t>
                                  </w:r>
                                </w:p>
                              </w:tc>
                              <w:tc>
                                <w:tcPr>
                                  <w:tcW w:w="155" w:type="dxa"/>
                                  <w:tcBorders>
                                    <w:bottom w:val="single" w:sz="2" w:space="0" w:color="4B5088"/>
                                  </w:tcBorders>
                                  <w:vAlign w:val="center"/>
                                </w:tcPr>
                                <w:p>
                                  <w:pPr>
                                    <w:pStyle w:val="TableContents"/>
                                    <w:bidi w:val="0"/>
                                    <w:spacing w:before="0" w:after="283"/>
                                    <w:jc w:val="left"/>
                                    <w:rPr/>
                                  </w:pPr>
                                  <w:r>
                                    <w:rPr/>
                                    <w:t>​</w:t>
                                  </w:r>
                                </w:p>
                              </w:tc>
                            </w:tr>
                            <w:tr>
                              <w:trPr/>
                              <w:tc>
                                <w:tcPr>
                                  <w:tcW w:w="124" w:type="dxa"/>
                                  <w:tcBorders>
                                    <w:bottom w:val="single" w:sz="2" w:space="0" w:color="4B5088"/>
                                  </w:tcBorders>
                                  <w:shd w:fill="E9F9D8" w:val="clear"/>
                                  <w:vAlign w:val="center"/>
                                </w:tcPr>
                                <w:p>
                                  <w:pPr>
                                    <w:pStyle w:val="TableContents"/>
                                    <w:bidi w:val="0"/>
                                    <w:spacing w:before="0" w:after="283"/>
                                    <w:jc w:val="left"/>
                                    <w:rPr/>
                                  </w:pPr>
                                  <w:r>
                                    <w:rPr/>
                                    <w:t>​</w:t>
                                  </w:r>
                                </w:p>
                              </w:tc>
                              <w:tc>
                                <w:tcPr>
                                  <w:tcW w:w="1179" w:type="dxa"/>
                                  <w:tcBorders>
                                    <w:bottom w:val="single" w:sz="2" w:space="0" w:color="4B5088"/>
                                  </w:tcBorders>
                                  <w:shd w:fill="E9F9D8" w:val="clear"/>
                                  <w:tcMar>
                                    <w:bottom w:w="82" w:type="dxa"/>
                                  </w:tcMar>
                                  <w:vAlign w:val="center"/>
                                </w:tcPr>
                                <w:p>
                                  <w:pPr>
                                    <w:pStyle w:val="TableContents"/>
                                    <w:bidi w:val="0"/>
                                    <w:spacing w:before="0" w:after="0"/>
                                    <w:jc w:val="left"/>
                                    <w:rPr>
                                      <w:color w:val="1F2668"/>
                                      <w:sz w:val="36"/>
                                    </w:rPr>
                                  </w:pPr>
                                  <w:r>
                                    <w:rPr>
                                      <w:color w:val="1F2668"/>
                                      <w:sz w:val="36"/>
                                    </w:rPr>
                                    <w:t>100%</w:t>
                                  </w:r>
                                </w:p>
                                <w:p>
                                  <w:pPr>
                                    <w:pStyle w:val="TableContents"/>
                                    <w:bidi w:val="0"/>
                                    <w:spacing w:lineRule="atLeast" w:line="220" w:before="40" w:after="283"/>
                                    <w:jc w:val="left"/>
                                    <w:rPr>
                                      <w:b/>
                                    </w:rPr>
                                  </w:pPr>
                                  <w:r>
                                    <w:rPr>
                                      <w:b/>
                                      <w:spacing w:val="-2"/>
                                    </w:rPr>
                                    <w:t>$3,764,000</w:t>
                                  </w:r>
                                  <w:r>
                                    <w:rPr>
                                      <w:b/>
                                    </w:rPr>
                                    <w:t xml:space="preserve"> </w:t>
                                  </w:r>
                                </w:p>
                              </w:tc>
                              <w:tc>
                                <w:tcPr>
                                  <w:tcW w:w="109" w:type="dxa"/>
                                  <w:tcBorders>
                                    <w:bottom w:val="single" w:sz="2" w:space="0" w:color="4B5088"/>
                                  </w:tcBorders>
                                  <w:shd w:fill="E9F9D8" w:val="clear"/>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1179" w:type="dxa"/>
                                  <w:tcBorders>
                                    <w:bottom w:val="single" w:sz="2" w:space="0" w:color="4B5088"/>
                                  </w:tcBorders>
                                  <w:tcMar>
                                    <w:bottom w:w="82" w:type="dxa"/>
                                  </w:tcMar>
                                  <w:vAlign w:val="center"/>
                                </w:tcPr>
                                <w:p>
                                  <w:pPr>
                                    <w:pStyle w:val="TableContents"/>
                                    <w:bidi w:val="0"/>
                                    <w:spacing w:before="0" w:after="0"/>
                                    <w:jc w:val="left"/>
                                    <w:rPr>
                                      <w:color w:val="1F2668"/>
                                      <w:sz w:val="36"/>
                                    </w:rPr>
                                  </w:pPr>
                                  <w:r>
                                    <w:rPr>
                                      <w:color w:val="1F2668"/>
                                      <w:sz w:val="36"/>
                                    </w:rPr>
                                    <w:t>100%</w:t>
                                  </w:r>
                                </w:p>
                                <w:p>
                                  <w:pPr>
                                    <w:pStyle w:val="TableContents"/>
                                    <w:bidi w:val="0"/>
                                    <w:spacing w:lineRule="atLeast" w:line="220" w:before="40" w:after="283"/>
                                    <w:jc w:val="left"/>
                                    <w:rPr>
                                      <w:b/>
                                    </w:rPr>
                                  </w:pPr>
                                  <w:r>
                                    <w:rPr>
                                      <w:b/>
                                      <w:spacing w:val="-2"/>
                                    </w:rPr>
                                    <w:t>$3,472,353</w:t>
                                  </w:r>
                                  <w:r>
                                    <w:rPr>
                                      <w:b/>
                                    </w:rPr>
                                    <w:t xml:space="preserve"> </w:t>
                                  </w:r>
                                </w:p>
                              </w:tc>
                              <w:tc>
                                <w:tcPr>
                                  <w:tcW w:w="109"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7132" w:type="dxa"/>
                                  <w:tcBorders>
                                    <w:bottom w:val="single" w:sz="2" w:space="0" w:color="4B5088"/>
                                  </w:tcBorders>
                                  <w:tcMar>
                                    <w:bottom w:w="82" w:type="dxa"/>
                                  </w:tcMar>
                                  <w:vAlign w:val="center"/>
                                </w:tcPr>
                                <w:p>
                                  <w:pPr>
                                    <w:pStyle w:val="TableContents"/>
                                    <w:bidi w:val="0"/>
                                    <w:spacing w:lineRule="atLeast" w:line="185" w:before="0" w:after="0"/>
                                    <w:jc w:val="left"/>
                                    <w:rPr>
                                      <w:sz w:val="17"/>
                                    </w:rPr>
                                  </w:pPr>
                                  <w:r>
                                    <w:rPr>
                                      <w:spacing w:val="-2"/>
                                      <w:sz w:val="17"/>
                                    </w:rPr>
                                    <w:t>Both totals include $14,000 of “Other Compensation,” as reflected in the Summary Compensation Table.</w:t>
                                  </w:r>
                                  <w:r>
                                    <w:rPr>
                                      <w:sz w:val="17"/>
                                    </w:rPr>
                                    <w:t xml:space="preserve"> </w:t>
                                  </w:r>
                                </w:p>
                              </w:tc>
                              <w:tc>
                                <w:tcPr>
                                  <w:tcW w:w="155" w:type="dxa"/>
                                  <w:tcBorders>
                                    <w:bottom w:val="single" w:sz="2" w:space="0" w:color="4B5088"/>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47pt;height:785.2pt;mso-wrap-distance-left:16pt;mso-wrap-distance-right:0pt;mso-wrap-distance-top:0pt;mso-wrap-distance-bottom:0pt;margin-top:0pt;mso-position-vertical:top;mso-position-vertical-relative:text;margin-left:16pt;mso-position-horizontal:left;mso-position-horizontal-relative:text">
                <v:textbox>
                  <w:txbxContent>
                    <w:p>
                      <w:pPr>
                        <w:pStyle w:val="TextBody"/>
                        <w:bidi w:val="0"/>
                        <w:spacing w:lineRule="atLeast" w:line="260" w:before="260" w:after="283"/>
                        <w:jc w:val="left"/>
                        <w:rPr>
                          <w:b/>
                          <w:color w:val="83AD40"/>
                          <w:sz w:val="22"/>
                        </w:rPr>
                      </w:pPr>
                      <w:r>
                        <w:rPr>
                          <w:b/>
                          <w:color w:val="83AD40"/>
                          <w:spacing w:val="-2"/>
                          <w:sz w:val="22"/>
                        </w:rPr>
                        <w:t xml:space="preserve">2025 Performance and Compensation— </w:t>
                        <w:br/>
                        <w:t>Total Direct Compensation vs. Summary Compensation Table</w:t>
                      </w:r>
                      <w:r>
                        <w:rPr>
                          <w:b/>
                          <w:color w:val="000000"/>
                          <w:spacing w:val="4"/>
                          <w:sz w:val="22"/>
                        </w:rPr>
                        <w:t xml:space="preserve"> </w:t>
                      </w:r>
                    </w:p>
                    <w:tbl>
                      <w:tblPr>
                        <w:tblW w:w="10205" w:type="dxa"/>
                        <w:jc w:val="left"/>
                        <w:tblInd w:w="0" w:type="dxa"/>
                        <w:tblLayout w:type="fixed"/>
                        <w:tblCellMar>
                          <w:top w:w="0" w:type="dxa"/>
                          <w:left w:w="0" w:type="dxa"/>
                          <w:bottom w:w="28" w:type="dxa"/>
                          <w:right w:w="0" w:type="dxa"/>
                        </w:tblCellMar>
                      </w:tblPr>
                      <w:tblGrid>
                        <w:gridCol w:w="124"/>
                        <w:gridCol w:w="902"/>
                        <w:gridCol w:w="109"/>
                        <w:gridCol w:w="109"/>
                        <w:gridCol w:w="771"/>
                        <w:gridCol w:w="109"/>
                        <w:gridCol w:w="109"/>
                        <w:gridCol w:w="7816"/>
                        <w:gridCol w:w="156"/>
                      </w:tblGrid>
                      <w:tr>
                        <w:trPr/>
                        <w:tc>
                          <w:tcPr>
                            <w:tcW w:w="124" w:type="dxa"/>
                            <w:tcBorders>
                              <w:bottom w:val="single" w:sz="8" w:space="0" w:color="1F2668"/>
                            </w:tcBorders>
                            <w:shd w:fill="E9F9D8" w:val="clear"/>
                            <w:vAlign w:val="center"/>
                          </w:tcPr>
                          <w:p>
                            <w:pPr>
                              <w:pStyle w:val="TableContents"/>
                              <w:bidi w:val="0"/>
                              <w:spacing w:before="0" w:after="283"/>
                              <w:jc w:val="left"/>
                              <w:rPr/>
                            </w:pPr>
                            <w:r>
                              <w:rPr/>
                              <w:t>​</w:t>
                            </w:r>
                          </w:p>
                        </w:tc>
                        <w:tc>
                          <w:tcPr>
                            <w:tcW w:w="902" w:type="dxa"/>
                            <w:tcBorders>
                              <w:bottom w:val="single" w:sz="8" w:space="0" w:color="1F2668"/>
                            </w:tcBorders>
                            <w:shd w:fill="E9F9D8" w:val="clear"/>
                            <w:tcMar>
                              <w:bottom w:w="50" w:type="dxa"/>
                            </w:tcMar>
                            <w:vAlign w:val="center"/>
                          </w:tcPr>
                          <w:p>
                            <w:pPr>
                              <w:pStyle w:val="TableContents"/>
                              <w:bidi w:val="0"/>
                              <w:spacing w:before="0" w:after="0"/>
                              <w:jc w:val="left"/>
                              <w:rPr>
                                <w:spacing w:val="-2"/>
                              </w:rPr>
                            </w:pPr>
                            <w:r>
                              <w:rPr>
                                <w:spacing w:val="-2"/>
                              </w:rPr>
                              <w:t xml:space="preserve">TDC </w:t>
                            </w:r>
                          </w:p>
                        </w:tc>
                        <w:tc>
                          <w:tcPr>
                            <w:tcW w:w="109" w:type="dxa"/>
                            <w:tcBorders>
                              <w:bottom w:val="single" w:sz="8" w:space="0" w:color="1F2668"/>
                            </w:tcBorders>
                            <w:shd w:fill="E9F9D8" w:val="clear"/>
                            <w:vAlign w:val="center"/>
                          </w:tcPr>
                          <w:p>
                            <w:pPr>
                              <w:pStyle w:val="TableContents"/>
                              <w:bidi w:val="0"/>
                              <w:spacing w:before="0" w:after="283"/>
                              <w:jc w:val="left"/>
                              <w:rPr/>
                            </w:pPr>
                            <w:r>
                              <w:rPr/>
                              <w:t>​</w:t>
                            </w:r>
                          </w:p>
                        </w:tc>
                        <w:tc>
                          <w:tcPr>
                            <w:tcW w:w="109" w:type="dxa"/>
                            <w:tcBorders>
                              <w:bottom w:val="single" w:sz="8" w:space="0" w:color="1F2668"/>
                            </w:tcBorders>
                            <w:vAlign w:val="center"/>
                          </w:tcPr>
                          <w:p>
                            <w:pPr>
                              <w:pStyle w:val="TableContents"/>
                              <w:bidi w:val="0"/>
                              <w:spacing w:before="0" w:after="283"/>
                              <w:jc w:val="left"/>
                              <w:rPr/>
                            </w:pPr>
                            <w:r>
                              <w:rPr/>
                              <w:t>​</w:t>
                            </w:r>
                          </w:p>
                        </w:tc>
                        <w:tc>
                          <w:tcPr>
                            <w:tcW w:w="771" w:type="dxa"/>
                            <w:tcBorders>
                              <w:bottom w:val="single" w:sz="8" w:space="0" w:color="1F2668"/>
                            </w:tcBorders>
                            <w:tcMar>
                              <w:bottom w:w="50" w:type="dxa"/>
                            </w:tcMar>
                            <w:vAlign w:val="center"/>
                          </w:tcPr>
                          <w:p>
                            <w:pPr>
                              <w:pStyle w:val="TableContents"/>
                              <w:bidi w:val="0"/>
                              <w:spacing w:before="0" w:after="0"/>
                              <w:jc w:val="left"/>
                              <w:rPr>
                                <w:spacing w:val="-2"/>
                              </w:rPr>
                            </w:pPr>
                            <w:r>
                              <w:rPr>
                                <w:spacing w:val="-2"/>
                              </w:rPr>
                              <w:t xml:space="preserve">SCT </w:t>
                            </w:r>
                          </w:p>
                        </w:tc>
                        <w:tc>
                          <w:tcPr>
                            <w:tcW w:w="109" w:type="dxa"/>
                            <w:tcBorders>
                              <w:bottom w:val="single" w:sz="8" w:space="0" w:color="1F2668"/>
                            </w:tcBorders>
                            <w:vAlign w:val="center"/>
                          </w:tcPr>
                          <w:p>
                            <w:pPr>
                              <w:pStyle w:val="TableContents"/>
                              <w:bidi w:val="0"/>
                              <w:spacing w:before="0" w:after="283"/>
                              <w:jc w:val="left"/>
                              <w:rPr/>
                            </w:pPr>
                            <w:r>
                              <w:rPr/>
                              <w:t>​</w:t>
                            </w:r>
                          </w:p>
                        </w:tc>
                        <w:tc>
                          <w:tcPr>
                            <w:tcW w:w="109" w:type="dxa"/>
                            <w:tcBorders>
                              <w:bottom w:val="single" w:sz="8" w:space="0" w:color="1F2668"/>
                            </w:tcBorders>
                            <w:vAlign w:val="center"/>
                          </w:tcPr>
                          <w:p>
                            <w:pPr>
                              <w:pStyle w:val="TableContents"/>
                              <w:bidi w:val="0"/>
                              <w:spacing w:before="0" w:after="283"/>
                              <w:jc w:val="left"/>
                              <w:rPr/>
                            </w:pPr>
                            <w:r>
                              <w:rPr/>
                              <w:t>​</w:t>
                            </w:r>
                          </w:p>
                        </w:tc>
                        <w:tc>
                          <w:tcPr>
                            <w:tcW w:w="7816" w:type="dxa"/>
                            <w:tcBorders>
                              <w:bottom w:val="single" w:sz="8" w:space="0" w:color="1F2668"/>
                            </w:tcBorders>
                            <w:tcMar>
                              <w:bottom w:w="50" w:type="dxa"/>
                            </w:tcMar>
                            <w:vAlign w:val="center"/>
                          </w:tcPr>
                          <w:p>
                            <w:pPr>
                              <w:pStyle w:val="TableContents"/>
                              <w:bidi w:val="0"/>
                              <w:spacing w:before="0" w:after="0"/>
                              <w:jc w:val="left"/>
                              <w:rPr>
                                <w:spacing w:val="-2"/>
                              </w:rPr>
                            </w:pPr>
                            <w:r>
                              <w:rPr>
                                <w:spacing w:val="-2"/>
                              </w:rPr>
                              <w:t xml:space="preserve">Element of Compensation </w:t>
                            </w:r>
                          </w:p>
                        </w:tc>
                        <w:tc>
                          <w:tcPr>
                            <w:tcW w:w="156" w:type="dxa"/>
                            <w:tcBorders>
                              <w:bottom w:val="single" w:sz="8" w:space="0" w:color="1F2668"/>
                            </w:tcBorders>
                            <w:vAlign w:val="center"/>
                          </w:tcPr>
                          <w:p>
                            <w:pPr>
                              <w:pStyle w:val="TableContents"/>
                              <w:bidi w:val="0"/>
                              <w:spacing w:before="0" w:after="283"/>
                              <w:jc w:val="left"/>
                              <w:rPr/>
                            </w:pPr>
                            <w:r>
                              <w:rPr/>
                              <w:t>​</w:t>
                            </w:r>
                          </w:p>
                        </w:tc>
                      </w:tr>
                      <w:tr>
                        <w:trPr/>
                        <w:tc>
                          <w:tcPr>
                            <w:tcW w:w="124" w:type="dxa"/>
                            <w:tcBorders>
                              <w:bottom w:val="single" w:sz="2" w:space="0" w:color="4B5088"/>
                            </w:tcBorders>
                            <w:shd w:fill="E9F9D8" w:val="clear"/>
                            <w:vAlign w:val="center"/>
                          </w:tcPr>
                          <w:p>
                            <w:pPr>
                              <w:pStyle w:val="TableContents"/>
                              <w:bidi w:val="0"/>
                              <w:spacing w:before="0" w:after="283"/>
                              <w:jc w:val="left"/>
                              <w:rPr/>
                            </w:pPr>
                            <w:r>
                              <w:rPr/>
                              <w:t>​</w:t>
                            </w:r>
                          </w:p>
                        </w:tc>
                        <w:tc>
                          <w:tcPr>
                            <w:tcW w:w="902" w:type="dxa"/>
                            <w:tcBorders>
                              <w:bottom w:val="single" w:sz="2" w:space="0" w:color="4B5088"/>
                            </w:tcBorders>
                            <w:shd w:fill="E9F9D8" w:val="clear"/>
                            <w:tcMar>
                              <w:bottom w:w="68" w:type="dxa"/>
                            </w:tcMar>
                            <w:vAlign w:val="center"/>
                          </w:tcPr>
                          <w:p>
                            <w:pPr>
                              <w:pStyle w:val="TableContents"/>
                              <w:bidi w:val="0"/>
                              <w:spacing w:before="0" w:after="0"/>
                              <w:jc w:val="left"/>
                              <w:rPr>
                                <w:color w:val="1F2668"/>
                                <w:sz w:val="36"/>
                              </w:rPr>
                            </w:pPr>
                            <w:r>
                              <w:rPr>
                                <w:color w:val="1F2668"/>
                                <w:sz w:val="36"/>
                              </w:rPr>
                              <w:t>16%</w:t>
                            </w:r>
                          </w:p>
                          <w:p>
                            <w:pPr>
                              <w:pStyle w:val="TableContents"/>
                              <w:bidi w:val="0"/>
                              <w:spacing w:lineRule="atLeast" w:line="200" w:before="20" w:after="283"/>
                              <w:jc w:val="left"/>
                              <w:rPr>
                                <w:b/>
                                <w:sz w:val="18"/>
                              </w:rPr>
                            </w:pPr>
                            <w:r>
                              <w:rPr>
                                <w:b/>
                                <w:spacing w:val="-2"/>
                                <w:sz w:val="18"/>
                              </w:rPr>
                              <w:t>$600,000</w:t>
                            </w:r>
                            <w:r>
                              <w:rPr>
                                <w:b/>
                                <w:sz w:val="18"/>
                              </w:rPr>
                              <w:t xml:space="preserve"> </w:t>
                            </w:r>
                          </w:p>
                        </w:tc>
                        <w:tc>
                          <w:tcPr>
                            <w:tcW w:w="109" w:type="dxa"/>
                            <w:tcBorders>
                              <w:bottom w:val="single" w:sz="2" w:space="0" w:color="4B5088"/>
                            </w:tcBorders>
                            <w:shd w:fill="E9F9D8" w:val="clear"/>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771" w:type="dxa"/>
                            <w:tcBorders>
                              <w:bottom w:val="single" w:sz="2" w:space="0" w:color="4B5088"/>
                            </w:tcBorders>
                            <w:tcMar>
                              <w:bottom w:w="68" w:type="dxa"/>
                            </w:tcMar>
                            <w:vAlign w:val="center"/>
                          </w:tcPr>
                          <w:p>
                            <w:pPr>
                              <w:pStyle w:val="TableContents"/>
                              <w:bidi w:val="0"/>
                              <w:spacing w:before="0" w:after="0"/>
                              <w:jc w:val="left"/>
                              <w:rPr>
                                <w:color w:val="1F2668"/>
                                <w:sz w:val="36"/>
                              </w:rPr>
                            </w:pPr>
                            <w:r>
                              <w:rPr>
                                <w:color w:val="1F2668"/>
                                <w:sz w:val="36"/>
                              </w:rPr>
                              <w:t>18%</w:t>
                            </w:r>
                          </w:p>
                          <w:p>
                            <w:pPr>
                              <w:pStyle w:val="TableContents"/>
                              <w:bidi w:val="0"/>
                              <w:spacing w:lineRule="atLeast" w:line="200" w:before="20" w:after="283"/>
                              <w:jc w:val="left"/>
                              <w:rPr>
                                <w:b/>
                                <w:sz w:val="18"/>
                              </w:rPr>
                            </w:pPr>
                            <w:r>
                              <w:rPr>
                                <w:b/>
                                <w:spacing w:val="-2"/>
                                <w:sz w:val="18"/>
                              </w:rPr>
                              <w:t>$600,000</w:t>
                            </w:r>
                            <w:r>
                              <w:rPr>
                                <w:b/>
                                <w:sz w:val="18"/>
                              </w:rPr>
                              <w:t xml:space="preserve"> </w:t>
                            </w:r>
                          </w:p>
                        </w:tc>
                        <w:tc>
                          <w:tcPr>
                            <w:tcW w:w="109"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7816" w:type="dxa"/>
                            <w:tcBorders>
                              <w:bottom w:val="single" w:sz="2" w:space="0" w:color="4B5088"/>
                            </w:tcBorders>
                            <w:tcMar>
                              <w:bottom w:w="68" w:type="dxa"/>
                            </w:tcMar>
                            <w:vAlign w:val="center"/>
                          </w:tcPr>
                          <w:p>
                            <w:pPr>
                              <w:pStyle w:val="TableContents"/>
                              <w:bidi w:val="0"/>
                              <w:spacing w:lineRule="atLeast" w:line="200" w:before="0" w:after="0"/>
                              <w:jc w:val="left"/>
                              <w:rPr>
                                <w:b/>
                                <w:sz w:val="18"/>
                              </w:rPr>
                            </w:pPr>
                            <w:r>
                              <w:rPr>
                                <w:b/>
                                <w:spacing w:val="-2"/>
                                <w:sz w:val="18"/>
                              </w:rPr>
                              <w:t>Annual Base Salary</w:t>
                            </w:r>
                            <w:r>
                              <w:rPr>
                                <w:b/>
                                <w:sz w:val="18"/>
                              </w:rPr>
                              <w:t xml:space="preserve"> </w:t>
                            </w:r>
                          </w:p>
                          <w:p>
                            <w:pPr>
                              <w:pStyle w:val="TableContents"/>
                              <w:bidi w:val="0"/>
                              <w:spacing w:lineRule="atLeast" w:line="190" w:before="20" w:after="283"/>
                              <w:jc w:val="left"/>
                              <w:rPr>
                                <w:spacing w:val="-2"/>
                              </w:rPr>
                            </w:pPr>
                            <w:r>
                              <w:rPr>
                                <w:spacing w:val="-2"/>
                              </w:rPr>
                              <w:t xml:space="preserve">Mr. Levine’s base salary was equal to the minimum set forth in his employment agreement. In connection with Mr. Levine’s new employment agreement, his base salary increased by 3.3% year-over year to bring it in line with market. Prior to 2025, there had been no change to his base salary since 2019. </w:t>
                            </w:r>
                          </w:p>
                        </w:tc>
                        <w:tc>
                          <w:tcPr>
                            <w:tcW w:w="156" w:type="dxa"/>
                            <w:tcBorders>
                              <w:bottom w:val="single" w:sz="2" w:space="0" w:color="4B5088"/>
                            </w:tcBorders>
                            <w:vAlign w:val="center"/>
                          </w:tcPr>
                          <w:p>
                            <w:pPr>
                              <w:pStyle w:val="TableContents"/>
                              <w:bidi w:val="0"/>
                              <w:spacing w:before="0" w:after="283"/>
                              <w:jc w:val="left"/>
                              <w:rPr/>
                            </w:pPr>
                            <w:r>
                              <w:rPr/>
                              <w:t>​</w:t>
                            </w:r>
                          </w:p>
                        </w:tc>
                      </w:tr>
                      <w:tr>
                        <w:trPr/>
                        <w:tc>
                          <w:tcPr>
                            <w:tcW w:w="124" w:type="dxa"/>
                            <w:tcBorders>
                              <w:bottom w:val="single" w:sz="2" w:space="0" w:color="4B5088"/>
                            </w:tcBorders>
                            <w:shd w:fill="E9F9D8" w:val="clear"/>
                            <w:vAlign w:val="center"/>
                          </w:tcPr>
                          <w:p>
                            <w:pPr>
                              <w:pStyle w:val="TableContents"/>
                              <w:bidi w:val="0"/>
                              <w:spacing w:before="0" w:after="283"/>
                              <w:jc w:val="left"/>
                              <w:rPr/>
                            </w:pPr>
                            <w:r>
                              <w:rPr/>
                              <w:t>​</w:t>
                            </w:r>
                          </w:p>
                        </w:tc>
                        <w:tc>
                          <w:tcPr>
                            <w:tcW w:w="902" w:type="dxa"/>
                            <w:tcBorders>
                              <w:bottom w:val="single" w:sz="2" w:space="0" w:color="4B5088"/>
                            </w:tcBorders>
                            <w:shd w:fill="E9F9D8" w:val="clear"/>
                            <w:tcMar>
                              <w:bottom w:w="68" w:type="dxa"/>
                            </w:tcMar>
                            <w:vAlign w:val="center"/>
                          </w:tcPr>
                          <w:p>
                            <w:pPr>
                              <w:pStyle w:val="TableContents"/>
                              <w:bidi w:val="0"/>
                              <w:spacing w:before="0" w:after="0"/>
                              <w:jc w:val="left"/>
                              <w:rPr>
                                <w:color w:val="1F2668"/>
                                <w:sz w:val="36"/>
                              </w:rPr>
                            </w:pPr>
                            <w:r>
                              <w:rPr>
                                <w:color w:val="1F2668"/>
                                <w:sz w:val="36"/>
                              </w:rPr>
                              <w:t>29%</w:t>
                            </w:r>
                          </w:p>
                          <w:p>
                            <w:pPr>
                              <w:pStyle w:val="TableContents"/>
                              <w:bidi w:val="0"/>
                              <w:spacing w:lineRule="atLeast" w:line="200" w:before="20" w:after="283"/>
                              <w:jc w:val="left"/>
                              <w:rPr>
                                <w:b/>
                                <w:sz w:val="18"/>
                              </w:rPr>
                            </w:pPr>
                            <w:r>
                              <w:rPr>
                                <w:b/>
                                <w:spacing w:val="-2"/>
                                <w:sz w:val="18"/>
                              </w:rPr>
                              <w:t>$1,100,000</w:t>
                            </w:r>
                            <w:r>
                              <w:rPr>
                                <w:b/>
                                <w:sz w:val="18"/>
                              </w:rPr>
                              <w:t xml:space="preserve"> </w:t>
                            </w:r>
                          </w:p>
                        </w:tc>
                        <w:tc>
                          <w:tcPr>
                            <w:tcW w:w="109" w:type="dxa"/>
                            <w:tcBorders>
                              <w:bottom w:val="single" w:sz="2" w:space="0" w:color="4B5088"/>
                            </w:tcBorders>
                            <w:shd w:fill="E9F9D8" w:val="clear"/>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771" w:type="dxa"/>
                            <w:tcBorders>
                              <w:bottom w:val="single" w:sz="2" w:space="0" w:color="4B5088"/>
                            </w:tcBorders>
                            <w:tcMar>
                              <w:bottom w:w="68" w:type="dxa"/>
                            </w:tcMar>
                            <w:vAlign w:val="center"/>
                          </w:tcPr>
                          <w:p>
                            <w:pPr>
                              <w:pStyle w:val="TableContents"/>
                              <w:bidi w:val="0"/>
                              <w:spacing w:before="0" w:after="0"/>
                              <w:jc w:val="left"/>
                              <w:rPr>
                                <w:color w:val="1F2668"/>
                                <w:sz w:val="36"/>
                              </w:rPr>
                            </w:pPr>
                            <w:r>
                              <w:rPr>
                                <w:color w:val="1F2668"/>
                                <w:sz w:val="36"/>
                              </w:rPr>
                              <w:t>21%</w:t>
                            </w:r>
                          </w:p>
                          <w:p>
                            <w:pPr>
                              <w:pStyle w:val="TableContents"/>
                              <w:bidi w:val="0"/>
                              <w:spacing w:lineRule="atLeast" w:line="200" w:before="20" w:after="283"/>
                              <w:jc w:val="left"/>
                              <w:rPr>
                                <w:b/>
                                <w:sz w:val="18"/>
                              </w:rPr>
                            </w:pPr>
                            <w:r>
                              <w:rPr>
                                <w:b/>
                                <w:spacing w:val="-2"/>
                                <w:sz w:val="18"/>
                              </w:rPr>
                              <w:t>$739,636</w:t>
                            </w:r>
                            <w:r>
                              <w:rPr>
                                <w:b/>
                                <w:sz w:val="18"/>
                              </w:rPr>
                              <w:t xml:space="preserve"> </w:t>
                            </w:r>
                          </w:p>
                        </w:tc>
                        <w:tc>
                          <w:tcPr>
                            <w:tcW w:w="109"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7816" w:type="dxa"/>
                            <w:tcBorders>
                              <w:bottom w:val="single" w:sz="2" w:space="0" w:color="4B5088"/>
                            </w:tcBorders>
                            <w:tcMar>
                              <w:bottom w:w="68" w:type="dxa"/>
                            </w:tcMar>
                            <w:vAlign w:val="center"/>
                          </w:tcPr>
                          <w:p>
                            <w:pPr>
                              <w:pStyle w:val="TableContents"/>
                              <w:bidi w:val="0"/>
                              <w:spacing w:lineRule="atLeast" w:line="200" w:before="0" w:after="0"/>
                              <w:jc w:val="left"/>
                              <w:rPr>
                                <w:b/>
                                <w:sz w:val="18"/>
                              </w:rPr>
                            </w:pPr>
                            <w:r>
                              <w:rPr>
                                <w:b/>
                                <w:spacing w:val="-2"/>
                                <w:sz w:val="18"/>
                              </w:rPr>
                              <w:t>Annual Bonus</w:t>
                            </w:r>
                            <w:r>
                              <w:rPr>
                                <w:b/>
                                <w:sz w:val="18"/>
                              </w:rPr>
                              <w:t xml:space="preserve"> </w:t>
                            </w:r>
                          </w:p>
                          <w:p>
                            <w:pPr>
                              <w:pStyle w:val="TableContents"/>
                              <w:bidi w:val="0"/>
                              <w:spacing w:lineRule="atLeast" w:line="190" w:before="20" w:after="283"/>
                              <w:jc w:val="left"/>
                              <w:rPr/>
                            </w:pPr>
                            <w:r>
                              <w:rPr>
                                <w:spacing w:val="-2"/>
                              </w:rPr>
                              <w:t xml:space="preserve">Determined 50% formulaically, with the remaining 50% discretionary. For 2025, Mr. Levine earned a total bonus of </w:t>
                            </w:r>
                            <w:r>
                              <w:rPr>
                                <w:b/>
                                <w:spacing w:val="-2"/>
                              </w:rPr>
                              <w:t>$1,100,000</w:t>
                            </w:r>
                            <w:r>
                              <w:rPr>
                                <w:spacing w:val="-2"/>
                              </w:rPr>
                              <w:t xml:space="preserve">. This amount consists of </w:t>
                            </w:r>
                            <w:r>
                              <w:rPr>
                                <w:b/>
                                <w:spacing w:val="-2"/>
                              </w:rPr>
                              <w:t>$594,000</w:t>
                            </w:r>
                            <w:r>
                              <w:rPr>
                                <w:spacing w:val="-2"/>
                              </w:rPr>
                              <w:t xml:space="preserve"> earned on a formulaic basis (approximately </w:t>
                            </w:r>
                            <w:r>
                              <w:rPr>
                                <w:b/>
                                <w:spacing w:val="-2"/>
                              </w:rPr>
                              <w:t>99%</w:t>
                            </w:r>
                            <w:r>
                              <w:rPr>
                                <w:spacing w:val="-2"/>
                              </w:rPr>
                              <w:t xml:space="preserve"> of the target amount),and a discretionary award of </w:t>
                            </w:r>
                            <w:r>
                              <w:rPr>
                                <w:b/>
                                <w:spacing w:val="-2"/>
                              </w:rPr>
                              <w:t>$506,000</w:t>
                            </w:r>
                            <w:r>
                              <w:rPr>
                                <w:spacing w:val="-2"/>
                              </w:rPr>
                              <w:t xml:space="preserve">. Mr. Levine received </w:t>
                            </w:r>
                            <w:r>
                              <w:rPr>
                                <w:b/>
                                <w:spacing w:val="-2"/>
                              </w:rPr>
                              <w:t>100%</w:t>
                            </w:r>
                            <w:r>
                              <w:rPr>
                                <w:spacing w:val="-2"/>
                              </w:rPr>
                              <w:t xml:space="preserve"> of the bonus in the form of equity. The corresponding </w:t>
                            </w:r>
                            <w:r>
                              <w:rPr>
                                <w:b/>
                                <w:spacing w:val="-2"/>
                              </w:rPr>
                              <w:t>24,044</w:t>
                            </w:r>
                            <w:r>
                              <w:rPr>
                                <w:spacing w:val="-2"/>
                              </w:rPr>
                              <w:t xml:space="preserve"> LTIP units granted in </w:t>
                            </w:r>
                            <w:r>
                              <w:rPr>
                                <w:b/>
                                <w:spacing w:val="-2"/>
                              </w:rPr>
                              <w:t>February 2026</w:t>
                            </w:r>
                            <w:r>
                              <w:rPr>
                                <w:spacing w:val="-2"/>
                              </w:rPr>
                              <w:t xml:space="preserve"> were fully vested upon grant, but remain subject to a three-year no-sell restriction. Because these LTIP units were granted in 2026, the value of the awards will be reported in next year’s Summary Compensation table.</w:t>
                            </w:r>
                            <w:r>
                              <w:rPr/>
                              <w:t xml:space="preserve"> </w:t>
                            </w:r>
                          </w:p>
                          <w:p>
                            <w:pPr>
                              <w:pStyle w:val="TableContents"/>
                              <w:bidi w:val="0"/>
                              <w:spacing w:lineRule="atLeast" w:line="190" w:before="60" w:after="283"/>
                              <w:jc w:val="left"/>
                              <w:rPr/>
                            </w:pPr>
                            <w:r>
                              <w:rPr>
                                <w:spacing w:val="-2"/>
                              </w:rPr>
                              <w:t xml:space="preserve">The SCT amount reflects the grant date value of equity granted </w:t>
                            </w:r>
                            <w:r>
                              <w:rPr>
                                <w:b/>
                                <w:spacing w:val="-2"/>
                              </w:rPr>
                              <w:t>in January 2025</w:t>
                            </w:r>
                            <w:r>
                              <w:rPr>
                                <w:spacing w:val="-2"/>
                              </w:rPr>
                              <w:t xml:space="preserve"> representing Mr. Levine’s </w:t>
                            </w:r>
                            <w:r>
                              <w:rPr>
                                <w:b/>
                                <w:spacing w:val="-2"/>
                              </w:rPr>
                              <w:t>2024 annual bonus</w:t>
                            </w:r>
                            <w:r>
                              <w:rPr>
                                <w:spacing w:val="-2"/>
                              </w:rPr>
                              <w:t xml:space="preserve">. </w:t>
                            </w:r>
                          </w:p>
                        </w:tc>
                        <w:tc>
                          <w:tcPr>
                            <w:tcW w:w="156" w:type="dxa"/>
                            <w:tcBorders>
                              <w:bottom w:val="single" w:sz="2" w:space="0" w:color="4B5088"/>
                            </w:tcBorders>
                            <w:vAlign w:val="center"/>
                          </w:tcPr>
                          <w:p>
                            <w:pPr>
                              <w:pStyle w:val="TableContents"/>
                              <w:bidi w:val="0"/>
                              <w:spacing w:before="0" w:after="283"/>
                              <w:jc w:val="left"/>
                              <w:rPr/>
                            </w:pPr>
                            <w:r>
                              <w:rPr/>
                              <w:t>​</w:t>
                            </w:r>
                          </w:p>
                        </w:tc>
                      </w:tr>
                      <w:tr>
                        <w:trPr/>
                        <w:tc>
                          <w:tcPr>
                            <w:tcW w:w="124" w:type="dxa"/>
                            <w:tcBorders/>
                            <w:shd w:fill="E9F9D8" w:val="clear"/>
                            <w:tcMar>
                              <w:bottom w:w="0" w:type="dxa"/>
                            </w:tcMar>
                            <w:vAlign w:val="center"/>
                          </w:tcPr>
                          <w:p>
                            <w:pPr>
                              <w:pStyle w:val="TableContents"/>
                              <w:bidi w:val="0"/>
                              <w:spacing w:before="0" w:after="283"/>
                              <w:jc w:val="left"/>
                              <w:rPr/>
                            </w:pPr>
                            <w:r>
                              <w:rPr/>
                              <w:t>​</w:t>
                            </w:r>
                          </w:p>
                        </w:tc>
                        <w:tc>
                          <w:tcPr>
                            <w:tcW w:w="902" w:type="dxa"/>
                            <w:tcBorders/>
                            <w:shd w:fill="E9F9D8" w:val="clear"/>
                            <w:tcMar>
                              <w:bottom w:w="0" w:type="dxa"/>
                            </w:tcMar>
                            <w:vAlign w:val="center"/>
                          </w:tcPr>
                          <w:p>
                            <w:pPr>
                              <w:pStyle w:val="TableContents"/>
                              <w:bidi w:val="0"/>
                              <w:spacing w:before="0" w:after="0"/>
                              <w:jc w:val="left"/>
                              <w:rPr>
                                <w:color w:val="1F2668"/>
                                <w:sz w:val="36"/>
                              </w:rPr>
                            </w:pPr>
                            <w:r>
                              <w:rPr>
                                <w:color w:val="1F2668"/>
                                <w:sz w:val="36"/>
                              </w:rPr>
                              <w:t>16%</w:t>
                            </w:r>
                          </w:p>
                          <w:p>
                            <w:pPr>
                              <w:pStyle w:val="TableContents"/>
                              <w:bidi w:val="0"/>
                              <w:spacing w:lineRule="atLeast" w:line="200" w:before="20" w:after="283"/>
                              <w:jc w:val="left"/>
                              <w:rPr>
                                <w:b/>
                                <w:sz w:val="18"/>
                              </w:rPr>
                            </w:pPr>
                            <w:r>
                              <w:rPr>
                                <w:b/>
                                <w:spacing w:val="-2"/>
                                <w:sz w:val="18"/>
                              </w:rPr>
                              <w:t>$600,000</w:t>
                            </w:r>
                            <w:r>
                              <w:rPr>
                                <w:b/>
                                <w:sz w:val="18"/>
                              </w:rPr>
                              <w:t xml:space="preserve"> </w:t>
                            </w:r>
                          </w:p>
                        </w:tc>
                        <w:tc>
                          <w:tcPr>
                            <w:tcW w:w="109" w:type="dxa"/>
                            <w:tcBorders/>
                            <w:shd w:fill="E9F9D8"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71" w:type="dxa"/>
                            <w:tcBorders/>
                            <w:tcMar>
                              <w:bottom w:w="0" w:type="dxa"/>
                            </w:tcMar>
                            <w:vAlign w:val="center"/>
                          </w:tcPr>
                          <w:p>
                            <w:pPr>
                              <w:pStyle w:val="TableContents"/>
                              <w:bidi w:val="0"/>
                              <w:spacing w:before="0" w:after="0"/>
                              <w:jc w:val="left"/>
                              <w:rPr>
                                <w:color w:val="1F2668"/>
                                <w:sz w:val="36"/>
                              </w:rPr>
                            </w:pPr>
                            <w:r>
                              <w:rPr>
                                <w:color w:val="1F2668"/>
                                <w:sz w:val="36"/>
                              </w:rPr>
                              <w:t>19%</w:t>
                            </w:r>
                          </w:p>
                          <w:p>
                            <w:pPr>
                              <w:pStyle w:val="TableContents"/>
                              <w:bidi w:val="0"/>
                              <w:spacing w:lineRule="atLeast" w:line="200" w:before="20" w:after="283"/>
                              <w:jc w:val="left"/>
                              <w:rPr>
                                <w:b/>
                                <w:sz w:val="18"/>
                              </w:rPr>
                            </w:pPr>
                            <w:r>
                              <w:rPr>
                                <w:b/>
                                <w:spacing w:val="-2"/>
                                <w:sz w:val="18"/>
                              </w:rPr>
                              <w:t>$660,088</w:t>
                            </w:r>
                            <w:r>
                              <w:rPr>
                                <w:b/>
                                <w:sz w:val="18"/>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816" w:type="dxa"/>
                            <w:tcBorders/>
                            <w:tcMar>
                              <w:bottom w:w="0" w:type="dxa"/>
                            </w:tcMar>
                            <w:vAlign w:val="center"/>
                          </w:tcPr>
                          <w:p>
                            <w:pPr>
                              <w:pStyle w:val="TableContents"/>
                              <w:bidi w:val="0"/>
                              <w:spacing w:lineRule="atLeast" w:line="200" w:before="0" w:after="0"/>
                              <w:jc w:val="left"/>
                              <w:rPr>
                                <w:b/>
                                <w:sz w:val="18"/>
                              </w:rPr>
                            </w:pPr>
                            <w:r>
                              <w:rPr>
                                <w:b/>
                                <w:spacing w:val="-2"/>
                                <w:sz w:val="18"/>
                              </w:rPr>
                              <w:t>Performance-Based Equity Awards</w:t>
                            </w:r>
                            <w:r>
                              <w:rPr>
                                <w:b/>
                                <w:sz w:val="18"/>
                              </w:rPr>
                              <w:t xml:space="preserve"> </w:t>
                            </w:r>
                          </w:p>
                          <w:p>
                            <w:pPr>
                              <w:pStyle w:val="TableContents"/>
                              <w:bidi w:val="0"/>
                              <w:spacing w:lineRule="atLeast" w:line="190" w:before="20" w:after="283"/>
                              <w:jc w:val="left"/>
                              <w:rPr/>
                            </w:pPr>
                            <w:r>
                              <w:rPr>
                                <w:spacing w:val="-2"/>
                              </w:rPr>
                              <w:t xml:space="preserve">The TDC amount reflects the target notional value of </w:t>
                            </w:r>
                            <w:r>
                              <w:rPr>
                                <w:b/>
                                <w:spacing w:val="-2"/>
                              </w:rPr>
                              <w:t>$600,000</w:t>
                            </w:r>
                            <w:r>
                              <w:rPr>
                                <w:spacing w:val="-2"/>
                              </w:rPr>
                              <w:t xml:space="preserve"> approved by the Committee in 2025. </w:t>
                            </w:r>
                            <w:r>
                              <w:rPr>
                                <w:b/>
                                <w:spacing w:val="-2"/>
                              </w:rPr>
                              <w:t>The SCT amount represents the grant date value of the awards</w:t>
                            </w:r>
                            <w:r>
                              <w:rPr>
                                <w:spacing w:val="-2"/>
                              </w:rPr>
                              <w:t>.</w:t>
                            </w:r>
                            <w:r>
                              <w:rPr/>
                              <w:t xml:space="preserve"> </w:t>
                            </w:r>
                          </w:p>
                          <w:p>
                            <w:pPr>
                              <w:pStyle w:val="TableContents"/>
                              <w:bidi w:val="0"/>
                              <w:spacing w:lineRule="atLeast" w:line="190" w:before="60" w:after="283"/>
                              <w:jc w:val="left"/>
                              <w:rPr/>
                            </w:pPr>
                            <w:r>
                              <w:rPr>
                                <w:spacing w:val="-2"/>
                              </w:rPr>
                              <w:t>The award relates to the corresponding number of LTIP units set forth below:</w:t>
                            </w:r>
                            <w:r>
                              <w:rPr/>
                              <w:t xml:space="preserve"> </w:t>
                            </w:r>
                          </w:p>
                        </w:tc>
                        <w:tc>
                          <w:tcPr>
                            <w:tcW w:w="156" w:type="dxa"/>
                            <w:tcBorders/>
                            <w:tcMar>
                              <w:bottom w:w="0" w:type="dxa"/>
                            </w:tcMar>
                            <w:vAlign w:val="center"/>
                          </w:tcPr>
                          <w:p>
                            <w:pPr>
                              <w:pStyle w:val="TableContents"/>
                              <w:bidi w:val="0"/>
                              <w:spacing w:before="0" w:after="283"/>
                              <w:jc w:val="left"/>
                              <w:rPr/>
                            </w:pPr>
                            <w:r>
                              <w:rPr/>
                              <w:t>​</w:t>
                            </w:r>
                          </w:p>
                        </w:tc>
                      </w:tr>
                    </w:tbl>
                    <w:tbl>
                      <w:tblPr>
                        <w:tblW w:w="6229" w:type="dxa"/>
                        <w:jc w:val="left"/>
                        <w:tblInd w:w="0" w:type="dxa"/>
                        <w:tblLayout w:type="fixed"/>
                        <w:tblCellMar>
                          <w:top w:w="0" w:type="dxa"/>
                          <w:left w:w="0" w:type="dxa"/>
                          <w:bottom w:w="0" w:type="dxa"/>
                          <w:right w:w="0" w:type="dxa"/>
                        </w:tblCellMar>
                      </w:tblPr>
                      <w:tblGrid>
                        <w:gridCol w:w="124"/>
                        <w:gridCol w:w="109"/>
                        <w:gridCol w:w="109"/>
                        <w:gridCol w:w="109"/>
                        <w:gridCol w:w="109"/>
                        <w:gridCol w:w="109"/>
                        <w:gridCol w:w="1110"/>
                        <w:gridCol w:w="109"/>
                        <w:gridCol w:w="109"/>
                        <w:gridCol w:w="771"/>
                        <w:gridCol w:w="109"/>
                        <w:gridCol w:w="109"/>
                        <w:gridCol w:w="1129"/>
                        <w:gridCol w:w="109"/>
                        <w:gridCol w:w="109"/>
                        <w:gridCol w:w="1742"/>
                        <w:gridCol w:w="154"/>
                      </w:tblGrid>
                      <w:tr>
                        <w:trPr/>
                        <w:tc>
                          <w:tcPr>
                            <w:tcW w:w="124" w:type="dxa"/>
                            <w:tcBorders/>
                            <w:shd w:fill="E9F9D8" w:val="clear"/>
                            <w:vAlign w:val="center"/>
                          </w:tcPr>
                          <w:p>
                            <w:pPr>
                              <w:pStyle w:val="TableContents"/>
                              <w:bidi w:val="0"/>
                              <w:spacing w:before="0" w:after="283"/>
                              <w:jc w:val="left"/>
                              <w:rPr/>
                            </w:pPr>
                            <w:r>
                              <w:rPr/>
                              <w:t>​</w:t>
                            </w:r>
                          </w:p>
                        </w:tc>
                        <w:tc>
                          <w:tcPr>
                            <w:tcW w:w="109" w:type="dxa"/>
                            <w:tcBorders/>
                            <w:shd w:fill="E9F9D8" w:val="cle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top w:val="single" w:sz="16" w:space="0" w:color="1F2668"/>
                              <w:bottom w:val="single" w:sz="16" w:space="0" w:color="1F2668"/>
                            </w:tcBorders>
                            <w:tcMar>
                              <w:top w:w="28" w:type="dxa"/>
                              <w:bottom w:w="28" w:type="dxa"/>
                            </w:tcMar>
                            <w:vAlign w:val="center"/>
                          </w:tcPr>
                          <w:p>
                            <w:pPr>
                              <w:pStyle w:val="TableContents"/>
                              <w:bidi w:val="0"/>
                              <w:spacing w:before="0" w:after="283"/>
                              <w:jc w:val="left"/>
                              <w:rPr/>
                            </w:pPr>
                            <w:r>
                              <w:rPr/>
                              <w:t>​</w:t>
                            </w:r>
                          </w:p>
                        </w:tc>
                        <w:tc>
                          <w:tcPr>
                            <w:tcW w:w="5406" w:type="dxa"/>
                            <w:gridSpan w:val="10"/>
                            <w:tcBorders>
                              <w:top w:val="single" w:sz="16" w:space="0" w:color="1F2668"/>
                              <w:bottom w:val="single" w:sz="16" w:space="0" w:color="1F2668"/>
                            </w:tcBorders>
                            <w:tcMar>
                              <w:top w:w="57" w:type="dxa"/>
                              <w:bottom w:w="28" w:type="dxa"/>
                            </w:tcMar>
                            <w:vAlign w:val="center"/>
                          </w:tcPr>
                          <w:p>
                            <w:pPr>
                              <w:pStyle w:val="TableContents"/>
                              <w:bidi w:val="0"/>
                              <w:spacing w:before="0" w:after="0"/>
                              <w:jc w:val="center"/>
                              <w:rPr>
                                <w:spacing w:val="-2"/>
                              </w:rPr>
                            </w:pPr>
                            <w:r>
                              <w:rPr>
                                <w:spacing w:val="-2"/>
                              </w:rPr>
                              <w:t xml:space="preserve">2025 Annual Performance-Based Award— </w:t>
                              <w:br/>
                              <w:t xml:space="preserve">Number of LTIP Units Granted </w:t>
                            </w:r>
                          </w:p>
                        </w:tc>
                        <w:tc>
                          <w:tcPr>
                            <w:tcW w:w="154" w:type="dxa"/>
                            <w:tcBorders>
                              <w:top w:val="single" w:sz="16" w:space="0" w:color="1F2668"/>
                              <w:bottom w:val="single" w:sz="16" w:space="0" w:color="1F2668"/>
                            </w:tcBorders>
                            <w:tcMar>
                              <w:top w:w="28" w:type="dxa"/>
                              <w:bottom w:w="28" w:type="dxa"/>
                            </w:tcMar>
                            <w:vAlign w:val="center"/>
                          </w:tcPr>
                          <w:p>
                            <w:pPr>
                              <w:pStyle w:val="TableContents"/>
                              <w:bidi w:val="0"/>
                              <w:spacing w:before="0" w:after="283"/>
                              <w:jc w:val="left"/>
                              <w:rPr/>
                            </w:pPr>
                            <w:r>
                              <w:rPr/>
                              <w:t>​</w:t>
                            </w:r>
                          </w:p>
                        </w:tc>
                      </w:tr>
                      <w:tr>
                        <w:trPr/>
                        <w:tc>
                          <w:tcPr>
                            <w:tcW w:w="124"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4B5088"/>
                            </w:tcBorders>
                            <w:tcMar>
                              <w:bottom w:w="28" w:type="dxa"/>
                            </w:tcMar>
                            <w:vAlign w:val="center"/>
                          </w:tcPr>
                          <w:p>
                            <w:pPr>
                              <w:pStyle w:val="TableContents"/>
                              <w:bidi w:val="0"/>
                              <w:spacing w:before="0" w:after="283"/>
                              <w:jc w:val="left"/>
                              <w:rPr/>
                            </w:pPr>
                            <w:r>
                              <w:rPr/>
                              <w:t>​</w:t>
                            </w:r>
                          </w:p>
                        </w:tc>
                        <w:tc>
                          <w:tcPr>
                            <w:tcW w:w="1110" w:type="dxa"/>
                            <w:tcBorders>
                              <w:bottom w:val="single" w:sz="12" w:space="0" w:color="4B5088"/>
                            </w:tcBorders>
                            <w:tcMar>
                              <w:bottom w:w="33" w:type="dxa"/>
                            </w:tcMar>
                            <w:vAlign w:val="center"/>
                          </w:tcPr>
                          <w:p>
                            <w:pPr>
                              <w:pStyle w:val="TableContents"/>
                              <w:bidi w:val="0"/>
                              <w:spacing w:before="0" w:after="0"/>
                              <w:jc w:val="right"/>
                              <w:rPr/>
                            </w:pPr>
                            <w:r>
                              <w:rPr>
                                <w:spacing w:val="-2"/>
                              </w:rPr>
                              <w:t>Threshold</w:t>
                            </w:r>
                            <w:r>
                              <w:rPr/>
                              <w:t xml:space="preserve"> </w:t>
                            </w:r>
                          </w:p>
                        </w:tc>
                        <w:tc>
                          <w:tcPr>
                            <w:tcW w:w="109" w:type="dxa"/>
                            <w:tcBorders>
                              <w:bottom w:val="single" w:sz="12" w:space="0" w:color="4B5088"/>
                            </w:tcBorders>
                            <w:tcMar>
                              <w:bottom w:w="28" w:type="dxa"/>
                            </w:tcMar>
                            <w:vAlign w:val="center"/>
                          </w:tcPr>
                          <w:p>
                            <w:pPr>
                              <w:pStyle w:val="TableContents"/>
                              <w:bidi w:val="0"/>
                              <w:spacing w:before="0" w:after="283"/>
                              <w:jc w:val="left"/>
                              <w:rPr/>
                            </w:pPr>
                            <w:r>
                              <w:rPr/>
                              <w:t>​</w:t>
                            </w:r>
                          </w:p>
                        </w:tc>
                        <w:tc>
                          <w:tcPr>
                            <w:tcW w:w="109" w:type="dxa"/>
                            <w:tcBorders>
                              <w:bottom w:val="single" w:sz="12" w:space="0" w:color="4B5088"/>
                            </w:tcBorders>
                            <w:tcMar>
                              <w:bottom w:w="28" w:type="dxa"/>
                            </w:tcMar>
                            <w:vAlign w:val="center"/>
                          </w:tcPr>
                          <w:p>
                            <w:pPr>
                              <w:pStyle w:val="TableContents"/>
                              <w:bidi w:val="0"/>
                              <w:spacing w:before="0" w:after="283"/>
                              <w:jc w:val="left"/>
                              <w:rPr/>
                            </w:pPr>
                            <w:r>
                              <w:rPr/>
                              <w:t>​</w:t>
                            </w:r>
                          </w:p>
                        </w:tc>
                        <w:tc>
                          <w:tcPr>
                            <w:tcW w:w="771" w:type="dxa"/>
                            <w:tcBorders>
                              <w:bottom w:val="single" w:sz="12" w:space="0" w:color="4B5088"/>
                            </w:tcBorders>
                            <w:tcMar>
                              <w:bottom w:w="33" w:type="dxa"/>
                            </w:tcMar>
                            <w:vAlign w:val="center"/>
                          </w:tcPr>
                          <w:p>
                            <w:pPr>
                              <w:pStyle w:val="TableContents"/>
                              <w:bidi w:val="0"/>
                              <w:spacing w:before="0" w:after="0"/>
                              <w:jc w:val="right"/>
                              <w:rPr/>
                            </w:pPr>
                            <w:r>
                              <w:rPr>
                                <w:spacing w:val="-2"/>
                              </w:rPr>
                              <w:t>Target</w:t>
                            </w:r>
                            <w:r>
                              <w:rPr/>
                              <w:t xml:space="preserve"> </w:t>
                            </w:r>
                          </w:p>
                        </w:tc>
                        <w:tc>
                          <w:tcPr>
                            <w:tcW w:w="109" w:type="dxa"/>
                            <w:tcBorders>
                              <w:bottom w:val="single" w:sz="12" w:space="0" w:color="4B5088"/>
                            </w:tcBorders>
                            <w:tcMar>
                              <w:bottom w:w="28" w:type="dxa"/>
                            </w:tcMar>
                            <w:vAlign w:val="center"/>
                          </w:tcPr>
                          <w:p>
                            <w:pPr>
                              <w:pStyle w:val="TableContents"/>
                              <w:bidi w:val="0"/>
                              <w:spacing w:before="0" w:after="283"/>
                              <w:jc w:val="left"/>
                              <w:rPr/>
                            </w:pPr>
                            <w:r>
                              <w:rPr/>
                              <w:t>​</w:t>
                            </w:r>
                          </w:p>
                        </w:tc>
                        <w:tc>
                          <w:tcPr>
                            <w:tcW w:w="109" w:type="dxa"/>
                            <w:tcBorders>
                              <w:bottom w:val="single" w:sz="12" w:space="0" w:color="4B5088"/>
                            </w:tcBorders>
                            <w:tcMar>
                              <w:bottom w:w="28" w:type="dxa"/>
                            </w:tcMar>
                            <w:vAlign w:val="center"/>
                          </w:tcPr>
                          <w:p>
                            <w:pPr>
                              <w:pStyle w:val="TableContents"/>
                              <w:bidi w:val="0"/>
                              <w:spacing w:before="0" w:after="283"/>
                              <w:jc w:val="left"/>
                              <w:rPr/>
                            </w:pPr>
                            <w:r>
                              <w:rPr/>
                              <w:t>​</w:t>
                            </w:r>
                          </w:p>
                        </w:tc>
                        <w:tc>
                          <w:tcPr>
                            <w:tcW w:w="1129" w:type="dxa"/>
                            <w:tcBorders>
                              <w:bottom w:val="single" w:sz="12" w:space="0" w:color="4B5088"/>
                            </w:tcBorders>
                            <w:tcMar>
                              <w:bottom w:w="33" w:type="dxa"/>
                            </w:tcMar>
                            <w:vAlign w:val="center"/>
                          </w:tcPr>
                          <w:p>
                            <w:pPr>
                              <w:pStyle w:val="TableContents"/>
                              <w:bidi w:val="0"/>
                              <w:spacing w:before="0" w:after="0"/>
                              <w:jc w:val="right"/>
                              <w:rPr/>
                            </w:pPr>
                            <w:r>
                              <w:rPr>
                                <w:spacing w:val="-2"/>
                              </w:rPr>
                              <w:t>Maximum</w:t>
                            </w:r>
                            <w:r>
                              <w:rPr/>
                              <w:t xml:space="preserve"> </w:t>
                            </w:r>
                          </w:p>
                        </w:tc>
                        <w:tc>
                          <w:tcPr>
                            <w:tcW w:w="109" w:type="dxa"/>
                            <w:tcBorders>
                              <w:bottom w:val="single" w:sz="12" w:space="0" w:color="4B5088"/>
                            </w:tcBorders>
                            <w:tcMar>
                              <w:bottom w:w="28" w:type="dxa"/>
                            </w:tcMar>
                            <w:vAlign w:val="center"/>
                          </w:tcPr>
                          <w:p>
                            <w:pPr>
                              <w:pStyle w:val="TableContents"/>
                              <w:bidi w:val="0"/>
                              <w:spacing w:before="0" w:after="283"/>
                              <w:jc w:val="left"/>
                              <w:rPr/>
                            </w:pPr>
                            <w:r>
                              <w:rPr/>
                              <w:t>​</w:t>
                            </w:r>
                          </w:p>
                        </w:tc>
                        <w:tc>
                          <w:tcPr>
                            <w:tcW w:w="109" w:type="dxa"/>
                            <w:tcBorders>
                              <w:bottom w:val="single" w:sz="12" w:space="0" w:color="4B5088"/>
                            </w:tcBorders>
                            <w:tcMar>
                              <w:bottom w:w="28" w:type="dxa"/>
                            </w:tcMar>
                            <w:vAlign w:val="center"/>
                          </w:tcPr>
                          <w:p>
                            <w:pPr>
                              <w:pStyle w:val="TableContents"/>
                              <w:bidi w:val="0"/>
                              <w:spacing w:before="0" w:after="283"/>
                              <w:jc w:val="left"/>
                              <w:rPr/>
                            </w:pPr>
                            <w:r>
                              <w:rPr/>
                              <w:t>​</w:t>
                            </w:r>
                          </w:p>
                        </w:tc>
                        <w:tc>
                          <w:tcPr>
                            <w:tcW w:w="1742" w:type="dxa"/>
                            <w:tcBorders>
                              <w:bottom w:val="single" w:sz="12" w:space="0" w:color="4B5088"/>
                            </w:tcBorders>
                            <w:tcMar>
                              <w:bottom w:w="33" w:type="dxa"/>
                            </w:tcMar>
                            <w:vAlign w:val="center"/>
                          </w:tcPr>
                          <w:p>
                            <w:pPr>
                              <w:pStyle w:val="TableContents"/>
                              <w:bidi w:val="0"/>
                              <w:spacing w:before="0" w:after="0"/>
                              <w:jc w:val="right"/>
                              <w:rPr/>
                            </w:pPr>
                            <w:r>
                              <w:rPr>
                                <w:spacing w:val="-2"/>
                              </w:rPr>
                              <w:t xml:space="preserve">Projected </w:t>
                              <w:br/>
                              <w:t xml:space="preserve">Earned </w:t>
                              <w:br/>
                              <w:t>as of 12/31/2025</w:t>
                            </w:r>
                            <w:r>
                              <w:rPr/>
                              <w:t xml:space="preserve"> </w:t>
                            </w:r>
                          </w:p>
                        </w:tc>
                        <w:tc>
                          <w:tcPr>
                            <w:tcW w:w="154" w:type="dxa"/>
                            <w:tcBorders>
                              <w:bottom w:val="single" w:sz="12" w:space="0" w:color="4B508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E9F9D8"/>
                            </w:tcBorders>
                            <w:shd w:fill="E9F9D8" w:val="clear"/>
                            <w:tcMar>
                              <w:bottom w:w="70"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110" w:type="dxa"/>
                            <w:tcBorders>
                              <w:bottom w:val="single" w:sz="2" w:space="0" w:color="4B5088"/>
                            </w:tcBorders>
                            <w:tcMar>
                              <w:bottom w:w="33" w:type="dxa"/>
                            </w:tcMar>
                            <w:vAlign w:val="center"/>
                          </w:tcPr>
                          <w:p>
                            <w:pPr>
                              <w:pStyle w:val="TableContents"/>
                              <w:bidi w:val="0"/>
                              <w:spacing w:before="0" w:after="0"/>
                              <w:jc w:val="right"/>
                              <w:rPr/>
                            </w:pPr>
                            <w:r>
                              <w:rPr>
                                <w:spacing w:val="-2"/>
                              </w:rPr>
                              <w:t>3,023</w:t>
                            </w:r>
                            <w:r>
                              <w:rPr/>
                              <w:t xml:space="preserve">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771" w:type="dxa"/>
                            <w:tcBorders>
                              <w:bottom w:val="single" w:sz="2" w:space="0" w:color="4B5088"/>
                            </w:tcBorders>
                            <w:tcMar>
                              <w:bottom w:w="33" w:type="dxa"/>
                            </w:tcMar>
                            <w:vAlign w:val="center"/>
                          </w:tcPr>
                          <w:p>
                            <w:pPr>
                              <w:pStyle w:val="TableContents"/>
                              <w:bidi w:val="0"/>
                              <w:spacing w:before="0" w:after="0"/>
                              <w:jc w:val="right"/>
                              <w:rPr/>
                            </w:pPr>
                            <w:r>
                              <w:rPr>
                                <w:spacing w:val="-2"/>
                              </w:rPr>
                              <w:t>8,794</w:t>
                            </w:r>
                            <w:r>
                              <w:rPr/>
                              <w:t xml:space="preserve">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129" w:type="dxa"/>
                            <w:tcBorders>
                              <w:bottom w:val="single" w:sz="2" w:space="0" w:color="4B5088"/>
                            </w:tcBorders>
                            <w:tcMar>
                              <w:bottom w:w="33" w:type="dxa"/>
                            </w:tcMar>
                            <w:vAlign w:val="center"/>
                          </w:tcPr>
                          <w:p>
                            <w:pPr>
                              <w:pStyle w:val="TableContents"/>
                              <w:bidi w:val="0"/>
                              <w:spacing w:before="0" w:after="0"/>
                              <w:jc w:val="right"/>
                              <w:rPr/>
                            </w:pPr>
                            <w:r>
                              <w:rPr>
                                <w:spacing w:val="-2"/>
                              </w:rPr>
                              <w:t>21,985</w:t>
                            </w:r>
                            <w:r>
                              <w:rPr/>
                              <w:t xml:space="preserve">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742" w:type="dxa"/>
                            <w:tcBorders>
                              <w:bottom w:val="single" w:sz="2" w:space="0" w:color="4B5088"/>
                            </w:tcBorders>
                            <w:tcMar>
                              <w:bottom w:w="33" w:type="dxa"/>
                            </w:tcMar>
                            <w:vAlign w:val="center"/>
                          </w:tcPr>
                          <w:p>
                            <w:pPr>
                              <w:pStyle w:val="TableContents"/>
                              <w:bidi w:val="0"/>
                              <w:spacing w:before="0" w:after="0"/>
                              <w:jc w:val="right"/>
                              <w:rPr/>
                            </w:pPr>
                            <w:r>
                              <w:rPr>
                                <w:spacing w:val="-2"/>
                              </w:rPr>
                              <w:t>4,306</w:t>
                            </w:r>
                            <w:r>
                              <w:rPr/>
                              <w:t xml:space="preserve"> </w:t>
                            </w:r>
                          </w:p>
                        </w:tc>
                        <w:tc>
                          <w:tcPr>
                            <w:tcW w:w="154" w:type="dxa"/>
                            <w:tcBorders>
                              <w:bottom w:val="single" w:sz="2" w:space="0" w:color="4B5088"/>
                            </w:tcBorders>
                            <w:tcMar>
                              <w:bottom w:w="28" w:type="dxa"/>
                            </w:tcMar>
                            <w:vAlign w:val="center"/>
                          </w:tcPr>
                          <w:p>
                            <w:pPr>
                              <w:pStyle w:val="TableContents"/>
                              <w:bidi w:val="0"/>
                              <w:spacing w:before="0" w:after="283"/>
                              <w:jc w:val="left"/>
                              <w:rPr/>
                            </w:pPr>
                            <w:r>
                              <w:rPr/>
                              <w:t>​</w:t>
                            </w:r>
                          </w:p>
                        </w:tc>
                      </w:tr>
                    </w:tbl>
                    <w:tbl>
                      <w:tblPr>
                        <w:tblW w:w="10205" w:type="dxa"/>
                        <w:jc w:val="left"/>
                        <w:tblInd w:w="0" w:type="dxa"/>
                        <w:tblLayout w:type="fixed"/>
                        <w:tblCellMar>
                          <w:top w:w="0" w:type="dxa"/>
                          <w:left w:w="0" w:type="dxa"/>
                          <w:bottom w:w="28" w:type="dxa"/>
                          <w:right w:w="0" w:type="dxa"/>
                        </w:tblCellMar>
                      </w:tblPr>
                      <w:tblGrid>
                        <w:gridCol w:w="124"/>
                        <w:gridCol w:w="1179"/>
                        <w:gridCol w:w="109"/>
                        <w:gridCol w:w="109"/>
                        <w:gridCol w:w="1179"/>
                        <w:gridCol w:w="109"/>
                        <w:gridCol w:w="109"/>
                        <w:gridCol w:w="7132"/>
                        <w:gridCol w:w="155"/>
                      </w:tblGrid>
                      <w:tr>
                        <w:trPr/>
                        <w:tc>
                          <w:tcPr>
                            <w:tcW w:w="124" w:type="dxa"/>
                            <w:tcBorders>
                              <w:bottom w:val="single" w:sz="2" w:space="0" w:color="4B5088"/>
                            </w:tcBorders>
                            <w:shd w:fill="E9F9D8" w:val="clear"/>
                            <w:vAlign w:val="center"/>
                          </w:tcPr>
                          <w:p>
                            <w:pPr>
                              <w:pStyle w:val="TableContents"/>
                              <w:bidi w:val="0"/>
                              <w:spacing w:before="0" w:after="283"/>
                              <w:jc w:val="left"/>
                              <w:rPr/>
                            </w:pPr>
                            <w:r>
                              <w:rPr/>
                              <w:t>​</w:t>
                            </w:r>
                          </w:p>
                        </w:tc>
                        <w:tc>
                          <w:tcPr>
                            <w:tcW w:w="1179" w:type="dxa"/>
                            <w:tcBorders>
                              <w:bottom w:val="single" w:sz="2" w:space="0" w:color="4B5088"/>
                            </w:tcBorders>
                            <w:shd w:fill="E9F9D8" w:val="clear"/>
                            <w:tcMar>
                              <w:bottom w:w="33"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1179" w:type="dxa"/>
                            <w:tcBorders>
                              <w:bottom w:val="single" w:sz="2" w:space="0" w:color="4B5088"/>
                            </w:tcBorders>
                            <w:tcMar>
                              <w:bottom w:w="33" w:type="dxa"/>
                            </w:tcMar>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7132" w:type="dxa"/>
                            <w:tcBorders>
                              <w:bottom w:val="single" w:sz="2" w:space="0" w:color="4B5088"/>
                            </w:tcBorders>
                            <w:tcMar>
                              <w:bottom w:w="33" w:type="dxa"/>
                            </w:tcMar>
                            <w:vAlign w:val="center"/>
                          </w:tcPr>
                          <w:p>
                            <w:pPr>
                              <w:pStyle w:val="TableContents"/>
                              <w:bidi w:val="0"/>
                              <w:spacing w:lineRule="atLeast" w:line="185" w:before="0" w:after="0"/>
                              <w:jc w:val="left"/>
                              <w:rPr>
                                <w:spacing w:val="-2"/>
                              </w:rPr>
                            </w:pPr>
                            <w:r>
                              <w:rPr>
                                <w:spacing w:val="-2"/>
                              </w:rPr>
                              <w:t xml:space="preserve">The actual number of LTIP units earned will be determined based on Company performance measured after the end of the full performance period ending December 31, 2027, based on three-year operational performance goals, and our three-year absolute and relative TSR, with earned LTIP units vesting as of December 31, 2027. </w:t>
                            </w:r>
                          </w:p>
                        </w:tc>
                        <w:tc>
                          <w:tcPr>
                            <w:tcW w:w="155" w:type="dxa"/>
                            <w:tcBorders>
                              <w:bottom w:val="single" w:sz="2" w:space="0" w:color="4B5088"/>
                            </w:tcBorders>
                            <w:vAlign w:val="center"/>
                          </w:tcPr>
                          <w:p>
                            <w:pPr>
                              <w:pStyle w:val="TableContents"/>
                              <w:bidi w:val="0"/>
                              <w:spacing w:before="0" w:after="283"/>
                              <w:jc w:val="left"/>
                              <w:rPr/>
                            </w:pPr>
                            <w:r>
                              <w:rPr/>
                              <w:t>​</w:t>
                            </w:r>
                          </w:p>
                        </w:tc>
                      </w:tr>
                      <w:tr>
                        <w:trPr/>
                        <w:tc>
                          <w:tcPr>
                            <w:tcW w:w="124" w:type="dxa"/>
                            <w:tcBorders>
                              <w:bottom w:val="single" w:sz="2" w:space="0" w:color="4B5088"/>
                            </w:tcBorders>
                            <w:shd w:fill="E9F9D8" w:val="clear"/>
                            <w:vAlign w:val="center"/>
                          </w:tcPr>
                          <w:p>
                            <w:pPr>
                              <w:pStyle w:val="TableContents"/>
                              <w:bidi w:val="0"/>
                              <w:spacing w:before="0" w:after="283"/>
                              <w:jc w:val="left"/>
                              <w:rPr/>
                            </w:pPr>
                            <w:r>
                              <w:rPr/>
                              <w:t>​</w:t>
                            </w:r>
                          </w:p>
                        </w:tc>
                        <w:tc>
                          <w:tcPr>
                            <w:tcW w:w="1179" w:type="dxa"/>
                            <w:tcBorders>
                              <w:bottom w:val="single" w:sz="2" w:space="0" w:color="4B5088"/>
                            </w:tcBorders>
                            <w:shd w:fill="E9F9D8" w:val="clear"/>
                            <w:tcMar>
                              <w:bottom w:w="82" w:type="dxa"/>
                            </w:tcMar>
                            <w:vAlign w:val="center"/>
                          </w:tcPr>
                          <w:p>
                            <w:pPr>
                              <w:pStyle w:val="TableContents"/>
                              <w:bidi w:val="0"/>
                              <w:spacing w:before="0" w:after="0"/>
                              <w:jc w:val="left"/>
                              <w:rPr>
                                <w:color w:val="1F2668"/>
                                <w:sz w:val="36"/>
                              </w:rPr>
                            </w:pPr>
                            <w:r>
                              <w:rPr>
                                <w:color w:val="1F2668"/>
                                <w:sz w:val="36"/>
                              </w:rPr>
                              <w:t>39%</w:t>
                            </w:r>
                          </w:p>
                          <w:p>
                            <w:pPr>
                              <w:pStyle w:val="TableContents"/>
                              <w:bidi w:val="0"/>
                              <w:spacing w:lineRule="atLeast" w:line="220" w:before="40" w:after="283"/>
                              <w:jc w:val="left"/>
                              <w:rPr>
                                <w:b/>
                                <w:sz w:val="18"/>
                              </w:rPr>
                            </w:pPr>
                            <w:r>
                              <w:rPr>
                                <w:b/>
                                <w:spacing w:val="-2"/>
                                <w:sz w:val="18"/>
                              </w:rPr>
                              <w:t>$1,450,000</w:t>
                            </w:r>
                            <w:r>
                              <w:rPr>
                                <w:b/>
                                <w:sz w:val="18"/>
                              </w:rPr>
                              <w:t xml:space="preserve"> </w:t>
                            </w:r>
                          </w:p>
                        </w:tc>
                        <w:tc>
                          <w:tcPr>
                            <w:tcW w:w="109" w:type="dxa"/>
                            <w:tcBorders>
                              <w:bottom w:val="single" w:sz="2" w:space="0" w:color="4B5088"/>
                            </w:tcBorders>
                            <w:shd w:fill="E9F9D8" w:val="clear"/>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1179" w:type="dxa"/>
                            <w:tcBorders>
                              <w:bottom w:val="single" w:sz="2" w:space="0" w:color="4B5088"/>
                            </w:tcBorders>
                            <w:tcMar>
                              <w:bottom w:w="82" w:type="dxa"/>
                            </w:tcMar>
                            <w:vAlign w:val="center"/>
                          </w:tcPr>
                          <w:p>
                            <w:pPr>
                              <w:pStyle w:val="TableContents"/>
                              <w:bidi w:val="0"/>
                              <w:spacing w:before="0" w:after="0"/>
                              <w:jc w:val="left"/>
                              <w:rPr>
                                <w:color w:val="1F2668"/>
                                <w:sz w:val="36"/>
                              </w:rPr>
                            </w:pPr>
                            <w:r>
                              <w:rPr>
                                <w:color w:val="1F2668"/>
                                <w:sz w:val="36"/>
                              </w:rPr>
                              <w:t>42%</w:t>
                            </w:r>
                          </w:p>
                          <w:p>
                            <w:pPr>
                              <w:pStyle w:val="TableContents"/>
                              <w:bidi w:val="0"/>
                              <w:spacing w:lineRule="atLeast" w:line="220" w:before="40" w:after="283"/>
                              <w:jc w:val="left"/>
                              <w:rPr>
                                <w:b/>
                                <w:sz w:val="18"/>
                              </w:rPr>
                            </w:pPr>
                            <w:r>
                              <w:rPr>
                                <w:b/>
                                <w:spacing w:val="-2"/>
                                <w:sz w:val="18"/>
                              </w:rPr>
                              <w:t>$1,458,629</w:t>
                            </w:r>
                            <w:r>
                              <w:rPr>
                                <w:b/>
                                <w:sz w:val="18"/>
                              </w:rPr>
                              <w:t xml:space="preserve"> </w:t>
                            </w:r>
                          </w:p>
                        </w:tc>
                        <w:tc>
                          <w:tcPr>
                            <w:tcW w:w="109"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7132" w:type="dxa"/>
                            <w:tcBorders>
                              <w:bottom w:val="single" w:sz="2" w:space="0" w:color="4B5088"/>
                            </w:tcBorders>
                            <w:tcMar>
                              <w:bottom w:w="82" w:type="dxa"/>
                            </w:tcMar>
                            <w:vAlign w:val="center"/>
                          </w:tcPr>
                          <w:p>
                            <w:pPr>
                              <w:pStyle w:val="TableContents"/>
                              <w:bidi w:val="0"/>
                              <w:spacing w:lineRule="atLeast" w:line="195" w:before="0" w:after="0"/>
                              <w:jc w:val="left"/>
                              <w:rPr>
                                <w:b/>
                                <w:sz w:val="18"/>
                              </w:rPr>
                            </w:pPr>
                            <w:r>
                              <w:rPr>
                                <w:b/>
                                <w:spacing w:val="-2"/>
                                <w:sz w:val="18"/>
                              </w:rPr>
                              <w:t>Time-Based Equity Awards</w:t>
                            </w:r>
                            <w:r>
                              <w:rPr>
                                <w:b/>
                                <w:sz w:val="18"/>
                              </w:rPr>
                              <w:t xml:space="preserve"> </w:t>
                            </w:r>
                          </w:p>
                          <w:p>
                            <w:pPr>
                              <w:pStyle w:val="TableContents"/>
                              <w:bidi w:val="0"/>
                              <w:spacing w:lineRule="atLeast" w:line="185" w:before="15" w:after="283"/>
                              <w:jc w:val="left"/>
                              <w:rPr/>
                            </w:pPr>
                            <w:r>
                              <w:rPr>
                                <w:spacing w:val="-2"/>
                              </w:rPr>
                              <w:t xml:space="preserve">The Committee granted time-based awards in February 2026 based on the Company’s 2025 performance. The awards had a target value of </w:t>
                            </w:r>
                            <w:r>
                              <w:rPr>
                                <w:b/>
                                <w:spacing w:val="-2"/>
                              </w:rPr>
                              <w:t>$1,450,000</w:t>
                            </w:r>
                            <w:r>
                              <w:rPr>
                                <w:spacing w:val="-2"/>
                              </w:rPr>
                              <w:t xml:space="preserve">. The corresponding </w:t>
                            </w:r>
                            <w:r>
                              <w:rPr>
                                <w:b/>
                                <w:spacing w:val="-2"/>
                              </w:rPr>
                              <w:t>32,012</w:t>
                            </w:r>
                            <w:r>
                              <w:rPr>
                                <w:spacing w:val="-2"/>
                              </w:rPr>
                              <w:t xml:space="preserve"> LTIP units vest in two equal installments on January 1, 2027 and January 1, 2028, subject to continued employment.</w:t>
                            </w:r>
                            <w:r>
                              <w:rPr/>
                              <w:t xml:space="preserve"> </w:t>
                            </w:r>
                          </w:p>
                          <w:p>
                            <w:pPr>
                              <w:pStyle w:val="TableContents"/>
                              <w:bidi w:val="0"/>
                              <w:spacing w:lineRule="atLeast" w:line="185" w:before="60" w:after="283"/>
                              <w:jc w:val="left"/>
                              <w:rPr>
                                <w:b/>
                              </w:rPr>
                            </w:pPr>
                            <w:r>
                              <w:rPr>
                                <w:b/>
                                <w:spacing w:val="-2"/>
                              </w:rPr>
                              <w:t>The SCT amount represents the grant date value of the awards granted retrospectively in January 2025 based on the Company’s 2024 performance</w:t>
                            </w:r>
                            <w:r>
                              <w:rPr>
                                <w:b w:val="false"/>
                                <w:spacing w:val="-2"/>
                              </w:rPr>
                              <w:t xml:space="preserve">. </w:t>
                            </w:r>
                          </w:p>
                        </w:tc>
                        <w:tc>
                          <w:tcPr>
                            <w:tcW w:w="155" w:type="dxa"/>
                            <w:tcBorders>
                              <w:bottom w:val="single" w:sz="2" w:space="0" w:color="4B5088"/>
                            </w:tcBorders>
                            <w:vAlign w:val="center"/>
                          </w:tcPr>
                          <w:p>
                            <w:pPr>
                              <w:pStyle w:val="TableContents"/>
                              <w:bidi w:val="0"/>
                              <w:spacing w:before="0" w:after="283"/>
                              <w:jc w:val="left"/>
                              <w:rPr/>
                            </w:pPr>
                            <w:r>
                              <w:rPr/>
                              <w:t>​</w:t>
                            </w:r>
                          </w:p>
                        </w:tc>
                      </w:tr>
                      <w:tr>
                        <w:trPr/>
                        <w:tc>
                          <w:tcPr>
                            <w:tcW w:w="124" w:type="dxa"/>
                            <w:tcBorders>
                              <w:bottom w:val="single" w:sz="2" w:space="0" w:color="4B5088"/>
                            </w:tcBorders>
                            <w:shd w:fill="E9F9D8" w:val="clear"/>
                            <w:vAlign w:val="center"/>
                          </w:tcPr>
                          <w:p>
                            <w:pPr>
                              <w:pStyle w:val="TableContents"/>
                              <w:bidi w:val="0"/>
                              <w:spacing w:before="0" w:after="283"/>
                              <w:jc w:val="left"/>
                              <w:rPr/>
                            </w:pPr>
                            <w:r>
                              <w:rPr/>
                              <w:t>​</w:t>
                            </w:r>
                          </w:p>
                        </w:tc>
                        <w:tc>
                          <w:tcPr>
                            <w:tcW w:w="1179" w:type="dxa"/>
                            <w:tcBorders>
                              <w:bottom w:val="single" w:sz="2" w:space="0" w:color="4B5088"/>
                            </w:tcBorders>
                            <w:shd w:fill="E9F9D8" w:val="clear"/>
                            <w:tcMar>
                              <w:bottom w:w="82" w:type="dxa"/>
                            </w:tcMar>
                            <w:vAlign w:val="center"/>
                          </w:tcPr>
                          <w:p>
                            <w:pPr>
                              <w:pStyle w:val="TableContents"/>
                              <w:bidi w:val="0"/>
                              <w:spacing w:before="0" w:after="0"/>
                              <w:jc w:val="left"/>
                              <w:rPr>
                                <w:color w:val="1F2668"/>
                                <w:sz w:val="36"/>
                              </w:rPr>
                            </w:pPr>
                            <w:r>
                              <w:rPr>
                                <w:color w:val="1F2668"/>
                                <w:sz w:val="36"/>
                              </w:rPr>
                              <w:t>100%</w:t>
                            </w:r>
                          </w:p>
                          <w:p>
                            <w:pPr>
                              <w:pStyle w:val="TableContents"/>
                              <w:bidi w:val="0"/>
                              <w:spacing w:lineRule="atLeast" w:line="220" w:before="40" w:after="283"/>
                              <w:jc w:val="left"/>
                              <w:rPr>
                                <w:b/>
                              </w:rPr>
                            </w:pPr>
                            <w:r>
                              <w:rPr>
                                <w:b/>
                                <w:spacing w:val="-2"/>
                              </w:rPr>
                              <w:t>$3,764,000</w:t>
                            </w:r>
                            <w:r>
                              <w:rPr>
                                <w:b/>
                              </w:rPr>
                              <w:t xml:space="preserve"> </w:t>
                            </w:r>
                          </w:p>
                        </w:tc>
                        <w:tc>
                          <w:tcPr>
                            <w:tcW w:w="109" w:type="dxa"/>
                            <w:tcBorders>
                              <w:bottom w:val="single" w:sz="2" w:space="0" w:color="4B5088"/>
                            </w:tcBorders>
                            <w:shd w:fill="E9F9D8" w:val="clear"/>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1179" w:type="dxa"/>
                            <w:tcBorders>
                              <w:bottom w:val="single" w:sz="2" w:space="0" w:color="4B5088"/>
                            </w:tcBorders>
                            <w:tcMar>
                              <w:bottom w:w="82" w:type="dxa"/>
                            </w:tcMar>
                            <w:vAlign w:val="center"/>
                          </w:tcPr>
                          <w:p>
                            <w:pPr>
                              <w:pStyle w:val="TableContents"/>
                              <w:bidi w:val="0"/>
                              <w:spacing w:before="0" w:after="0"/>
                              <w:jc w:val="left"/>
                              <w:rPr>
                                <w:color w:val="1F2668"/>
                                <w:sz w:val="36"/>
                              </w:rPr>
                            </w:pPr>
                            <w:r>
                              <w:rPr>
                                <w:color w:val="1F2668"/>
                                <w:sz w:val="36"/>
                              </w:rPr>
                              <w:t>100%</w:t>
                            </w:r>
                          </w:p>
                          <w:p>
                            <w:pPr>
                              <w:pStyle w:val="TableContents"/>
                              <w:bidi w:val="0"/>
                              <w:spacing w:lineRule="atLeast" w:line="220" w:before="40" w:after="283"/>
                              <w:jc w:val="left"/>
                              <w:rPr>
                                <w:b/>
                              </w:rPr>
                            </w:pPr>
                            <w:r>
                              <w:rPr>
                                <w:b/>
                                <w:spacing w:val="-2"/>
                              </w:rPr>
                              <w:t>$3,472,353</w:t>
                            </w:r>
                            <w:r>
                              <w:rPr>
                                <w:b/>
                              </w:rPr>
                              <w:t xml:space="preserve"> </w:t>
                            </w:r>
                          </w:p>
                        </w:tc>
                        <w:tc>
                          <w:tcPr>
                            <w:tcW w:w="109"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7132" w:type="dxa"/>
                            <w:tcBorders>
                              <w:bottom w:val="single" w:sz="2" w:space="0" w:color="4B5088"/>
                            </w:tcBorders>
                            <w:tcMar>
                              <w:bottom w:w="82" w:type="dxa"/>
                            </w:tcMar>
                            <w:vAlign w:val="center"/>
                          </w:tcPr>
                          <w:p>
                            <w:pPr>
                              <w:pStyle w:val="TableContents"/>
                              <w:bidi w:val="0"/>
                              <w:spacing w:lineRule="atLeast" w:line="185" w:before="0" w:after="0"/>
                              <w:jc w:val="left"/>
                              <w:rPr>
                                <w:sz w:val="17"/>
                              </w:rPr>
                            </w:pPr>
                            <w:r>
                              <w:rPr>
                                <w:spacing w:val="-2"/>
                                <w:sz w:val="17"/>
                              </w:rPr>
                              <w:t>Both totals include $14,000 of “Other Compensation,” as reflected in the Summary Compensation Table.</w:t>
                            </w:r>
                            <w:r>
                              <w:rPr>
                                <w:sz w:val="17"/>
                              </w:rPr>
                              <w:t xml:space="preserve"> </w:t>
                            </w:r>
                          </w:p>
                        </w:tc>
                        <w:tc>
                          <w:tcPr>
                            <w:tcW w:w="155" w:type="dxa"/>
                            <w:tcBorders>
                              <w:bottom w:val="single" w:sz="2" w:space="0" w:color="4B5088"/>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225" w:type="dxa"/>
        <w:jc w:val="left"/>
        <w:tblInd w:w="900" w:type="dxa"/>
        <w:tblLayout w:type="fixed"/>
        <w:tblCellMar>
          <w:top w:w="0" w:type="dxa"/>
          <w:left w:w="0" w:type="dxa"/>
          <w:bottom w:w="0" w:type="dxa"/>
          <w:right w:w="0" w:type="dxa"/>
        </w:tblCellMar>
      </w:tblPr>
      <w:tblGrid>
        <w:gridCol w:w="124"/>
        <w:gridCol w:w="346"/>
        <w:gridCol w:w="109"/>
        <w:gridCol w:w="109"/>
        <w:gridCol w:w="4383"/>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58</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383" w:type="dxa"/>
            <w:tcBorders/>
            <w:vAlign w:val="center"/>
          </w:tcPr>
          <w:p>
            <w:pPr>
              <w:pStyle w:val="TableContents"/>
              <w:bidi w:val="0"/>
              <w:spacing w:lineRule="atLeast" w:line="200" w:before="0" w:after="0"/>
              <w:jc w:val="left"/>
              <w:rPr/>
            </w:pPr>
            <w:r>
              <w:rPr>
                <w:spacing w:val="-2"/>
              </w:rPr>
              <w:t>    </w:t>
            </w:r>
            <w:r>
              <w:rPr>
                <w:spacing w:val="-2"/>
                <w:sz w:val="16"/>
              </w:rPr>
              <w:t>SL GREEN REALTY CORP. 2026 PROXY STATEMENT</w:t>
            </w:r>
            <w:r>
              <w:rPr>
                <w:sz w:val="16"/>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20" w:before="560" w:after="154"/>
        <w:ind w:left="900" w:right="0" w:hanging="0"/>
        <w:jc w:val="left"/>
        <w:rPr>
          <w:rFonts w:ascii="Arial;Helvetica;sans-serif" w:hAnsi="Arial;Helvetica;sans-serif"/>
          <w:b/>
          <w:i w:val="false"/>
          <w:caps w:val="false"/>
          <w:smallCaps w:val="false"/>
          <w:color w:val="1F2668"/>
          <w:sz w:val="18"/>
        </w:rPr>
      </w:pPr>
      <w:r>
        <w:rPr>
          <w:rFonts w:ascii="Arial;Helvetica;sans-serif" w:hAnsi="Arial;Helvetica;sans-serif"/>
          <w:b/>
          <w:i w:val="false"/>
          <w:caps w:val="false"/>
          <w:smallCaps w:val="false"/>
          <w:color w:val="1F2668"/>
          <w:spacing w:val="-2"/>
          <w:sz w:val="18"/>
        </w:rPr>
        <w:t>FINAL RESULTS—2023-2025 PERFORMANCE-BASED AWARDS</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240" w:before="9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 xml:space="preserve">The performance period for the 2023 annual performance-based equity awards concluded on December 31, 2025. Under the program, </w:t>
      </w:r>
      <w:r>
        <w:rPr>
          <w:rFonts w:ascii="Arial;Helvetica;sans-serif" w:hAnsi="Arial;Helvetica;sans-serif"/>
          <w:b/>
          <w:i w:val="false"/>
          <w:caps w:val="false"/>
          <w:smallCaps w:val="false"/>
          <w:color w:val="000000"/>
          <w:spacing w:val="-2"/>
          <w:sz w:val="18"/>
        </w:rPr>
        <w:t>88.0%</w:t>
      </w:r>
      <w:r>
        <w:rPr>
          <w:rFonts w:ascii="Arial;Helvetica;sans-serif" w:hAnsi="Arial;Helvetica;sans-serif"/>
          <w:b w:val="false"/>
          <w:i w:val="false"/>
          <w:caps w:val="false"/>
          <w:smallCaps w:val="false"/>
          <w:color w:val="000000"/>
          <w:spacing w:val="-2"/>
          <w:sz w:val="18"/>
        </w:rPr>
        <w:t xml:space="preserve"> of the target operational component was initially earned, which amount was </w:t>
      </w:r>
      <w:r>
        <w:rPr>
          <w:rFonts w:ascii="Arial;Helvetica;sans-serif" w:hAnsi="Arial;Helvetica;sans-serif"/>
          <w:b/>
          <w:i w:val="false"/>
          <w:caps w:val="false"/>
          <w:smallCaps w:val="false"/>
          <w:color w:val="000000"/>
          <w:spacing w:val="-2"/>
          <w:sz w:val="18"/>
        </w:rPr>
        <w:t>increased by 12.5%</w:t>
      </w:r>
      <w:r>
        <w:rPr>
          <w:rFonts w:ascii="Arial;Helvetica;sans-serif" w:hAnsi="Arial;Helvetica;sans-serif"/>
          <w:b w:val="false"/>
          <w:i w:val="false"/>
          <w:caps w:val="false"/>
          <w:smallCaps w:val="false"/>
          <w:color w:val="000000"/>
          <w:spacing w:val="-2"/>
          <w:sz w:val="18"/>
        </w:rPr>
        <w:t xml:space="preserve"> following application of the three-year absolute TSR modifier at the end of the performance period. Award recipients also earned </w:t>
      </w:r>
      <w:r>
        <w:rPr>
          <w:rFonts w:ascii="Arial;Helvetica;sans-serif" w:hAnsi="Arial;Helvetica;sans-serif"/>
          <w:b/>
          <w:i w:val="false"/>
          <w:caps w:val="false"/>
          <w:smallCaps w:val="false"/>
          <w:color w:val="000000"/>
          <w:spacing w:val="-2"/>
          <w:sz w:val="18"/>
        </w:rPr>
        <w:t>225%</w:t>
      </w:r>
      <w:r>
        <w:rPr>
          <w:rFonts w:ascii="Arial;Helvetica;sans-serif" w:hAnsi="Arial;Helvetica;sans-serif"/>
          <w:b w:val="false"/>
          <w:i w:val="false"/>
          <w:caps w:val="false"/>
          <w:smallCaps w:val="false"/>
          <w:color w:val="000000"/>
          <w:spacing w:val="-2"/>
          <w:sz w:val="18"/>
        </w:rPr>
        <w:t xml:space="preserve"> of target for both of the components that could be earned based on our relative performance, as measured against the constituents of the Dow Jones U.S. Real Estate Office Index and measured against the NYC REIT Peers.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9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The table below summarizes the final value of these awards as of the conclusion of the performance period:</w:t>
      </w:r>
      <w:r>
        <w:rPr>
          <w:rFonts w:ascii="Arial;Helvetica;sans-serif" w:hAnsi="Arial;Helvetica;sans-serif"/>
          <w:b w:val="false"/>
          <w:i w:val="false"/>
          <w:caps w:val="false"/>
          <w:smallCaps w:val="false"/>
          <w:color w:val="000000"/>
          <w:spacing w:val="4"/>
          <w:sz w:val="18"/>
        </w:rPr>
        <w:t xml:space="preserve"> </w:t>
      </w:r>
    </w:p>
    <w:tbl>
      <w:tblPr>
        <w:tblW w:w="9557" w:type="dxa"/>
        <w:jc w:val="left"/>
        <w:tblInd w:w="900" w:type="dxa"/>
        <w:tblLayout w:type="fixed"/>
        <w:tblCellMar>
          <w:top w:w="0" w:type="dxa"/>
          <w:left w:w="0" w:type="dxa"/>
          <w:bottom w:w="28" w:type="dxa"/>
          <w:right w:w="0" w:type="dxa"/>
        </w:tblCellMar>
      </w:tblPr>
      <w:tblGrid>
        <w:gridCol w:w="1110"/>
        <w:gridCol w:w="109"/>
        <w:gridCol w:w="109"/>
        <w:gridCol w:w="109"/>
        <w:gridCol w:w="226"/>
        <w:gridCol w:w="1066"/>
        <w:gridCol w:w="109"/>
        <w:gridCol w:w="109"/>
        <w:gridCol w:w="109"/>
        <w:gridCol w:w="109"/>
        <w:gridCol w:w="109"/>
        <w:gridCol w:w="886"/>
        <w:gridCol w:w="109"/>
        <w:gridCol w:w="109"/>
        <w:gridCol w:w="109"/>
        <w:gridCol w:w="128"/>
        <w:gridCol w:w="128"/>
        <w:gridCol w:w="1040"/>
        <w:gridCol w:w="129"/>
        <w:gridCol w:w="109"/>
        <w:gridCol w:w="109"/>
        <w:gridCol w:w="109"/>
        <w:gridCol w:w="226"/>
        <w:gridCol w:w="1186"/>
        <w:gridCol w:w="109"/>
        <w:gridCol w:w="109"/>
        <w:gridCol w:w="109"/>
        <w:gridCol w:w="142"/>
        <w:gridCol w:w="142"/>
        <w:gridCol w:w="998"/>
        <w:gridCol w:w="143"/>
        <w:gridCol w:w="154"/>
      </w:tblGrid>
      <w:tr>
        <w:trPr/>
        <w:tc>
          <w:tcPr>
            <w:tcW w:w="1110" w:type="dxa"/>
            <w:tcBorders>
              <w:bottom w:val="single" w:sz="2" w:space="0" w:color="1F2668"/>
            </w:tcBorders>
            <w:vAlign w:val="center"/>
          </w:tcPr>
          <w:p>
            <w:pPr>
              <w:pStyle w:val="TableContents"/>
              <w:bidi w:val="0"/>
              <w:spacing w:before="0" w:after="0"/>
              <w:jc w:val="left"/>
              <w:rPr>
                <w:spacing w:val="-2"/>
              </w:rPr>
            </w:pPr>
            <w:r>
              <w:rPr>
                <w:spacing w:val="-2"/>
              </w:rPr>
              <w:t xml:space="preserve">Executive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0" w:type="dxa"/>
            <w:gridSpan w:val="4"/>
            <w:tcBorders>
              <w:bottom w:val="single" w:sz="2" w:space="0" w:color="1F2668"/>
            </w:tcBorders>
            <w:vAlign w:val="center"/>
          </w:tcPr>
          <w:p>
            <w:pPr>
              <w:pStyle w:val="TableContents"/>
              <w:bidi w:val="0"/>
              <w:spacing w:before="0" w:after="0"/>
              <w:jc w:val="right"/>
              <w:rPr/>
            </w:pPr>
            <w:r>
              <w:rPr>
                <w:spacing w:val="-2"/>
              </w:rPr>
              <w:t xml:space="preserve">Target Value of </w:t>
              <w:br/>
              <w:t>Grant</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1F2668"/>
            </w:tcBorders>
            <w:vAlign w:val="center"/>
          </w:tcPr>
          <w:p>
            <w:pPr>
              <w:pStyle w:val="TableContents"/>
              <w:bidi w:val="0"/>
              <w:spacing w:before="0" w:after="0"/>
              <w:jc w:val="right"/>
              <w:rPr/>
            </w:pPr>
            <w:r>
              <w:rPr>
                <w:spacing w:val="-2"/>
              </w:rPr>
              <w:t xml:space="preserve">Number of Units </w:t>
              <w:br/>
              <w:t>Earned at Target</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25" w:type="dxa"/>
            <w:gridSpan w:val="4"/>
            <w:tcBorders>
              <w:bottom w:val="single" w:sz="2" w:space="0" w:color="1F2668"/>
            </w:tcBorders>
            <w:vAlign w:val="center"/>
          </w:tcPr>
          <w:p>
            <w:pPr>
              <w:pStyle w:val="TableContents"/>
              <w:bidi w:val="0"/>
              <w:spacing w:before="0" w:after="0"/>
              <w:jc w:val="right"/>
              <w:rPr/>
            </w:pPr>
            <w:r>
              <w:rPr>
                <w:spacing w:val="-2"/>
              </w:rPr>
              <w:t xml:space="preserve">Earned Units as of </w:t>
              <w:br/>
              <w:t>December 31, 2025</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30" w:type="dxa"/>
            <w:gridSpan w:val="4"/>
            <w:tcBorders>
              <w:bottom w:val="single" w:sz="2" w:space="0" w:color="1F2668"/>
            </w:tcBorders>
            <w:vAlign w:val="center"/>
          </w:tcPr>
          <w:p>
            <w:pPr>
              <w:pStyle w:val="TableContents"/>
              <w:bidi w:val="0"/>
              <w:spacing w:lineRule="atLeast" w:line="142" w:before="0" w:after="0"/>
              <w:jc w:val="right"/>
              <w:rPr/>
            </w:pPr>
            <w:r>
              <w:rPr>
                <w:spacing w:val="-2"/>
              </w:rPr>
              <w:t xml:space="preserve">Realized Value as of </w:t>
              <w:br/>
              <w:t>December 31, 2025</w:t>
            </w:r>
            <w:r>
              <w:rPr>
                <w:b/>
                <w:spacing w:val="-1"/>
                <w:sz w:val="10"/>
              </w:rPr>
              <w:t>(1)</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25" w:type="dxa"/>
            <w:gridSpan w:val="4"/>
            <w:tcBorders>
              <w:bottom w:val="single" w:sz="2" w:space="0" w:color="1F2668"/>
            </w:tcBorders>
            <w:vAlign w:val="center"/>
          </w:tcPr>
          <w:p>
            <w:pPr>
              <w:pStyle w:val="TableContents"/>
              <w:bidi w:val="0"/>
              <w:spacing w:before="0" w:after="0"/>
              <w:jc w:val="right"/>
              <w:rPr/>
            </w:pPr>
            <w:r>
              <w:rPr>
                <w:spacing w:val="-2"/>
              </w:rPr>
              <w:t xml:space="preserve">Realized Value as a </w:t>
              <w:br/>
              <w:t xml:space="preserve">Percentage of </w:t>
              <w:br/>
              <w:t xml:space="preserve">Target Value as of </w:t>
              <w:br/>
              <w:t>December 31, 2025</w:t>
            </w:r>
            <w:r>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110" w:type="dxa"/>
            <w:tcBorders>
              <w:bottom w:val="single" w:sz="2" w:space="0" w:color="4B5088"/>
            </w:tcBorders>
            <w:tcMar>
              <w:bottom w:w="30" w:type="dxa"/>
            </w:tcMar>
            <w:vAlign w:val="center"/>
          </w:tcPr>
          <w:p>
            <w:pPr>
              <w:pStyle w:val="TableContents"/>
              <w:bidi w:val="0"/>
              <w:spacing w:before="0" w:after="0"/>
              <w:jc w:val="left"/>
              <w:rPr>
                <w:b/>
              </w:rPr>
            </w:pPr>
            <w:r>
              <w:rPr>
                <w:b/>
                <w:spacing w:val="-2"/>
              </w:rPr>
              <w:t>Marc Holliday</w:t>
            </w:r>
            <w:r>
              <w:rPr>
                <w:b/>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226" w:type="dxa"/>
            <w:tcBorders>
              <w:bottom w:val="single" w:sz="2" w:space="0" w:color="4B5088"/>
            </w:tcBorders>
            <w:tcMar>
              <w:bottom w:w="30" w:type="dxa"/>
            </w:tcMar>
            <w:vAlign w:val="center"/>
          </w:tcPr>
          <w:p>
            <w:pPr>
              <w:pStyle w:val="TableContents"/>
              <w:bidi w:val="0"/>
              <w:spacing w:before="0" w:after="283"/>
              <w:jc w:val="right"/>
              <w:rPr/>
            </w:pPr>
            <w:r>
              <w:rPr/>
              <w:t>$</w:t>
            </w:r>
          </w:p>
        </w:tc>
        <w:tc>
          <w:tcPr>
            <w:tcW w:w="1066" w:type="dxa"/>
            <w:tcBorders>
              <w:bottom w:val="single" w:sz="2" w:space="0" w:color="4B5088"/>
            </w:tcBorders>
            <w:tcMar>
              <w:bottom w:w="30" w:type="dxa"/>
            </w:tcMar>
            <w:vAlign w:val="center"/>
          </w:tcPr>
          <w:p>
            <w:pPr>
              <w:pStyle w:val="TableContents"/>
              <w:bidi w:val="0"/>
              <w:spacing w:before="0" w:after="283"/>
              <w:jc w:val="right"/>
              <w:rPr/>
            </w:pPr>
            <w:r>
              <w:rPr/>
              <w:t>7,500,000</w:t>
            </w:r>
          </w:p>
        </w:tc>
        <w:tc>
          <w:tcPr>
            <w:tcW w:w="109"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4B5088"/>
            </w:tcBorders>
            <w:tcMar>
              <w:bottom w:w="30" w:type="dxa"/>
            </w:tcMar>
            <w:vAlign w:val="center"/>
          </w:tcPr>
          <w:p>
            <w:pPr>
              <w:pStyle w:val="TableContents"/>
              <w:bidi w:val="0"/>
              <w:spacing w:before="0" w:after="283"/>
              <w:jc w:val="right"/>
              <w:rPr/>
            </w:pPr>
            <w:r>
              <w:rPr/>
              <w:t>​</w:t>
            </w:r>
          </w:p>
        </w:tc>
        <w:tc>
          <w:tcPr>
            <w:tcW w:w="886" w:type="dxa"/>
            <w:tcBorders>
              <w:bottom w:val="single" w:sz="2" w:space="0" w:color="4B5088"/>
            </w:tcBorders>
            <w:tcMar>
              <w:bottom w:w="30" w:type="dxa"/>
            </w:tcMar>
            <w:vAlign w:val="center"/>
          </w:tcPr>
          <w:p>
            <w:pPr>
              <w:pStyle w:val="TableContents"/>
              <w:bidi w:val="0"/>
              <w:spacing w:before="0" w:after="283"/>
              <w:jc w:val="right"/>
              <w:rPr/>
            </w:pPr>
            <w:r>
              <w:rPr/>
              <w:t>223,593</w:t>
            </w:r>
          </w:p>
        </w:tc>
        <w:tc>
          <w:tcPr>
            <w:tcW w:w="109"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8" w:type="dxa"/>
            <w:tcBorders>
              <w:bottom w:val="single" w:sz="2" w:space="0" w:color="4B5088"/>
            </w:tcBorders>
            <w:vAlign w:val="center"/>
          </w:tcPr>
          <w:p>
            <w:pPr>
              <w:pStyle w:val="TableContents"/>
              <w:bidi w:val="0"/>
              <w:spacing w:before="0" w:after="283"/>
              <w:jc w:val="left"/>
              <w:rPr/>
            </w:pPr>
            <w:r>
              <w:rPr/>
              <w:t>​</w:t>
            </w:r>
          </w:p>
        </w:tc>
        <w:tc>
          <w:tcPr>
            <w:tcW w:w="128" w:type="dxa"/>
            <w:tcBorders>
              <w:bottom w:val="single" w:sz="2" w:space="0" w:color="4B5088"/>
            </w:tcBorders>
            <w:tcMar>
              <w:bottom w:w="30" w:type="dxa"/>
            </w:tcMar>
            <w:vAlign w:val="center"/>
          </w:tcPr>
          <w:p>
            <w:pPr>
              <w:pStyle w:val="TableContents"/>
              <w:bidi w:val="0"/>
              <w:spacing w:before="0" w:after="283"/>
              <w:jc w:val="right"/>
              <w:rPr/>
            </w:pPr>
            <w:r>
              <w:rPr/>
              <w:t>​</w:t>
            </w:r>
          </w:p>
        </w:tc>
        <w:tc>
          <w:tcPr>
            <w:tcW w:w="1040" w:type="dxa"/>
            <w:tcBorders>
              <w:bottom w:val="single" w:sz="2" w:space="0" w:color="4B5088"/>
            </w:tcBorders>
            <w:tcMar>
              <w:bottom w:w="30" w:type="dxa"/>
            </w:tcMar>
            <w:vAlign w:val="center"/>
          </w:tcPr>
          <w:p>
            <w:pPr>
              <w:pStyle w:val="TableContents"/>
              <w:bidi w:val="0"/>
              <w:spacing w:before="0" w:after="283"/>
              <w:jc w:val="right"/>
              <w:rPr/>
            </w:pPr>
            <w:r>
              <w:rPr/>
              <w:t>362,221</w:t>
            </w:r>
          </w:p>
        </w:tc>
        <w:tc>
          <w:tcPr>
            <w:tcW w:w="129"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226" w:type="dxa"/>
            <w:tcBorders>
              <w:bottom w:val="single" w:sz="2" w:space="0" w:color="4B5088"/>
            </w:tcBorders>
            <w:tcMar>
              <w:bottom w:w="30" w:type="dxa"/>
            </w:tcMar>
            <w:vAlign w:val="center"/>
          </w:tcPr>
          <w:p>
            <w:pPr>
              <w:pStyle w:val="TableContents"/>
              <w:bidi w:val="0"/>
              <w:spacing w:before="0" w:after="283"/>
              <w:jc w:val="right"/>
              <w:rPr/>
            </w:pPr>
            <w:r>
              <w:rPr/>
              <w:t>$</w:t>
            </w:r>
          </w:p>
        </w:tc>
        <w:tc>
          <w:tcPr>
            <w:tcW w:w="1186" w:type="dxa"/>
            <w:tcBorders>
              <w:bottom w:val="single" w:sz="2" w:space="0" w:color="4B5088"/>
            </w:tcBorders>
            <w:tcMar>
              <w:bottom w:w="30" w:type="dxa"/>
            </w:tcMar>
            <w:vAlign w:val="center"/>
          </w:tcPr>
          <w:p>
            <w:pPr>
              <w:pStyle w:val="TableContents"/>
              <w:bidi w:val="0"/>
              <w:spacing w:before="0" w:after="283"/>
              <w:jc w:val="right"/>
              <w:rPr/>
            </w:pPr>
            <w:r>
              <w:rPr/>
              <w:t>16,615,077</w:t>
            </w:r>
          </w:p>
        </w:tc>
        <w:tc>
          <w:tcPr>
            <w:tcW w:w="109"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2" w:type="dxa"/>
            <w:tcBorders>
              <w:bottom w:val="single" w:sz="2" w:space="0" w:color="4B5088"/>
            </w:tcBorders>
            <w:vAlign w:val="center"/>
          </w:tcPr>
          <w:p>
            <w:pPr>
              <w:pStyle w:val="TableContents"/>
              <w:bidi w:val="0"/>
              <w:spacing w:before="0" w:after="283"/>
              <w:jc w:val="left"/>
              <w:rPr/>
            </w:pPr>
            <w:r>
              <w:rPr/>
              <w:t>​</w:t>
            </w:r>
          </w:p>
        </w:tc>
        <w:tc>
          <w:tcPr>
            <w:tcW w:w="142" w:type="dxa"/>
            <w:tcBorders>
              <w:bottom w:val="single" w:sz="2" w:space="0" w:color="4B5088"/>
            </w:tcBorders>
            <w:tcMar>
              <w:bottom w:w="30" w:type="dxa"/>
            </w:tcMar>
            <w:vAlign w:val="center"/>
          </w:tcPr>
          <w:p>
            <w:pPr>
              <w:pStyle w:val="TableContents"/>
              <w:bidi w:val="0"/>
              <w:spacing w:before="0" w:after="283"/>
              <w:jc w:val="right"/>
              <w:rPr/>
            </w:pPr>
            <w:r>
              <w:rPr/>
              <w:t>​</w:t>
            </w:r>
          </w:p>
        </w:tc>
        <w:tc>
          <w:tcPr>
            <w:tcW w:w="998" w:type="dxa"/>
            <w:tcBorders>
              <w:bottom w:val="single" w:sz="2" w:space="0" w:color="4B5088"/>
            </w:tcBorders>
            <w:tcMar>
              <w:bottom w:w="30" w:type="dxa"/>
            </w:tcMar>
            <w:vAlign w:val="center"/>
          </w:tcPr>
          <w:p>
            <w:pPr>
              <w:pStyle w:val="TableContents"/>
              <w:bidi w:val="0"/>
              <w:spacing w:before="0" w:after="283"/>
              <w:jc w:val="right"/>
              <w:rPr/>
            </w:pPr>
            <w:r>
              <w:rPr/>
              <w:t>221.53%</w:t>
            </w:r>
          </w:p>
        </w:tc>
        <w:tc>
          <w:tcPr>
            <w:tcW w:w="143" w:type="dxa"/>
            <w:tcBorders>
              <w:bottom w:val="single" w:sz="2" w:space="0" w:color="4B5088"/>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110" w:type="dxa"/>
            <w:tcBorders>
              <w:bottom w:val="single" w:sz="2" w:space="0" w:color="4B5088"/>
            </w:tcBorders>
            <w:tcMar>
              <w:bottom w:w="30" w:type="dxa"/>
            </w:tcMar>
            <w:vAlign w:val="center"/>
          </w:tcPr>
          <w:p>
            <w:pPr>
              <w:pStyle w:val="TableContents"/>
              <w:bidi w:val="0"/>
              <w:spacing w:before="0" w:after="0"/>
              <w:jc w:val="left"/>
              <w:rPr>
                <w:b/>
              </w:rPr>
            </w:pPr>
            <w:r>
              <w:rPr>
                <w:b/>
                <w:spacing w:val="-2"/>
              </w:rPr>
              <w:t>Matthew J. DiLiberto</w:t>
            </w:r>
            <w:r>
              <w:rPr>
                <w:b/>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226" w:type="dxa"/>
            <w:tcBorders>
              <w:bottom w:val="single" w:sz="2" w:space="0" w:color="4B5088"/>
            </w:tcBorders>
            <w:tcMar>
              <w:bottom w:w="30" w:type="dxa"/>
            </w:tcMar>
            <w:vAlign w:val="center"/>
          </w:tcPr>
          <w:p>
            <w:pPr>
              <w:pStyle w:val="TableContents"/>
              <w:bidi w:val="0"/>
              <w:spacing w:before="0" w:after="283"/>
              <w:jc w:val="right"/>
              <w:rPr/>
            </w:pPr>
            <w:r>
              <w:rPr/>
              <w:t>$</w:t>
            </w:r>
          </w:p>
        </w:tc>
        <w:tc>
          <w:tcPr>
            <w:tcW w:w="1066" w:type="dxa"/>
            <w:tcBorders>
              <w:bottom w:val="single" w:sz="2" w:space="0" w:color="4B5088"/>
            </w:tcBorders>
            <w:tcMar>
              <w:bottom w:w="30" w:type="dxa"/>
            </w:tcMar>
            <w:vAlign w:val="center"/>
          </w:tcPr>
          <w:p>
            <w:pPr>
              <w:pStyle w:val="TableContents"/>
              <w:bidi w:val="0"/>
              <w:spacing w:before="0" w:after="283"/>
              <w:jc w:val="right"/>
              <w:rPr/>
            </w:pPr>
            <w:r>
              <w:rPr/>
              <w:t>555,556</w:t>
            </w:r>
          </w:p>
        </w:tc>
        <w:tc>
          <w:tcPr>
            <w:tcW w:w="109"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4B5088"/>
            </w:tcBorders>
            <w:tcMar>
              <w:bottom w:w="30" w:type="dxa"/>
            </w:tcMar>
            <w:vAlign w:val="center"/>
          </w:tcPr>
          <w:p>
            <w:pPr>
              <w:pStyle w:val="TableContents"/>
              <w:bidi w:val="0"/>
              <w:spacing w:before="0" w:after="283"/>
              <w:jc w:val="right"/>
              <w:rPr/>
            </w:pPr>
            <w:r>
              <w:rPr/>
              <w:t>​</w:t>
            </w:r>
          </w:p>
        </w:tc>
        <w:tc>
          <w:tcPr>
            <w:tcW w:w="886" w:type="dxa"/>
            <w:tcBorders>
              <w:bottom w:val="single" w:sz="2" w:space="0" w:color="4B5088"/>
            </w:tcBorders>
            <w:tcMar>
              <w:bottom w:w="30" w:type="dxa"/>
            </w:tcMar>
            <w:vAlign w:val="center"/>
          </w:tcPr>
          <w:p>
            <w:pPr>
              <w:pStyle w:val="TableContents"/>
              <w:bidi w:val="0"/>
              <w:spacing w:before="0" w:after="283"/>
              <w:jc w:val="right"/>
              <w:rPr/>
            </w:pPr>
            <w:r>
              <w:rPr/>
              <w:t>16,562</w:t>
            </w:r>
          </w:p>
        </w:tc>
        <w:tc>
          <w:tcPr>
            <w:tcW w:w="109"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8" w:type="dxa"/>
            <w:tcBorders>
              <w:bottom w:val="single" w:sz="2" w:space="0" w:color="4B5088"/>
            </w:tcBorders>
            <w:vAlign w:val="center"/>
          </w:tcPr>
          <w:p>
            <w:pPr>
              <w:pStyle w:val="TableContents"/>
              <w:bidi w:val="0"/>
              <w:spacing w:before="0" w:after="283"/>
              <w:jc w:val="left"/>
              <w:rPr/>
            </w:pPr>
            <w:r>
              <w:rPr/>
              <w:t>​</w:t>
            </w:r>
          </w:p>
        </w:tc>
        <w:tc>
          <w:tcPr>
            <w:tcW w:w="128" w:type="dxa"/>
            <w:tcBorders>
              <w:bottom w:val="single" w:sz="2" w:space="0" w:color="4B5088"/>
            </w:tcBorders>
            <w:tcMar>
              <w:bottom w:w="30" w:type="dxa"/>
            </w:tcMar>
            <w:vAlign w:val="center"/>
          </w:tcPr>
          <w:p>
            <w:pPr>
              <w:pStyle w:val="TableContents"/>
              <w:bidi w:val="0"/>
              <w:spacing w:before="0" w:after="283"/>
              <w:jc w:val="right"/>
              <w:rPr/>
            </w:pPr>
            <w:r>
              <w:rPr/>
              <w:t>​</w:t>
            </w:r>
          </w:p>
        </w:tc>
        <w:tc>
          <w:tcPr>
            <w:tcW w:w="1040" w:type="dxa"/>
            <w:tcBorders>
              <w:bottom w:val="single" w:sz="2" w:space="0" w:color="4B5088"/>
            </w:tcBorders>
            <w:tcMar>
              <w:bottom w:w="30" w:type="dxa"/>
            </w:tcMar>
            <w:vAlign w:val="center"/>
          </w:tcPr>
          <w:p>
            <w:pPr>
              <w:pStyle w:val="TableContents"/>
              <w:bidi w:val="0"/>
              <w:spacing w:before="0" w:after="283"/>
              <w:jc w:val="right"/>
              <w:rPr/>
            </w:pPr>
            <w:r>
              <w:rPr/>
              <w:t>26,831</w:t>
            </w:r>
          </w:p>
        </w:tc>
        <w:tc>
          <w:tcPr>
            <w:tcW w:w="129"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226" w:type="dxa"/>
            <w:tcBorders>
              <w:bottom w:val="single" w:sz="2" w:space="0" w:color="4B5088"/>
            </w:tcBorders>
            <w:tcMar>
              <w:bottom w:w="30" w:type="dxa"/>
            </w:tcMar>
            <w:vAlign w:val="center"/>
          </w:tcPr>
          <w:p>
            <w:pPr>
              <w:pStyle w:val="TableContents"/>
              <w:bidi w:val="0"/>
              <w:spacing w:before="0" w:after="283"/>
              <w:jc w:val="right"/>
              <w:rPr/>
            </w:pPr>
            <w:r>
              <w:rPr/>
              <w:t>$</w:t>
            </w:r>
          </w:p>
        </w:tc>
        <w:tc>
          <w:tcPr>
            <w:tcW w:w="1186" w:type="dxa"/>
            <w:tcBorders>
              <w:bottom w:val="single" w:sz="2" w:space="0" w:color="4B5088"/>
            </w:tcBorders>
            <w:tcMar>
              <w:bottom w:w="30" w:type="dxa"/>
            </w:tcMar>
            <w:vAlign w:val="center"/>
          </w:tcPr>
          <w:p>
            <w:pPr>
              <w:pStyle w:val="TableContents"/>
              <w:bidi w:val="0"/>
              <w:spacing w:before="0" w:after="283"/>
              <w:jc w:val="right"/>
              <w:rPr/>
            </w:pPr>
            <w:r>
              <w:rPr/>
              <w:t>1,230,738</w:t>
            </w:r>
          </w:p>
        </w:tc>
        <w:tc>
          <w:tcPr>
            <w:tcW w:w="109"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2" w:type="dxa"/>
            <w:tcBorders>
              <w:bottom w:val="single" w:sz="2" w:space="0" w:color="4B5088"/>
            </w:tcBorders>
            <w:vAlign w:val="center"/>
          </w:tcPr>
          <w:p>
            <w:pPr>
              <w:pStyle w:val="TableContents"/>
              <w:bidi w:val="0"/>
              <w:spacing w:before="0" w:after="283"/>
              <w:jc w:val="left"/>
              <w:rPr/>
            </w:pPr>
            <w:r>
              <w:rPr/>
              <w:t>​</w:t>
            </w:r>
          </w:p>
        </w:tc>
        <w:tc>
          <w:tcPr>
            <w:tcW w:w="142" w:type="dxa"/>
            <w:tcBorders>
              <w:bottom w:val="single" w:sz="2" w:space="0" w:color="4B5088"/>
            </w:tcBorders>
            <w:tcMar>
              <w:bottom w:w="30" w:type="dxa"/>
            </w:tcMar>
            <w:vAlign w:val="center"/>
          </w:tcPr>
          <w:p>
            <w:pPr>
              <w:pStyle w:val="TableContents"/>
              <w:bidi w:val="0"/>
              <w:spacing w:before="0" w:after="283"/>
              <w:jc w:val="right"/>
              <w:rPr/>
            </w:pPr>
            <w:r>
              <w:rPr/>
              <w:t>​</w:t>
            </w:r>
          </w:p>
        </w:tc>
        <w:tc>
          <w:tcPr>
            <w:tcW w:w="998" w:type="dxa"/>
            <w:tcBorders>
              <w:bottom w:val="single" w:sz="2" w:space="0" w:color="4B5088"/>
            </w:tcBorders>
            <w:tcMar>
              <w:bottom w:w="30" w:type="dxa"/>
            </w:tcMar>
            <w:vAlign w:val="center"/>
          </w:tcPr>
          <w:p>
            <w:pPr>
              <w:pStyle w:val="TableContents"/>
              <w:bidi w:val="0"/>
              <w:spacing w:before="0" w:after="283"/>
              <w:jc w:val="right"/>
              <w:rPr/>
            </w:pPr>
            <w:r>
              <w:rPr/>
              <w:t>221.53%</w:t>
            </w:r>
          </w:p>
        </w:tc>
        <w:tc>
          <w:tcPr>
            <w:tcW w:w="143" w:type="dxa"/>
            <w:tcBorders>
              <w:bottom w:val="single" w:sz="2" w:space="0" w:color="4B5088"/>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110" w:type="dxa"/>
            <w:tcBorders>
              <w:bottom w:val="single" w:sz="2" w:space="0" w:color="1F2668"/>
            </w:tcBorders>
            <w:tcMar>
              <w:bottom w:w="30" w:type="dxa"/>
            </w:tcMar>
            <w:vAlign w:val="center"/>
          </w:tcPr>
          <w:p>
            <w:pPr>
              <w:pStyle w:val="TableContents"/>
              <w:bidi w:val="0"/>
              <w:spacing w:before="0" w:after="0"/>
              <w:jc w:val="left"/>
              <w:rPr>
                <w:b/>
              </w:rPr>
            </w:pPr>
            <w:r>
              <w:rPr>
                <w:b/>
                <w:spacing w:val="-2"/>
              </w:rPr>
              <w:t>Andrew S. Levine</w:t>
            </w:r>
            <w:r>
              <w:rPr>
                <w:b/>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1F2668"/>
            </w:tcBorders>
            <w:vAlign w:val="center"/>
          </w:tcPr>
          <w:p>
            <w:pPr>
              <w:pStyle w:val="TableContents"/>
              <w:bidi w:val="0"/>
              <w:spacing w:before="0" w:after="283"/>
              <w:jc w:val="left"/>
              <w:rPr/>
            </w:pPr>
            <w:r>
              <w:rPr/>
              <w:t>​</w:t>
            </w:r>
          </w:p>
        </w:tc>
        <w:tc>
          <w:tcPr>
            <w:tcW w:w="226" w:type="dxa"/>
            <w:tcBorders>
              <w:bottom w:val="single" w:sz="2" w:space="0" w:color="1F2668"/>
            </w:tcBorders>
            <w:tcMar>
              <w:bottom w:w="30" w:type="dxa"/>
            </w:tcMar>
            <w:vAlign w:val="center"/>
          </w:tcPr>
          <w:p>
            <w:pPr>
              <w:pStyle w:val="TableContents"/>
              <w:bidi w:val="0"/>
              <w:spacing w:before="0" w:after="283"/>
              <w:jc w:val="right"/>
              <w:rPr/>
            </w:pPr>
            <w:r>
              <w:rPr/>
              <w:t>$</w:t>
            </w:r>
          </w:p>
        </w:tc>
        <w:tc>
          <w:tcPr>
            <w:tcW w:w="1066" w:type="dxa"/>
            <w:tcBorders>
              <w:bottom w:val="single" w:sz="2" w:space="0" w:color="1F2668"/>
            </w:tcBorders>
            <w:tcMar>
              <w:bottom w:w="30" w:type="dxa"/>
            </w:tcMar>
            <w:vAlign w:val="center"/>
          </w:tcPr>
          <w:p>
            <w:pPr>
              <w:pStyle w:val="TableContents"/>
              <w:bidi w:val="0"/>
              <w:spacing w:before="0" w:after="283"/>
              <w:jc w:val="right"/>
              <w:rPr/>
            </w:pPr>
            <w:r>
              <w:rPr/>
              <w:t>555,556</w:t>
            </w:r>
          </w:p>
        </w:tc>
        <w:tc>
          <w:tcPr>
            <w:tcW w:w="109" w:type="dxa"/>
            <w:tcBorders>
              <w:bottom w:val="single" w:sz="2" w:space="0" w:color="1F2668"/>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1F2668"/>
            </w:tcBorders>
            <w:vAlign w:val="center"/>
          </w:tcPr>
          <w:p>
            <w:pPr>
              <w:pStyle w:val="TableContents"/>
              <w:bidi w:val="0"/>
              <w:spacing w:before="0" w:after="283"/>
              <w:jc w:val="left"/>
              <w:rPr/>
            </w:pPr>
            <w:r>
              <w:rPr/>
              <w:t>​</w:t>
            </w:r>
          </w:p>
        </w:tc>
        <w:tc>
          <w:tcPr>
            <w:tcW w:w="109" w:type="dxa"/>
            <w:tcBorders>
              <w:bottom w:val="single" w:sz="2" w:space="0" w:color="1F2668"/>
            </w:tcBorders>
            <w:tcMar>
              <w:bottom w:w="30" w:type="dxa"/>
            </w:tcMar>
            <w:vAlign w:val="center"/>
          </w:tcPr>
          <w:p>
            <w:pPr>
              <w:pStyle w:val="TableContents"/>
              <w:bidi w:val="0"/>
              <w:spacing w:before="0" w:after="283"/>
              <w:jc w:val="right"/>
              <w:rPr/>
            </w:pPr>
            <w:r>
              <w:rPr/>
              <w:t>​</w:t>
            </w:r>
          </w:p>
        </w:tc>
        <w:tc>
          <w:tcPr>
            <w:tcW w:w="886" w:type="dxa"/>
            <w:tcBorders>
              <w:bottom w:val="single" w:sz="2" w:space="0" w:color="1F2668"/>
            </w:tcBorders>
            <w:tcMar>
              <w:bottom w:w="30" w:type="dxa"/>
            </w:tcMar>
            <w:vAlign w:val="center"/>
          </w:tcPr>
          <w:p>
            <w:pPr>
              <w:pStyle w:val="TableContents"/>
              <w:bidi w:val="0"/>
              <w:spacing w:before="0" w:after="283"/>
              <w:jc w:val="right"/>
              <w:rPr/>
            </w:pPr>
            <w:r>
              <w:rPr/>
              <w:t>16,562</w:t>
            </w:r>
          </w:p>
        </w:tc>
        <w:tc>
          <w:tcPr>
            <w:tcW w:w="109" w:type="dxa"/>
            <w:tcBorders>
              <w:bottom w:val="single" w:sz="2" w:space="0" w:color="1F2668"/>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8" w:type="dxa"/>
            <w:tcBorders>
              <w:bottom w:val="single" w:sz="2" w:space="0" w:color="1F2668"/>
            </w:tcBorders>
            <w:vAlign w:val="center"/>
          </w:tcPr>
          <w:p>
            <w:pPr>
              <w:pStyle w:val="TableContents"/>
              <w:bidi w:val="0"/>
              <w:spacing w:before="0" w:after="283"/>
              <w:jc w:val="left"/>
              <w:rPr/>
            </w:pPr>
            <w:r>
              <w:rPr/>
              <w:t>​</w:t>
            </w:r>
          </w:p>
        </w:tc>
        <w:tc>
          <w:tcPr>
            <w:tcW w:w="128" w:type="dxa"/>
            <w:tcBorders>
              <w:bottom w:val="single" w:sz="2" w:space="0" w:color="1F2668"/>
            </w:tcBorders>
            <w:tcMar>
              <w:bottom w:w="30" w:type="dxa"/>
            </w:tcMar>
            <w:vAlign w:val="center"/>
          </w:tcPr>
          <w:p>
            <w:pPr>
              <w:pStyle w:val="TableContents"/>
              <w:bidi w:val="0"/>
              <w:spacing w:before="0" w:after="283"/>
              <w:jc w:val="right"/>
              <w:rPr/>
            </w:pPr>
            <w:r>
              <w:rPr/>
              <w:t>​</w:t>
            </w:r>
          </w:p>
        </w:tc>
        <w:tc>
          <w:tcPr>
            <w:tcW w:w="1040" w:type="dxa"/>
            <w:tcBorders>
              <w:bottom w:val="single" w:sz="2" w:space="0" w:color="1F2668"/>
            </w:tcBorders>
            <w:tcMar>
              <w:bottom w:w="30" w:type="dxa"/>
            </w:tcMar>
            <w:vAlign w:val="center"/>
          </w:tcPr>
          <w:p>
            <w:pPr>
              <w:pStyle w:val="TableContents"/>
              <w:bidi w:val="0"/>
              <w:spacing w:before="0" w:after="283"/>
              <w:jc w:val="right"/>
              <w:rPr/>
            </w:pPr>
            <w:r>
              <w:rPr/>
              <w:t>26,831</w:t>
            </w:r>
          </w:p>
        </w:tc>
        <w:tc>
          <w:tcPr>
            <w:tcW w:w="129" w:type="dxa"/>
            <w:tcBorders>
              <w:bottom w:val="single" w:sz="2" w:space="0" w:color="1F2668"/>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1F2668"/>
            </w:tcBorders>
            <w:vAlign w:val="center"/>
          </w:tcPr>
          <w:p>
            <w:pPr>
              <w:pStyle w:val="TableContents"/>
              <w:bidi w:val="0"/>
              <w:spacing w:before="0" w:after="283"/>
              <w:jc w:val="left"/>
              <w:rPr/>
            </w:pPr>
            <w:r>
              <w:rPr/>
              <w:t>​</w:t>
            </w:r>
          </w:p>
        </w:tc>
        <w:tc>
          <w:tcPr>
            <w:tcW w:w="226" w:type="dxa"/>
            <w:tcBorders>
              <w:bottom w:val="single" w:sz="2" w:space="0" w:color="1F2668"/>
            </w:tcBorders>
            <w:tcMar>
              <w:bottom w:w="30" w:type="dxa"/>
            </w:tcMar>
            <w:vAlign w:val="center"/>
          </w:tcPr>
          <w:p>
            <w:pPr>
              <w:pStyle w:val="TableContents"/>
              <w:bidi w:val="0"/>
              <w:spacing w:before="0" w:after="283"/>
              <w:jc w:val="right"/>
              <w:rPr/>
            </w:pPr>
            <w:r>
              <w:rPr/>
              <w:t>$</w:t>
            </w:r>
          </w:p>
        </w:tc>
        <w:tc>
          <w:tcPr>
            <w:tcW w:w="1186" w:type="dxa"/>
            <w:tcBorders>
              <w:bottom w:val="single" w:sz="2" w:space="0" w:color="1F2668"/>
            </w:tcBorders>
            <w:tcMar>
              <w:bottom w:w="30" w:type="dxa"/>
            </w:tcMar>
            <w:vAlign w:val="center"/>
          </w:tcPr>
          <w:p>
            <w:pPr>
              <w:pStyle w:val="TableContents"/>
              <w:bidi w:val="0"/>
              <w:spacing w:before="0" w:after="283"/>
              <w:jc w:val="right"/>
              <w:rPr/>
            </w:pPr>
            <w:r>
              <w:rPr/>
              <w:t>1,230,738</w:t>
            </w:r>
          </w:p>
        </w:tc>
        <w:tc>
          <w:tcPr>
            <w:tcW w:w="109" w:type="dxa"/>
            <w:tcBorders>
              <w:bottom w:val="single" w:sz="2" w:space="0" w:color="1F2668"/>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2" w:type="dxa"/>
            <w:tcBorders>
              <w:bottom w:val="single" w:sz="2" w:space="0" w:color="1F2668"/>
            </w:tcBorders>
            <w:vAlign w:val="center"/>
          </w:tcPr>
          <w:p>
            <w:pPr>
              <w:pStyle w:val="TableContents"/>
              <w:bidi w:val="0"/>
              <w:spacing w:before="0" w:after="283"/>
              <w:jc w:val="left"/>
              <w:rPr/>
            </w:pPr>
            <w:r>
              <w:rPr/>
              <w:t>​</w:t>
            </w:r>
          </w:p>
        </w:tc>
        <w:tc>
          <w:tcPr>
            <w:tcW w:w="142" w:type="dxa"/>
            <w:tcBorders>
              <w:bottom w:val="single" w:sz="2" w:space="0" w:color="1F2668"/>
            </w:tcBorders>
            <w:tcMar>
              <w:bottom w:w="30" w:type="dxa"/>
            </w:tcMar>
            <w:vAlign w:val="center"/>
          </w:tcPr>
          <w:p>
            <w:pPr>
              <w:pStyle w:val="TableContents"/>
              <w:bidi w:val="0"/>
              <w:spacing w:before="0" w:after="283"/>
              <w:jc w:val="right"/>
              <w:rPr/>
            </w:pPr>
            <w:r>
              <w:rPr/>
              <w:t>​</w:t>
            </w:r>
          </w:p>
        </w:tc>
        <w:tc>
          <w:tcPr>
            <w:tcW w:w="998" w:type="dxa"/>
            <w:tcBorders>
              <w:bottom w:val="single" w:sz="2" w:space="0" w:color="1F2668"/>
            </w:tcBorders>
            <w:tcMar>
              <w:bottom w:w="30" w:type="dxa"/>
            </w:tcMar>
            <w:vAlign w:val="center"/>
          </w:tcPr>
          <w:p>
            <w:pPr>
              <w:pStyle w:val="TableContents"/>
              <w:bidi w:val="0"/>
              <w:spacing w:before="0" w:after="283"/>
              <w:jc w:val="right"/>
              <w:rPr/>
            </w:pPr>
            <w:r>
              <w:rPr/>
              <w:t>221.53%</w:t>
            </w:r>
          </w:p>
        </w:tc>
        <w:tc>
          <w:tcPr>
            <w:tcW w:w="143" w:type="dxa"/>
            <w:tcBorders>
              <w:bottom w:val="single" w:sz="2" w:space="0" w:color="1F2668"/>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bl>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242"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Based on a per share price of $45.87, which was the closing stock price on the NYSE of one share of our common stock on December 31, 2025.</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53670" distB="0" distL="0" distR="0" simplePos="0" locked="0" layoutInCell="1" allowOverlap="1" relativeHeight="654">
                <wp:simplePos x="0" y="0"/>
                <wp:positionH relativeFrom="column">
                  <wp:align>left</wp:align>
                </wp:positionH>
                <wp:positionV relativeFrom="line">
                  <wp:align>top</wp:align>
                </wp:positionV>
                <wp:extent cx="254000" cy="254000"/>
                <wp:effectExtent l="0" t="0" r="0" b="0"/>
                <wp:wrapSquare wrapText="right"/>
                <wp:docPr id="717" name="Frame394"/>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2"/>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12.1pt;mso-wrap-distance-bottom:0pt;margin-top:12.1pt;mso-position-vertical:top;mso-position-vertical-relative:text;margin-left:298pt;mso-position-horizontal:left;mso-position-horizontal-relative:text">
                <v:textbox>
                  <w:txbxContent>
                    <w:p>
                      <w:pPr>
                        <w:pStyle w:val="TextBody"/>
                        <w:bidi w:val="0"/>
                        <w:spacing w:lineRule="atLeast" w:line="200" w:before="0" w:after="283"/>
                        <w:jc w:val="left"/>
                        <w:rPr>
                          <w:sz w:val="16"/>
                        </w:rPr>
                      </w:pPr>
                      <w:r>
                        <w:rPr>
                          <w:spacing w:val="-2"/>
                          <w:sz w:val="16"/>
                        </w:rPr>
                        <w:t>(1)</w:t>
                      </w:r>
                      <w:r>
                        <w:rPr>
                          <w:sz w:val="16"/>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tbl>
      <w:tblPr>
        <w:tblW w:w="9305" w:type="dxa"/>
        <w:jc w:val="left"/>
        <w:tblInd w:w="900" w:type="dxa"/>
        <w:tblLayout w:type="fixed"/>
        <w:tblCellMar>
          <w:top w:w="0" w:type="dxa"/>
          <w:left w:w="0" w:type="dxa"/>
          <w:bottom w:w="0" w:type="dxa"/>
          <w:right w:w="0" w:type="dxa"/>
        </w:tblCellMar>
      </w:tblPr>
      <w:tblGrid>
        <w:gridCol w:w="124"/>
        <w:gridCol w:w="9027"/>
        <w:gridCol w:w="154"/>
      </w:tblGrid>
      <w:tr>
        <w:trPr/>
        <w:tc>
          <w:tcPr>
            <w:tcW w:w="124" w:type="dxa"/>
            <w:tcBorders/>
            <w:shd w:fill="E9F9D8" w:val="clear"/>
            <w:vAlign w:val="center"/>
          </w:tcPr>
          <w:p>
            <w:pPr>
              <w:pStyle w:val="TableContents"/>
              <w:bidi w:val="0"/>
              <w:spacing w:before="0" w:after="283"/>
              <w:jc w:val="left"/>
              <w:rPr/>
            </w:pPr>
            <w:r>
              <w:rPr/>
              <w:t>​</w:t>
            </w:r>
          </w:p>
        </w:tc>
        <w:tc>
          <w:tcPr>
            <w:tcW w:w="9027" w:type="dxa"/>
            <w:tcBorders/>
            <w:shd w:fill="E9F9D8" w:val="clear"/>
            <w:vAlign w:val="center"/>
          </w:tcPr>
          <w:p>
            <w:pPr>
              <w:pStyle w:val="TableContents"/>
              <w:bidi w:val="0"/>
              <w:spacing w:lineRule="atLeast" w:line="220" w:before="0" w:after="0"/>
              <w:jc w:val="left"/>
              <w:rPr/>
            </w:pPr>
            <w:r>
              <w:rPr>
                <w:spacing w:val="-2"/>
              </w:rPr>
              <w:t xml:space="preserve">The final payout for our 2023 annual performance-based equity award highlights our pay for performance philosophy and the alignment between our executives and our stockholders </w:t>
            </w:r>
            <w:r>
              <w:rPr>
                <w:b/>
                <w:spacing w:val="-2"/>
              </w:rPr>
              <w:t>because of our strong three-year absolute and relative TSR performance</w:t>
            </w:r>
            <w:r>
              <w:rPr>
                <w:spacing w:val="-2"/>
              </w:rPr>
              <w:t>.</w:t>
            </w:r>
            <w:r>
              <w:rPr/>
              <w:t xml:space="preserve"> </w:t>
            </w:r>
          </w:p>
        </w:tc>
        <w:tc>
          <w:tcPr>
            <w:tcW w:w="154" w:type="dxa"/>
            <w:tcBorders/>
            <w:shd w:fill="E9F9D8" w:val="clear"/>
            <w:vAlign w:val="center"/>
          </w:tcPr>
          <w:p>
            <w:pPr>
              <w:pStyle w:val="TableContents"/>
              <w:bidi w:val="0"/>
              <w:spacing w:before="0" w:after="283"/>
              <w:jc w:val="left"/>
              <w:rPr/>
            </w:pPr>
            <w:r>
              <w:rPr/>
              <w:t>​</w:t>
            </w:r>
          </w:p>
        </w:tc>
      </w:tr>
    </w:tbl>
    <w:p>
      <w:pPr>
        <w:pStyle w:val="TextBody"/>
        <w:bidi w:val="0"/>
        <w:spacing w:lineRule="atLeast" w:line="300" w:before="360" w:after="283"/>
        <w:ind w:left="900" w:right="0" w:hanging="0"/>
        <w:jc w:val="left"/>
        <w:rPr>
          <w:rFonts w:ascii="Arial;Helvetica;sans-serif" w:hAnsi="Arial;Helvetica;sans-serif"/>
          <w:b/>
          <w:i w:val="false"/>
          <w:caps w:val="false"/>
          <w:smallCaps w:val="false"/>
          <w:color w:val="1F2668"/>
          <w:sz w:val="26"/>
        </w:rPr>
      </w:pPr>
      <w:r>
        <w:rPr>
          <w:rFonts w:ascii="Arial;Helvetica;sans-serif" w:hAnsi="Arial;Helvetica;sans-serif"/>
          <w:b/>
          <w:i w:val="false"/>
          <w:caps w:val="false"/>
          <w:smallCaps w:val="false"/>
          <w:color w:val="1F2668"/>
          <w:spacing w:val="-3"/>
          <w:sz w:val="26"/>
        </w:rPr>
        <w:t>Other Compensation Policies and Information</w:t>
      </w:r>
      <w:r>
        <w:rPr>
          <w:rFonts w:ascii="Arial;Helvetica;sans-serif" w:hAnsi="Arial;Helvetica;sans-serif"/>
          <w:b/>
          <w:i w:val="false"/>
          <w:caps w:val="false"/>
          <w:smallCaps w:val="false"/>
          <w:color w:val="000000"/>
          <w:spacing w:val="5"/>
          <w:sz w:val="26"/>
        </w:rPr>
        <w:t xml:space="preserve"> </w:t>
      </w:r>
    </w:p>
    <w:p>
      <w:pPr>
        <w:pStyle w:val="TextBody"/>
        <w:bidi w:val="0"/>
        <w:spacing w:lineRule="atLeast" w:line="260" w:before="120" w:after="283"/>
        <w:jc w:val="left"/>
        <w:rPr>
          <w:rFonts w:ascii="Arial;Helvetica;sans-serif" w:hAnsi="Arial;Helvetica;sans-serif"/>
          <w:b/>
          <w:i w:val="false"/>
          <w:caps w:val="false"/>
          <w:smallCaps w:val="false"/>
          <w:color w:val="83AD40"/>
          <w:sz w:val="22"/>
        </w:rPr>
      </w:pPr>
      <w:r>
        <w:rPr>
          <w:rFonts w:ascii="Arial;Helvetica;sans-serif" w:hAnsi="Arial;Helvetica;sans-serif"/>
          <w:b/>
          <w:i w:val="false"/>
          <w:caps w:val="false"/>
          <w:smallCaps w:val="false"/>
          <w:color w:val="83AD40"/>
          <w:spacing w:val="-2"/>
          <w:sz w:val="22"/>
        </w:rPr>
        <w:t>How We Determine Executive Compensation</w:t>
      </w:r>
      <w:r>
        <w:rPr>
          <w:rFonts w:ascii="Arial;Helvetica;sans-serif" w:hAnsi="Arial;Helvetica;sans-serif"/>
          <w:b/>
          <w:i w:val="false"/>
          <w:caps w:val="false"/>
          <w:smallCaps w:val="false"/>
          <w:color w:val="000000"/>
          <w:spacing w:val="4"/>
          <w:sz w:val="22"/>
        </w:rPr>
        <w:t xml:space="preserve"> </w:t>
      </w:r>
    </w:p>
    <w:p>
      <w:pPr>
        <w:pStyle w:val="TextBody"/>
        <w:bidi w:val="0"/>
        <w:spacing w:lineRule="atLeast" w:line="240" w:before="9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The Committee determines compensation for our named executive officers and is currently comprised of three of our independent directors, Peggy Lamb (Chair), Lauren B. Dillard, and John H. Alschuler.</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9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The Committee receives input from a number of sources each year to inform its final compensation determinations for our named executive officers. These final determinations are made solely by the Committee.</w:t>
      </w:r>
      <w:r>
        <w:rPr>
          <w:rFonts w:ascii="Arial;Helvetica;sans-serif" w:hAnsi="Arial;Helvetica;sans-serif"/>
          <w:b w:val="false"/>
          <w:i w:val="false"/>
          <w:caps w:val="false"/>
          <w:smallCaps w:val="false"/>
          <w:color w:val="000000"/>
          <w:spacing w:val="4"/>
          <w:sz w:val="18"/>
        </w:rPr>
        <w:t xml:space="preserve"> </w:t>
      </w:r>
    </w:p>
    <w:tbl>
      <w:tblPr>
        <w:tblW w:w="9305" w:type="dxa"/>
        <w:jc w:val="left"/>
        <w:tblInd w:w="900" w:type="dxa"/>
        <w:tblLayout w:type="fixed"/>
        <w:tblCellMar>
          <w:top w:w="0" w:type="dxa"/>
          <w:left w:w="0" w:type="dxa"/>
          <w:bottom w:w="0" w:type="dxa"/>
          <w:right w:w="0" w:type="dxa"/>
        </w:tblCellMar>
      </w:tblPr>
      <w:tblGrid>
        <w:gridCol w:w="124"/>
        <w:gridCol w:w="1586"/>
        <w:gridCol w:w="109"/>
        <w:gridCol w:w="109"/>
        <w:gridCol w:w="7222"/>
        <w:gridCol w:w="155"/>
      </w:tblGrid>
      <w:tr>
        <w:trPr/>
        <w:tc>
          <w:tcPr>
            <w:tcW w:w="124" w:type="dxa"/>
            <w:tcBorders/>
            <w:shd w:fill="1F2668" w:val="clear"/>
            <w:vAlign w:val="center"/>
          </w:tcPr>
          <w:p>
            <w:pPr>
              <w:pStyle w:val="TableContents"/>
              <w:bidi w:val="0"/>
              <w:spacing w:before="0" w:after="283"/>
              <w:jc w:val="left"/>
              <w:rPr/>
            </w:pPr>
            <w:r>
              <w:rPr/>
              <w:t>​</w:t>
            </w:r>
          </w:p>
        </w:tc>
        <w:tc>
          <w:tcPr>
            <w:tcW w:w="1586" w:type="dxa"/>
            <w:tcBorders/>
            <w:shd w:fill="1F2668" w:val="clear"/>
            <w:vAlign w:val="center"/>
          </w:tcPr>
          <w:p>
            <w:pPr>
              <w:pStyle w:val="TableContents"/>
              <w:bidi w:val="0"/>
              <w:spacing w:before="0" w:after="283"/>
              <w:jc w:val="left"/>
              <w:rPr/>
            </w:pPr>
            <w:r>
              <w:rPr>
                <w:spacing w:val="-2"/>
              </w:rPr>
              <w:t>Results</w:t>
            </w:r>
            <w:r>
              <w:rPr/>
              <w:t xml:space="preserve"> </w:t>
            </w:r>
          </w:p>
        </w:tc>
        <w:tc>
          <w:tcPr>
            <w:tcW w:w="109" w:type="dxa"/>
            <w:tcBorders/>
            <w:shd w:fill="1F2668" w:val="clear"/>
            <w:vAlign w:val="center"/>
          </w:tcPr>
          <w:p>
            <w:pPr>
              <w:pStyle w:val="TableContents"/>
              <w:bidi w:val="0"/>
              <w:spacing w:before="0" w:after="283"/>
              <w:jc w:val="left"/>
              <w:rPr/>
            </w:pPr>
            <w:r>
              <w:rPr/>
              <w:t>​</w:t>
            </w:r>
          </w:p>
        </w:tc>
        <w:tc>
          <w:tcPr>
            <w:tcW w:w="109" w:type="dxa"/>
            <w:tcBorders/>
            <w:shd w:fill="1F2668" w:val="clear"/>
            <w:vAlign w:val="center"/>
          </w:tcPr>
          <w:p>
            <w:pPr>
              <w:pStyle w:val="TableContents"/>
              <w:bidi w:val="0"/>
              <w:spacing w:before="0" w:after="283"/>
              <w:jc w:val="left"/>
              <w:rPr/>
            </w:pPr>
            <w:r>
              <w:rPr/>
              <w:t>​</w:t>
            </w:r>
          </w:p>
        </w:tc>
        <w:tc>
          <w:tcPr>
            <w:tcW w:w="7222" w:type="dxa"/>
            <w:tcBorders/>
            <w:shd w:fill="1F2668" w:val="clear"/>
            <w:vAlign w:val="center"/>
          </w:tcPr>
          <w:p>
            <w:pPr>
              <w:pStyle w:val="TableContents"/>
              <w:bidi w:val="0"/>
              <w:spacing w:before="0" w:after="283"/>
              <w:jc w:val="left"/>
              <w:rPr/>
            </w:pPr>
            <w:r>
              <w:rPr>
                <w:spacing w:val="-2"/>
              </w:rPr>
              <w:t>The Committee considers and analyzes the data and information provided by its compensation advisors and our CEO, as well as input from members of the Board of Directors and stockholders, and then makes final compensation decisions for our named executive officers in its sole discretion</w:t>
            </w:r>
            <w:r>
              <w:rPr/>
              <w:t xml:space="preserve"> </w:t>
            </w:r>
          </w:p>
        </w:tc>
        <w:tc>
          <w:tcPr>
            <w:tcW w:w="155" w:type="dxa"/>
            <w:tcBorders/>
            <w:shd w:fill="1F2668" w:val="clear"/>
            <w:vAlign w:val="center"/>
          </w:tcPr>
          <w:p>
            <w:pPr>
              <w:pStyle w:val="TableContents"/>
              <w:bidi w:val="0"/>
              <w:spacing w:before="0" w:after="283"/>
              <w:jc w:val="left"/>
              <w:rPr/>
            </w:pPr>
            <w:r>
              <w:rPr/>
              <w:t>​</w:t>
            </w:r>
          </w:p>
        </w:tc>
      </w:tr>
      <w:tr>
        <w:trPr/>
        <w:tc>
          <w:tcPr>
            <w:tcW w:w="124" w:type="dxa"/>
            <w:tcBorders>
              <w:bottom w:val="single" w:sz="2" w:space="0" w:color="FFFFFF"/>
            </w:tcBorders>
            <w:tcMar>
              <w:bottom w:w="28" w:type="dxa"/>
            </w:tcMar>
            <w:vAlign w:val="center"/>
          </w:tcPr>
          <w:p>
            <w:pPr>
              <w:pStyle w:val="TableContents"/>
              <w:bidi w:val="0"/>
              <w:spacing w:before="0" w:after="283"/>
              <w:jc w:val="left"/>
              <w:rPr/>
            </w:pPr>
            <w:r>
              <w:rPr/>
              <w:t>​</w:t>
            </w:r>
          </w:p>
        </w:tc>
        <w:tc>
          <w:tcPr>
            <w:tcW w:w="1586" w:type="dxa"/>
            <w:tcBorders>
              <w:bottom w:val="single" w:sz="2" w:space="0" w:color="FFFFFF"/>
            </w:tcBorders>
            <w:tcMar>
              <w:bottom w:w="28" w:type="dxa"/>
            </w:tcMar>
            <w:vAlign w:val="center"/>
          </w:tcPr>
          <w:p>
            <w:pPr>
              <w:pStyle w:val="TableContents"/>
              <w:bidi w:val="0"/>
              <w:spacing w:before="0" w:after="0"/>
              <w:jc w:val="left"/>
              <w:rPr>
                <w:b/>
                <w:color w:val="1F2668"/>
              </w:rPr>
            </w:pPr>
            <w:r>
              <w:rPr>
                <w:b/>
                <w:color w:val="1F2668"/>
                <w:spacing w:val="-2"/>
              </w:rPr>
              <w:t>Stockholder Engagement</w:t>
            </w:r>
            <w:r>
              <w:rPr>
                <w:b/>
                <w:color w:val="1F2668"/>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7222" w:type="dxa"/>
            <w:tcBorders>
              <w:bottom w:val="single" w:sz="2" w:space="0" w:color="83AD40"/>
            </w:tcBorders>
            <w:tcMar>
              <w:bottom w:w="28" w:type="dxa"/>
            </w:tcMar>
            <w:vAlign w:val="center"/>
          </w:tcPr>
          <w:p>
            <w:pPr>
              <w:pStyle w:val="TableContents"/>
              <w:bidi w:val="0"/>
              <w:spacing w:lineRule="atLeast" w:line="205" w:before="0" w:after="0"/>
              <w:ind w:left="170" w:right="0" w:hanging="0"/>
              <w:jc w:val="left"/>
              <w:rPr>
                <w:spacing w:val="-2"/>
              </w:rPr>
            </w:pPr>
            <w:r>
              <w:rPr>
                <w:spacing w:val="-2"/>
              </w:rPr>
              <w:t xml:space="preserve">The Committee Chair engages with a significant number of stockholders holding a substantial percentage of outstanding shares and considers all feedback it receives on current and prior compensation practices </w:t>
            </w:r>
            <w:r>
              <mc:AlternateContent>
                <mc:Choice Requires="wps">
                  <w:drawing>
                    <wp:anchor behindDoc="0" distT="0" distB="0" distL="0" distR="0" simplePos="0" locked="0" layoutInCell="1" allowOverlap="1" relativeHeight="655">
                      <wp:simplePos x="0" y="0"/>
                      <wp:positionH relativeFrom="column">
                        <wp:align>left</wp:align>
                      </wp:positionH>
                      <wp:positionV relativeFrom="line">
                        <wp:posOffset>635</wp:posOffset>
                      </wp:positionV>
                      <wp:extent cx="107950" cy="350520"/>
                      <wp:effectExtent l="0" t="0" r="0" b="0"/>
                      <wp:wrapSquare wrapText="right"/>
                      <wp:docPr id="718" name="Frame395"/>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5"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5"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FFFFFF"/>
            </w:tcBorders>
            <w:tcMar>
              <w:bottom w:w="28" w:type="dxa"/>
            </w:tcMar>
            <w:vAlign w:val="center"/>
          </w:tcPr>
          <w:p>
            <w:pPr>
              <w:pStyle w:val="TableContents"/>
              <w:bidi w:val="0"/>
              <w:spacing w:before="0" w:after="283"/>
              <w:jc w:val="left"/>
              <w:rPr/>
            </w:pPr>
            <w:r>
              <w:rPr/>
              <w:t>​</w:t>
            </w:r>
          </w:p>
        </w:tc>
        <w:tc>
          <w:tcPr>
            <w:tcW w:w="1586" w:type="dxa"/>
            <w:tcBorders>
              <w:bottom w:val="single" w:sz="2" w:space="0" w:color="FFFFFF"/>
            </w:tcBorders>
            <w:tcMar>
              <w:bottom w:w="28" w:type="dxa"/>
            </w:tcMar>
            <w:vAlign w:val="center"/>
          </w:tcPr>
          <w:p>
            <w:pPr>
              <w:pStyle w:val="TableContents"/>
              <w:bidi w:val="0"/>
              <w:spacing w:before="0" w:after="0"/>
              <w:jc w:val="left"/>
              <w:rPr>
                <w:b/>
                <w:color w:val="1F2668"/>
              </w:rPr>
            </w:pPr>
            <w:r>
              <w:rPr>
                <w:b/>
                <w:color w:val="1F2668"/>
                <w:spacing w:val="-2"/>
              </w:rPr>
              <w:t>Full Board</w:t>
            </w:r>
            <w:r>
              <w:rPr>
                <w:b/>
                <w:color w:val="1F2668"/>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7222" w:type="dxa"/>
            <w:tcBorders>
              <w:bottom w:val="single" w:sz="2" w:space="0" w:color="83AD40"/>
            </w:tcBorders>
            <w:tcMar>
              <w:bottom w:w="28" w:type="dxa"/>
            </w:tcMar>
            <w:vAlign w:val="center"/>
          </w:tcPr>
          <w:p>
            <w:pPr>
              <w:pStyle w:val="TableContents"/>
              <w:bidi w:val="0"/>
              <w:spacing w:lineRule="atLeast" w:line="205" w:before="0" w:after="0"/>
              <w:ind w:left="170" w:right="0" w:hanging="0"/>
              <w:jc w:val="left"/>
              <w:rPr>
                <w:spacing w:val="-2"/>
              </w:rPr>
            </w:pPr>
            <w:r>
              <w:rPr>
                <w:spacing w:val="-2"/>
              </w:rPr>
              <w:t xml:space="preserve">The Committee regularly reports to the full Board to ensure management accountability with business objectives and alignment with stockholders </w:t>
            </w:r>
            <w:r>
              <mc:AlternateContent>
                <mc:Choice Requires="wps">
                  <w:drawing>
                    <wp:anchor behindDoc="0" distT="0" distB="0" distL="0" distR="0" simplePos="0" locked="0" layoutInCell="1" allowOverlap="1" relativeHeight="656">
                      <wp:simplePos x="0" y="0"/>
                      <wp:positionH relativeFrom="column">
                        <wp:align>left</wp:align>
                      </wp:positionH>
                      <wp:positionV relativeFrom="line">
                        <wp:posOffset>635</wp:posOffset>
                      </wp:positionV>
                      <wp:extent cx="107950" cy="350520"/>
                      <wp:effectExtent l="0" t="0" r="0" b="0"/>
                      <wp:wrapSquare wrapText="right"/>
                      <wp:docPr id="719" name="Frame396"/>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5"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5"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FFFFFF"/>
            </w:tcBorders>
            <w:tcMar>
              <w:bottom w:w="28" w:type="dxa"/>
            </w:tcMar>
            <w:vAlign w:val="center"/>
          </w:tcPr>
          <w:p>
            <w:pPr>
              <w:pStyle w:val="TableContents"/>
              <w:bidi w:val="0"/>
              <w:spacing w:before="0" w:after="283"/>
              <w:jc w:val="left"/>
              <w:rPr/>
            </w:pPr>
            <w:r>
              <w:rPr/>
              <w:t>​</w:t>
            </w:r>
          </w:p>
        </w:tc>
        <w:tc>
          <w:tcPr>
            <w:tcW w:w="1586" w:type="dxa"/>
            <w:tcBorders>
              <w:bottom w:val="single" w:sz="2" w:space="0" w:color="FFFFFF"/>
            </w:tcBorders>
            <w:tcMar>
              <w:bottom w:w="57" w:type="dxa"/>
            </w:tcMar>
            <w:vAlign w:val="center"/>
          </w:tcPr>
          <w:p>
            <w:pPr>
              <w:pStyle w:val="TableContents"/>
              <w:bidi w:val="0"/>
              <w:spacing w:lineRule="atLeast" w:line="205" w:before="0" w:after="0"/>
              <w:jc w:val="left"/>
              <w:rPr>
                <w:b/>
                <w:color w:val="1F2668"/>
              </w:rPr>
            </w:pPr>
            <w:r>
              <w:rPr>
                <w:b/>
                <w:color w:val="1F2668"/>
                <w:spacing w:val="-2"/>
              </w:rPr>
              <w:t xml:space="preserve">Committee and Chief </w:t>
              <w:br/>
              <w:t>Executive Officer</w:t>
            </w:r>
            <w:r>
              <w:rPr>
                <w:b/>
                <w:color w:val="1F2668"/>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7222" w:type="dxa"/>
            <w:tcBorders>
              <w:bottom w:val="single" w:sz="2" w:space="0" w:color="83AD40"/>
            </w:tcBorders>
            <w:tcMar>
              <w:bottom w:w="57" w:type="dxa"/>
            </w:tcMar>
            <w:vAlign w:val="center"/>
          </w:tcPr>
          <w:p>
            <w:pPr>
              <w:pStyle w:val="TableContents"/>
              <w:bidi w:val="0"/>
              <w:spacing w:lineRule="atLeast" w:line="205" w:before="0" w:after="0"/>
              <w:ind w:left="170" w:right="0" w:hanging="0"/>
              <w:jc w:val="left"/>
              <w:rPr/>
            </w:pPr>
            <w:r>
              <w:rPr>
                <w:spacing w:val="-2"/>
              </w:rPr>
              <w:t>The Committee reviews named executive officer’s annual performance targets and criteria, the Company’s absolute and relative TSR, the individual NEO’s execution of the Company’s long-term strategy, peer benchmarking and other market data provided by independent compensation consultants in formulating compensation recommendations</w:t>
            </w:r>
            <w:r>
              <w:rPr/>
              <w:t xml:space="preserve"> </w:t>
            </w:r>
            <w:r>
              <mc:AlternateContent>
                <mc:Choice Requires="wps">
                  <w:drawing>
                    <wp:anchor behindDoc="0" distT="0" distB="0" distL="0" distR="0" simplePos="0" locked="0" layoutInCell="1" allowOverlap="1" relativeHeight="657">
                      <wp:simplePos x="0" y="0"/>
                      <wp:positionH relativeFrom="column">
                        <wp:align>left</wp:align>
                      </wp:positionH>
                      <wp:positionV relativeFrom="line">
                        <wp:posOffset>635</wp:posOffset>
                      </wp:positionV>
                      <wp:extent cx="107950" cy="350520"/>
                      <wp:effectExtent l="0" t="0" r="0" b="0"/>
                      <wp:wrapSquare wrapText="right"/>
                      <wp:docPr id="720" name="Frame397"/>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5"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5"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5" w:before="155" w:after="0"/>
              <w:ind w:left="170" w:right="0" w:hanging="0"/>
              <w:jc w:val="left"/>
              <w:rPr>
                <w:spacing w:val="-2"/>
              </w:rPr>
            </w:pPr>
            <w:r>
              <w:rPr>
                <w:spacing w:val="-2"/>
              </w:rPr>
              <w:t xml:space="preserve">At the request of the Committee, our CEO also receives and reviews this market data and provides recommendations for the Committee’s consideration regarding the compensation of other named executive officers </w:t>
            </w:r>
            <w:r>
              <mc:AlternateContent>
                <mc:Choice Requires="wps">
                  <w:drawing>
                    <wp:anchor behindDoc="0" distT="98425" distB="0" distL="0" distR="0" simplePos="0" locked="0" layoutInCell="1" allowOverlap="1" relativeHeight="658">
                      <wp:simplePos x="0" y="0"/>
                      <wp:positionH relativeFrom="column">
                        <wp:align>left</wp:align>
                      </wp:positionH>
                      <wp:positionV relativeFrom="line">
                        <wp:align>top</wp:align>
                      </wp:positionV>
                      <wp:extent cx="107950" cy="350520"/>
                      <wp:effectExtent l="0" t="0" r="0" b="0"/>
                      <wp:wrapSquare wrapText="right"/>
                      <wp:docPr id="721" name="Frame398"/>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5"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7.75pt;mso-wrap-distance-bottom:0pt;margin-top:7.75pt;mso-position-vertical:top;mso-position-vertical-relative:text;margin-left:0pt;mso-position-horizontal:left;mso-position-horizontal-relative:text">
                      <v:textbox>
                        <w:txbxContent>
                          <w:p>
                            <w:pPr>
                              <w:pStyle w:val="TextBody"/>
                              <w:bidi w:val="0"/>
                              <w:spacing w:lineRule="atLeast" w:line="205"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4" w:type="dxa"/>
            <w:tcBorders>
              <w:bottom w:val="single" w:sz="12" w:space="0" w:color="83AD40"/>
            </w:tcBorders>
            <w:tcMar>
              <w:bottom w:w="28" w:type="dxa"/>
            </w:tcMar>
            <w:vAlign w:val="center"/>
          </w:tcPr>
          <w:p>
            <w:pPr>
              <w:pStyle w:val="TableContents"/>
              <w:bidi w:val="0"/>
              <w:spacing w:before="0" w:after="283"/>
              <w:jc w:val="left"/>
              <w:rPr/>
            </w:pPr>
            <w:r>
              <w:rPr/>
              <w:t>​</w:t>
            </w:r>
          </w:p>
        </w:tc>
        <w:tc>
          <w:tcPr>
            <w:tcW w:w="1586" w:type="dxa"/>
            <w:tcBorders>
              <w:bottom w:val="single" w:sz="12" w:space="0" w:color="83AD40"/>
            </w:tcBorders>
            <w:tcMar>
              <w:bottom w:w="99" w:type="dxa"/>
            </w:tcMar>
            <w:vAlign w:val="center"/>
          </w:tcPr>
          <w:p>
            <w:pPr>
              <w:pStyle w:val="TableContents"/>
              <w:bidi w:val="0"/>
              <w:spacing w:before="0" w:after="0"/>
              <w:jc w:val="left"/>
              <w:rPr>
                <w:b/>
                <w:color w:val="1F2668"/>
              </w:rPr>
            </w:pPr>
            <w:r>
              <w:rPr>
                <w:b/>
                <w:color w:val="1F2668"/>
                <w:spacing w:val="-2"/>
              </w:rPr>
              <w:t>Consultants</w:t>
            </w:r>
            <w:r>
              <w:rPr>
                <w:b/>
                <w:color w:val="1F2668"/>
              </w:rPr>
              <w:t xml:space="preserve"> </w:t>
            </w:r>
          </w:p>
        </w:tc>
        <w:tc>
          <w:tcPr>
            <w:tcW w:w="109" w:type="dxa"/>
            <w:tcBorders>
              <w:bottom w:val="single" w:sz="12" w:space="0" w:color="83AD40"/>
            </w:tcBorders>
            <w:tcMar>
              <w:bottom w:w="28" w:type="dxa"/>
            </w:tcMar>
            <w:vAlign w:val="center"/>
          </w:tcPr>
          <w:p>
            <w:pPr>
              <w:pStyle w:val="TableContents"/>
              <w:bidi w:val="0"/>
              <w:spacing w:before="0" w:after="283"/>
              <w:jc w:val="left"/>
              <w:rPr/>
            </w:pPr>
            <w:r>
              <w:rPr/>
              <w:t>​</w:t>
            </w:r>
          </w:p>
        </w:tc>
        <w:tc>
          <w:tcPr>
            <w:tcW w:w="109" w:type="dxa"/>
            <w:tcBorders>
              <w:bottom w:val="single" w:sz="12" w:space="0" w:color="83AD40"/>
            </w:tcBorders>
            <w:tcMar>
              <w:bottom w:w="28" w:type="dxa"/>
            </w:tcMar>
            <w:vAlign w:val="center"/>
          </w:tcPr>
          <w:p>
            <w:pPr>
              <w:pStyle w:val="TableContents"/>
              <w:bidi w:val="0"/>
              <w:spacing w:before="0" w:after="283"/>
              <w:jc w:val="left"/>
              <w:rPr/>
            </w:pPr>
            <w:r>
              <w:rPr/>
              <w:t>​</w:t>
            </w:r>
          </w:p>
        </w:tc>
        <w:tc>
          <w:tcPr>
            <w:tcW w:w="7222" w:type="dxa"/>
            <w:tcBorders>
              <w:bottom w:val="single" w:sz="12" w:space="0" w:color="83AD40"/>
            </w:tcBorders>
            <w:tcMar>
              <w:bottom w:w="99" w:type="dxa"/>
            </w:tcMar>
            <w:vAlign w:val="center"/>
          </w:tcPr>
          <w:p>
            <w:pPr>
              <w:pStyle w:val="TableContents"/>
              <w:bidi w:val="0"/>
              <w:spacing w:before="0" w:after="0"/>
              <w:jc w:val="left"/>
              <w:rPr/>
            </w:pPr>
            <w:r>
              <w:rPr>
                <w:spacing w:val="-2"/>
              </w:rPr>
              <w:t>Ferguson Partners</w:t>
            </w:r>
            <w:r>
              <w:rPr/>
              <w:t xml:space="preserve"> </w:t>
            </w:r>
          </w:p>
          <w:p>
            <w:pPr>
              <w:pStyle w:val="TableContents"/>
              <w:bidi w:val="0"/>
              <w:spacing w:lineRule="atLeast" w:line="170" w:before="35" w:after="0"/>
              <w:ind w:left="410" w:right="0" w:hanging="0"/>
              <w:jc w:val="left"/>
              <w:rPr/>
            </w:pPr>
            <w:r>
              <w:rPr>
                <w:spacing w:val="-2"/>
              </w:rPr>
              <w:t>Retained as the Committee’s independent outside compensation adviser during 2025</w:t>
            </w:r>
            <w:r>
              <w:rPr/>
              <w:t xml:space="preserve"> </w:t>
            </w:r>
            <w:r>
              <mc:AlternateContent>
                <mc:Choice Requires="wps">
                  <w:drawing>
                    <wp:anchor behindDoc="0" distT="22225" distB="0" distL="107950" distR="0" simplePos="0" locked="0" layoutInCell="1" allowOverlap="1" relativeHeight="659">
                      <wp:simplePos x="0" y="0"/>
                      <wp:positionH relativeFrom="column">
                        <wp:align>left</wp:align>
                      </wp:positionH>
                      <wp:positionV relativeFrom="line">
                        <wp:align>top</wp:align>
                      </wp:positionV>
                      <wp:extent cx="152400" cy="350520"/>
                      <wp:effectExtent l="0" t="0" r="0" b="0"/>
                      <wp:wrapSquare wrapText="right"/>
                      <wp:docPr id="722" name="Frame399"/>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17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8.5pt;mso-wrap-distance-right:0pt;mso-wrap-distance-top:1.75pt;mso-wrap-distance-bottom:0pt;margin-top:1.75pt;mso-position-vertical:top;mso-position-vertical-relative:text;margin-left:8.5pt;mso-position-horizontal:left;mso-position-horizontal-relative:text">
                      <v:textbox>
                        <w:txbxContent>
                          <w:p>
                            <w:pPr>
                              <w:pStyle w:val="TextBody"/>
                              <w:bidi w:val="0"/>
                              <w:spacing w:lineRule="atLeast" w:line="17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5" w:before="35" w:after="0"/>
              <w:ind w:left="410" w:right="0" w:hanging="0"/>
              <w:jc w:val="left"/>
              <w:rPr/>
            </w:pPr>
            <w:r>
              <w:rPr>
                <w:spacing w:val="-2"/>
              </w:rPr>
              <w:t>Provided relevant data on market and peer group pay practices and then-existing policies of certain institutional investors and governance groups</w:t>
            </w:r>
            <w:r>
              <w:rPr/>
              <w:t xml:space="preserve"> </w:t>
            </w:r>
            <w:r>
              <mc:AlternateContent>
                <mc:Choice Requires="wps">
                  <w:drawing>
                    <wp:anchor behindDoc="0" distT="22225" distB="0" distL="107950" distR="0" simplePos="0" locked="0" layoutInCell="1" allowOverlap="1" relativeHeight="660">
                      <wp:simplePos x="0" y="0"/>
                      <wp:positionH relativeFrom="column">
                        <wp:align>left</wp:align>
                      </wp:positionH>
                      <wp:positionV relativeFrom="line">
                        <wp:align>top</wp:align>
                      </wp:positionV>
                      <wp:extent cx="152400" cy="350520"/>
                      <wp:effectExtent l="0" t="0" r="0" b="0"/>
                      <wp:wrapSquare wrapText="right"/>
                      <wp:docPr id="723" name="Frame400"/>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05"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8.5pt;mso-wrap-distance-right:0pt;mso-wrap-distance-top:1.75pt;mso-wrap-distance-bottom:0pt;margin-top:1.75pt;mso-position-vertical:top;mso-position-vertical-relative:text;margin-left:8.5pt;mso-position-horizontal:left;mso-position-horizontal-relative:text">
                      <v:textbox>
                        <w:txbxContent>
                          <w:p>
                            <w:pPr>
                              <w:pStyle w:val="TextBody"/>
                              <w:bidi w:val="0"/>
                              <w:spacing w:lineRule="atLeast" w:line="205"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5" w:before="35" w:after="0"/>
              <w:ind w:left="410" w:right="0" w:hanging="0"/>
              <w:jc w:val="left"/>
              <w:rPr/>
            </w:pPr>
            <w:r>
              <w:rPr>
                <w:spacing w:val="-2"/>
              </w:rPr>
              <w:t>Delivered services, analysis and recommendations to the Committee in connection with the negotiation and structuring of NEO compensation for 2025 and subsequent years</w:t>
            </w:r>
            <w:r>
              <w:rPr/>
              <w:t xml:space="preserve"> </w:t>
            </w:r>
            <w:r>
              <mc:AlternateContent>
                <mc:Choice Requires="wps">
                  <w:drawing>
                    <wp:anchor behindDoc="0" distT="22225" distB="0" distL="107950" distR="0" simplePos="0" locked="0" layoutInCell="1" allowOverlap="1" relativeHeight="661">
                      <wp:simplePos x="0" y="0"/>
                      <wp:positionH relativeFrom="column">
                        <wp:align>left</wp:align>
                      </wp:positionH>
                      <wp:positionV relativeFrom="line">
                        <wp:align>top</wp:align>
                      </wp:positionV>
                      <wp:extent cx="152400" cy="350520"/>
                      <wp:effectExtent l="0" t="0" r="0" b="0"/>
                      <wp:wrapSquare wrapText="right"/>
                      <wp:docPr id="724" name="Frame401"/>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05"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8.5pt;mso-wrap-distance-right:0pt;mso-wrap-distance-top:1.75pt;mso-wrap-distance-bottom:0pt;margin-top:1.75pt;mso-position-vertical:top;mso-position-vertical-relative:text;margin-left:8.5pt;mso-position-horizontal:left;mso-position-horizontal-relative:text">
                      <v:textbox>
                        <w:txbxContent>
                          <w:p>
                            <w:pPr>
                              <w:pStyle w:val="TextBody"/>
                              <w:bidi w:val="0"/>
                              <w:spacing w:lineRule="atLeast" w:line="205"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5" w:before="35" w:after="0"/>
              <w:ind w:left="410" w:right="0" w:hanging="0"/>
              <w:jc w:val="left"/>
              <w:rPr/>
            </w:pPr>
            <w:r>
              <w:rPr>
                <w:spacing w:val="-2"/>
              </w:rPr>
              <w:t>Provides services as an executive search firm from time to time, including in connection with the appointment of Peggy Lamb in March 2025</w:t>
            </w:r>
            <w:r>
              <w:rPr/>
              <w:t xml:space="preserve"> </w:t>
            </w:r>
            <w:r>
              <mc:AlternateContent>
                <mc:Choice Requires="wps">
                  <w:drawing>
                    <wp:anchor behindDoc="0" distT="22225" distB="0" distL="107950" distR="0" simplePos="0" locked="0" layoutInCell="1" allowOverlap="1" relativeHeight="662">
                      <wp:simplePos x="0" y="0"/>
                      <wp:positionH relativeFrom="column">
                        <wp:align>left</wp:align>
                      </wp:positionH>
                      <wp:positionV relativeFrom="line">
                        <wp:align>top</wp:align>
                      </wp:positionV>
                      <wp:extent cx="152400" cy="350520"/>
                      <wp:effectExtent l="0" t="0" r="0" b="0"/>
                      <wp:wrapSquare wrapText="right"/>
                      <wp:docPr id="725" name="Frame402"/>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05"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8.5pt;mso-wrap-distance-right:0pt;mso-wrap-distance-top:1.75pt;mso-wrap-distance-bottom:0pt;margin-top:1.75pt;mso-position-vertical:top;mso-position-vertical-relative:text;margin-left:8.5pt;mso-position-horizontal:left;mso-position-horizontal-relative:text">
                      <v:textbox>
                        <w:txbxContent>
                          <w:p>
                            <w:pPr>
                              <w:pStyle w:val="TextBody"/>
                              <w:bidi w:val="0"/>
                              <w:spacing w:lineRule="atLeast" w:line="205"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95" w:after="283"/>
              <w:jc w:val="left"/>
              <w:rPr/>
            </w:pPr>
            <w:r>
              <w:rPr>
                <w:spacing w:val="-2"/>
              </w:rPr>
              <w:t>FTI Consulting</w:t>
            </w:r>
            <w:r>
              <w:rPr/>
              <w:t xml:space="preserve"> </w:t>
            </w:r>
          </w:p>
          <w:p>
            <w:pPr>
              <w:pStyle w:val="TableContents"/>
              <w:bidi w:val="0"/>
              <w:spacing w:lineRule="atLeast" w:line="205" w:before="35" w:after="0"/>
              <w:ind w:left="410" w:right="0" w:hanging="0"/>
              <w:jc w:val="left"/>
              <w:rPr/>
            </w:pPr>
            <w:r>
              <w:rPr>
                <w:spacing w:val="-2"/>
              </w:rPr>
              <w:t>Retained by management as a general business advisor, including for compensation matters and in connection with the preparation of the Pay Versus Performance disclosure in this proxy statement (FTI Consulting had relationships with certain officers of the Company during 2025)</w:t>
            </w:r>
            <w:r>
              <w:rPr/>
              <w:t xml:space="preserve"> </w:t>
            </w:r>
            <w:r>
              <mc:AlternateContent>
                <mc:Choice Requires="wps">
                  <w:drawing>
                    <wp:anchor behindDoc="0" distT="22225" distB="0" distL="107950" distR="0" simplePos="0" locked="0" layoutInCell="1" allowOverlap="1" relativeHeight="663">
                      <wp:simplePos x="0" y="0"/>
                      <wp:positionH relativeFrom="column">
                        <wp:align>left</wp:align>
                      </wp:positionH>
                      <wp:positionV relativeFrom="line">
                        <wp:align>top</wp:align>
                      </wp:positionV>
                      <wp:extent cx="152400" cy="350520"/>
                      <wp:effectExtent l="0" t="0" r="0" b="0"/>
                      <wp:wrapSquare wrapText="right"/>
                      <wp:docPr id="726" name="Frame403"/>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05"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8.5pt;mso-wrap-distance-right:0pt;mso-wrap-distance-top:1.75pt;mso-wrap-distance-bottom:0pt;margin-top:1.75pt;mso-position-vertical:top;mso-position-vertical-relative:text;margin-left:8.5pt;mso-position-horizontal:left;mso-position-horizontal-relative:text">
                      <v:textbox>
                        <w:txbxContent>
                          <w:p>
                            <w:pPr>
                              <w:pStyle w:val="TextBody"/>
                              <w:bidi w:val="0"/>
                              <w:spacing w:lineRule="atLeast" w:line="205"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bottom w:val="single" w:sz="12" w:space="0" w:color="83AD40"/>
            </w:tcBorders>
            <w:tcMar>
              <w:bottom w:w="28" w:type="dxa"/>
            </w:tcMar>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4330" w:type="dxa"/>
        <w:jc w:val="left"/>
        <w:tblInd w:w="900" w:type="dxa"/>
        <w:tblLayout w:type="fixed"/>
        <w:tblCellMar>
          <w:top w:w="0" w:type="dxa"/>
          <w:left w:w="0" w:type="dxa"/>
          <w:bottom w:w="0" w:type="dxa"/>
          <w:right w:w="0" w:type="dxa"/>
        </w:tblCellMar>
      </w:tblPr>
      <w:tblGrid>
        <w:gridCol w:w="124"/>
        <w:gridCol w:w="3488"/>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3488" w:type="dxa"/>
            <w:tcBorders/>
            <w:vAlign w:val="center"/>
          </w:tcPr>
          <w:p>
            <w:pPr>
              <w:pStyle w:val="TableContents"/>
              <w:bidi w:val="0"/>
              <w:spacing w:lineRule="atLeast" w:line="200" w:before="0" w:after="0"/>
              <w:jc w:val="left"/>
              <w:rPr/>
            </w:pPr>
            <w:r>
              <w:rPr>
                <w:spacing w:val="-2"/>
              </w:rPr>
              <w:t>EXECUTIVE COMPENSATION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color w:val="1F2668"/>
                <w:sz w:val="24"/>
              </w:rPr>
            </w:pPr>
            <w:r>
              <w:rPr>
                <w:color w:val="1F2668"/>
                <w:sz w:val="24"/>
              </w:rPr>
              <w:t>59</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20" w:before="560" w:after="154"/>
        <w:ind w:left="900" w:right="0" w:hanging="0"/>
        <w:jc w:val="left"/>
        <w:rPr>
          <w:rFonts w:ascii="Arial;Helvetica;sans-serif" w:hAnsi="Arial;Helvetica;sans-serif"/>
          <w:b/>
          <w:i w:val="false"/>
          <w:caps w:val="false"/>
          <w:smallCaps w:val="false"/>
          <w:color w:val="1F2668"/>
          <w:sz w:val="18"/>
        </w:rPr>
      </w:pPr>
      <w:r>
        <w:rPr>
          <w:rFonts w:ascii="Arial;Helvetica;sans-serif" w:hAnsi="Arial;Helvetica;sans-serif"/>
          <w:b/>
          <w:i w:val="false"/>
          <w:caps w:val="false"/>
          <w:smallCaps w:val="false"/>
          <w:color w:val="1F2668"/>
          <w:spacing w:val="-2"/>
          <w:sz w:val="18"/>
        </w:rPr>
        <w:t>RIGOROUS METHODOLOGY FOR SETTING PERFORMANCE GOALS</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The Committee, in consultation with management and other advisors, takes the same four step approach each year to establishing our performance goals and administering our performance-based equity programs. Through this process, we focus on building a culture of alignment and accountability, connecting internal budgeting, external guidance and compensation opportunities. The Committee does not look to comparisons of forward-looking performance goals versus prior year goals or results as part of this process.</w:t>
      </w:r>
      <w:r>
        <w:rPr>
          <w:rFonts w:ascii="Arial;Helvetica;sans-serif" w:hAnsi="Arial;Helvetica;sans-serif"/>
          <w:b w:val="false"/>
          <w:i w:val="false"/>
          <w:caps w:val="false"/>
          <w:smallCaps w:val="false"/>
          <w:color w:val="000000"/>
          <w:spacing w:val="4"/>
          <w:sz w:val="18"/>
        </w:rPr>
        <w:t xml:space="preserve"> </w:t>
      </w:r>
    </w:p>
    <w:tbl>
      <w:tblPr>
        <w:tblW w:w="9305" w:type="dxa"/>
        <w:jc w:val="left"/>
        <w:tblInd w:w="900" w:type="dxa"/>
        <w:tblLayout w:type="fixed"/>
        <w:tblCellMar>
          <w:top w:w="0" w:type="dxa"/>
          <w:left w:w="0" w:type="dxa"/>
          <w:bottom w:w="0" w:type="dxa"/>
          <w:right w:w="0" w:type="dxa"/>
        </w:tblCellMar>
      </w:tblPr>
      <w:tblGrid>
        <w:gridCol w:w="124"/>
        <w:gridCol w:w="455"/>
        <w:gridCol w:w="111"/>
        <w:gridCol w:w="111"/>
        <w:gridCol w:w="111"/>
        <w:gridCol w:w="985"/>
        <w:gridCol w:w="109"/>
        <w:gridCol w:w="109"/>
        <w:gridCol w:w="109"/>
        <w:gridCol w:w="461"/>
        <w:gridCol w:w="112"/>
        <w:gridCol w:w="112"/>
        <w:gridCol w:w="112"/>
        <w:gridCol w:w="1164"/>
        <w:gridCol w:w="109"/>
        <w:gridCol w:w="109"/>
        <w:gridCol w:w="109"/>
        <w:gridCol w:w="455"/>
        <w:gridCol w:w="110"/>
        <w:gridCol w:w="110"/>
        <w:gridCol w:w="110"/>
        <w:gridCol w:w="1437"/>
        <w:gridCol w:w="109"/>
        <w:gridCol w:w="109"/>
        <w:gridCol w:w="109"/>
        <w:gridCol w:w="457"/>
        <w:gridCol w:w="111"/>
        <w:gridCol w:w="111"/>
        <w:gridCol w:w="111"/>
        <w:gridCol w:w="1292"/>
        <w:gridCol w:w="162"/>
      </w:tblGrid>
      <w:tr>
        <w:trPr/>
        <w:tc>
          <w:tcPr>
            <w:tcW w:w="124" w:type="dxa"/>
            <w:tcBorders/>
            <w:vAlign w:val="center"/>
          </w:tcPr>
          <w:p>
            <w:pPr>
              <w:pStyle w:val="TableContents"/>
              <w:bidi w:val="0"/>
              <w:spacing w:before="0" w:after="283"/>
              <w:jc w:val="left"/>
              <w:rPr/>
            </w:pPr>
            <w:r>
              <w:rPr/>
              <w:t>​</w:t>
            </w:r>
          </w:p>
        </w:tc>
        <w:tc>
          <w:tcPr>
            <w:tcW w:w="455" w:type="dxa"/>
            <w:tcBorders/>
            <w:vAlign w:val="center"/>
          </w:tcPr>
          <w:p>
            <w:pPr>
              <w:pStyle w:val="TableContents"/>
              <w:bidi w:val="0"/>
              <w:spacing w:before="0" w:after="0"/>
              <w:jc w:val="center"/>
              <w:rPr/>
            </w:pPr>
            <w:r>
              <w:rPr/>
              <w:drawing>
                <wp:inline distT="0" distB="0" distL="0" distR="0">
                  <wp:extent cx="228600" cy="238125"/>
                  <wp:effectExtent l="0" t="0" r="0" b="0"/>
                  <wp:docPr id="727" name="Image2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7" name="Image237" descr=""/>
                          <pic:cNvPicPr>
                            <a:picLocks noChangeAspect="1" noChangeArrowheads="1"/>
                          </pic:cNvPicPr>
                        </pic:nvPicPr>
                        <pic:blipFill>
                          <a:blip r:embed="rId331"/>
                          <a:stretch>
                            <a:fillRect/>
                          </a:stretch>
                        </pic:blipFill>
                        <pic:spPr bwMode="auto">
                          <a:xfrm>
                            <a:off x="0" y="0"/>
                            <a:ext cx="228600" cy="238125"/>
                          </a:xfrm>
                          <a:prstGeom prst="rect">
                            <a:avLst/>
                          </a:prstGeom>
                        </pic:spPr>
                      </pic:pic>
                    </a:graphicData>
                  </a:graphic>
                </wp:inline>
              </w:drawing>
            </w:r>
            <w:r>
              <w:rPr/>
              <w:t xml:space="preserve"> </w:t>
            </w:r>
          </w:p>
        </w:tc>
        <w:tc>
          <w:tcPr>
            <w:tcW w:w="111" w:type="dxa"/>
            <w:tcBorders/>
            <w:vAlign w:val="center"/>
          </w:tcPr>
          <w:p>
            <w:pPr>
              <w:pStyle w:val="TableContents"/>
              <w:bidi w:val="0"/>
              <w:spacing w:before="0" w:after="283"/>
              <w:jc w:val="left"/>
              <w:rPr/>
            </w:pPr>
            <w:r>
              <w:rPr/>
              <w:t>​</w:t>
            </w:r>
          </w:p>
        </w:tc>
        <w:tc>
          <w:tcPr>
            <w:tcW w:w="111" w:type="dxa"/>
            <w:tcBorders/>
            <w:vAlign w:val="center"/>
          </w:tcPr>
          <w:p>
            <w:pPr>
              <w:pStyle w:val="TableContents"/>
              <w:bidi w:val="0"/>
              <w:spacing w:before="0" w:after="283"/>
              <w:jc w:val="left"/>
              <w:rPr/>
            </w:pPr>
            <w:r>
              <w:rPr/>
              <w:t>​</w:t>
            </w:r>
          </w:p>
        </w:tc>
        <w:tc>
          <w:tcPr>
            <w:tcW w:w="111" w:type="dxa"/>
            <w:tcBorders/>
            <w:vAlign w:val="center"/>
          </w:tcPr>
          <w:p>
            <w:pPr>
              <w:pStyle w:val="TableContents"/>
              <w:bidi w:val="0"/>
              <w:spacing w:before="0" w:after="283"/>
              <w:jc w:val="left"/>
              <w:rPr/>
            </w:pPr>
            <w:r>
              <w:rPr/>
              <w:t>​</w:t>
            </w:r>
          </w:p>
        </w:tc>
        <w:tc>
          <w:tcPr>
            <w:tcW w:w="985" w:type="dxa"/>
            <w:tcBorders/>
            <w:vAlign w:val="center"/>
          </w:tcPr>
          <w:p>
            <w:pPr>
              <w:pStyle w:val="TableContents"/>
              <w:bidi w:val="0"/>
              <w:spacing w:lineRule="atLeast" w:line="260" w:before="0" w:after="0"/>
              <w:jc w:val="left"/>
              <w:rPr/>
            </w:pPr>
            <w:r>
              <w:rPr>
                <w:spacing w:val="-2"/>
              </w:rPr>
              <w:t>ASSESS</w:t>
            </w:r>
            <w:r>
              <w:rPr>
                <w:color w:val="000000"/>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3AD40"/>
            </w:tcBorders>
            <w:shd w:fill="83AD4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61" w:type="dxa"/>
            <w:tcBorders/>
            <w:vAlign w:val="center"/>
          </w:tcPr>
          <w:p>
            <w:pPr>
              <w:pStyle w:val="TableContents"/>
              <w:bidi w:val="0"/>
              <w:spacing w:before="0" w:after="0"/>
              <w:jc w:val="center"/>
              <w:rPr/>
            </w:pPr>
            <w:r>
              <w:rPr/>
              <w:drawing>
                <wp:inline distT="0" distB="0" distL="0" distR="0">
                  <wp:extent cx="228600" cy="238125"/>
                  <wp:effectExtent l="0" t="0" r="0" b="0"/>
                  <wp:docPr id="728" name="Image2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8" name="Image238" descr=""/>
                          <pic:cNvPicPr>
                            <a:picLocks noChangeAspect="1" noChangeArrowheads="1"/>
                          </pic:cNvPicPr>
                        </pic:nvPicPr>
                        <pic:blipFill>
                          <a:blip r:embed="rId332"/>
                          <a:stretch>
                            <a:fillRect/>
                          </a:stretch>
                        </pic:blipFill>
                        <pic:spPr bwMode="auto">
                          <a:xfrm>
                            <a:off x="0" y="0"/>
                            <a:ext cx="228600" cy="238125"/>
                          </a:xfrm>
                          <a:prstGeom prst="rect">
                            <a:avLst/>
                          </a:prstGeom>
                        </pic:spPr>
                      </pic:pic>
                    </a:graphicData>
                  </a:graphic>
                </wp:inline>
              </w:drawing>
            </w:r>
            <w:r>
              <w:rPr/>
              <w:t xml:space="preserve"> </w:t>
            </w:r>
          </w:p>
        </w:tc>
        <w:tc>
          <w:tcPr>
            <w:tcW w:w="112" w:type="dxa"/>
            <w:tcBorders/>
            <w:vAlign w:val="center"/>
          </w:tcPr>
          <w:p>
            <w:pPr>
              <w:pStyle w:val="TableContents"/>
              <w:bidi w:val="0"/>
              <w:spacing w:before="0" w:after="283"/>
              <w:jc w:val="left"/>
              <w:rPr/>
            </w:pPr>
            <w:r>
              <w:rPr/>
              <w:t>​</w:t>
            </w:r>
          </w:p>
        </w:tc>
        <w:tc>
          <w:tcPr>
            <w:tcW w:w="112" w:type="dxa"/>
            <w:tcBorders/>
            <w:vAlign w:val="center"/>
          </w:tcPr>
          <w:p>
            <w:pPr>
              <w:pStyle w:val="TableContents"/>
              <w:bidi w:val="0"/>
              <w:spacing w:before="0" w:after="283"/>
              <w:jc w:val="left"/>
              <w:rPr/>
            </w:pPr>
            <w:r>
              <w:rPr/>
              <w:t>​</w:t>
            </w:r>
          </w:p>
        </w:tc>
        <w:tc>
          <w:tcPr>
            <w:tcW w:w="112" w:type="dxa"/>
            <w:tcBorders/>
            <w:vAlign w:val="center"/>
          </w:tcPr>
          <w:p>
            <w:pPr>
              <w:pStyle w:val="TableContents"/>
              <w:bidi w:val="0"/>
              <w:spacing w:before="0" w:after="283"/>
              <w:jc w:val="left"/>
              <w:rPr/>
            </w:pPr>
            <w:r>
              <w:rPr/>
              <w:t>​</w:t>
            </w:r>
          </w:p>
        </w:tc>
        <w:tc>
          <w:tcPr>
            <w:tcW w:w="1164" w:type="dxa"/>
            <w:tcBorders/>
            <w:vAlign w:val="center"/>
          </w:tcPr>
          <w:p>
            <w:pPr>
              <w:pStyle w:val="TableContents"/>
              <w:bidi w:val="0"/>
              <w:spacing w:lineRule="atLeast" w:line="260" w:before="0" w:after="0"/>
              <w:jc w:val="left"/>
              <w:rPr/>
            </w:pPr>
            <w:r>
              <w:rPr>
                <w:spacing w:val="-2"/>
              </w:rPr>
              <w:t>PROJECT</w:t>
            </w:r>
            <w:r>
              <w:rPr>
                <w:color w:val="000000"/>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3AD40"/>
            </w:tcBorders>
            <w:shd w:fill="83AD4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55" w:type="dxa"/>
            <w:tcBorders/>
            <w:vAlign w:val="center"/>
          </w:tcPr>
          <w:p>
            <w:pPr>
              <w:pStyle w:val="TableContents"/>
              <w:bidi w:val="0"/>
              <w:spacing w:before="0" w:after="0"/>
              <w:jc w:val="center"/>
              <w:rPr/>
            </w:pPr>
            <w:r>
              <w:rPr/>
              <w:drawing>
                <wp:inline distT="0" distB="0" distL="0" distR="0">
                  <wp:extent cx="228600" cy="238125"/>
                  <wp:effectExtent l="0" t="0" r="0" b="0"/>
                  <wp:docPr id="729" name="Image2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9" name="Image239" descr=""/>
                          <pic:cNvPicPr>
                            <a:picLocks noChangeAspect="1" noChangeArrowheads="1"/>
                          </pic:cNvPicPr>
                        </pic:nvPicPr>
                        <pic:blipFill>
                          <a:blip r:embed="rId333"/>
                          <a:stretch>
                            <a:fillRect/>
                          </a:stretch>
                        </pic:blipFill>
                        <pic:spPr bwMode="auto">
                          <a:xfrm>
                            <a:off x="0" y="0"/>
                            <a:ext cx="228600" cy="238125"/>
                          </a:xfrm>
                          <a:prstGeom prst="rect">
                            <a:avLst/>
                          </a:prstGeom>
                        </pic:spPr>
                      </pic:pic>
                    </a:graphicData>
                  </a:graphic>
                </wp:inline>
              </w:drawing>
            </w:r>
            <w:r>
              <w:rPr/>
              <w:t xml:space="preserve"> </w:t>
            </w:r>
          </w:p>
        </w:tc>
        <w:tc>
          <w:tcPr>
            <w:tcW w:w="110" w:type="dxa"/>
            <w:tcBorders/>
            <w:vAlign w:val="center"/>
          </w:tcPr>
          <w:p>
            <w:pPr>
              <w:pStyle w:val="TableContents"/>
              <w:bidi w:val="0"/>
              <w:spacing w:before="0" w:after="283"/>
              <w:jc w:val="left"/>
              <w:rPr/>
            </w:pPr>
            <w:r>
              <w:rPr/>
              <w:t>​</w:t>
            </w:r>
          </w:p>
        </w:tc>
        <w:tc>
          <w:tcPr>
            <w:tcW w:w="110" w:type="dxa"/>
            <w:tcBorders/>
            <w:vAlign w:val="center"/>
          </w:tcPr>
          <w:p>
            <w:pPr>
              <w:pStyle w:val="TableContents"/>
              <w:bidi w:val="0"/>
              <w:spacing w:before="0" w:after="283"/>
              <w:jc w:val="left"/>
              <w:rPr/>
            </w:pPr>
            <w:r>
              <w:rPr/>
              <w:t>​</w:t>
            </w:r>
          </w:p>
        </w:tc>
        <w:tc>
          <w:tcPr>
            <w:tcW w:w="110" w:type="dxa"/>
            <w:tcBorders/>
            <w:vAlign w:val="center"/>
          </w:tcPr>
          <w:p>
            <w:pPr>
              <w:pStyle w:val="TableContents"/>
              <w:bidi w:val="0"/>
              <w:spacing w:before="0" w:after="283"/>
              <w:jc w:val="left"/>
              <w:rPr/>
            </w:pPr>
            <w:r>
              <w:rPr/>
              <w:t>​</w:t>
            </w:r>
          </w:p>
        </w:tc>
        <w:tc>
          <w:tcPr>
            <w:tcW w:w="1437" w:type="dxa"/>
            <w:tcBorders/>
            <w:vAlign w:val="center"/>
          </w:tcPr>
          <w:p>
            <w:pPr>
              <w:pStyle w:val="TableContents"/>
              <w:bidi w:val="0"/>
              <w:spacing w:lineRule="atLeast" w:line="260" w:before="0" w:after="0"/>
              <w:jc w:val="left"/>
              <w:rPr/>
            </w:pPr>
            <w:r>
              <w:rPr>
                <w:spacing w:val="-2"/>
              </w:rPr>
              <w:t>ESTABLISH</w:t>
            </w:r>
            <w:r>
              <w:rPr>
                <w:color w:val="000000"/>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3AD40"/>
            </w:tcBorders>
            <w:shd w:fill="83AD4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57" w:type="dxa"/>
            <w:tcBorders/>
            <w:vAlign w:val="center"/>
          </w:tcPr>
          <w:p>
            <w:pPr>
              <w:pStyle w:val="TableContents"/>
              <w:bidi w:val="0"/>
              <w:spacing w:before="0" w:after="0"/>
              <w:jc w:val="center"/>
              <w:rPr/>
            </w:pPr>
            <w:r>
              <w:rPr/>
              <w:drawing>
                <wp:inline distT="0" distB="0" distL="0" distR="0">
                  <wp:extent cx="228600" cy="238125"/>
                  <wp:effectExtent l="0" t="0" r="0" b="0"/>
                  <wp:docPr id="730" name="Image2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0" name="Image240" descr=""/>
                          <pic:cNvPicPr>
                            <a:picLocks noChangeAspect="1" noChangeArrowheads="1"/>
                          </pic:cNvPicPr>
                        </pic:nvPicPr>
                        <pic:blipFill>
                          <a:blip r:embed="rId334"/>
                          <a:stretch>
                            <a:fillRect/>
                          </a:stretch>
                        </pic:blipFill>
                        <pic:spPr bwMode="auto">
                          <a:xfrm>
                            <a:off x="0" y="0"/>
                            <a:ext cx="228600" cy="238125"/>
                          </a:xfrm>
                          <a:prstGeom prst="rect">
                            <a:avLst/>
                          </a:prstGeom>
                        </pic:spPr>
                      </pic:pic>
                    </a:graphicData>
                  </a:graphic>
                </wp:inline>
              </w:drawing>
            </w:r>
            <w:r>
              <w:rPr/>
              <w:t xml:space="preserve"> </w:t>
            </w:r>
          </w:p>
        </w:tc>
        <w:tc>
          <w:tcPr>
            <w:tcW w:w="111" w:type="dxa"/>
            <w:tcBorders/>
            <w:vAlign w:val="center"/>
          </w:tcPr>
          <w:p>
            <w:pPr>
              <w:pStyle w:val="TableContents"/>
              <w:bidi w:val="0"/>
              <w:spacing w:before="0" w:after="283"/>
              <w:jc w:val="left"/>
              <w:rPr/>
            </w:pPr>
            <w:r>
              <w:rPr/>
              <w:t>​</w:t>
            </w:r>
          </w:p>
        </w:tc>
        <w:tc>
          <w:tcPr>
            <w:tcW w:w="111" w:type="dxa"/>
            <w:tcBorders/>
            <w:vAlign w:val="center"/>
          </w:tcPr>
          <w:p>
            <w:pPr>
              <w:pStyle w:val="TableContents"/>
              <w:bidi w:val="0"/>
              <w:spacing w:before="0" w:after="283"/>
              <w:jc w:val="left"/>
              <w:rPr/>
            </w:pPr>
            <w:r>
              <w:rPr/>
              <w:t>​</w:t>
            </w:r>
          </w:p>
        </w:tc>
        <w:tc>
          <w:tcPr>
            <w:tcW w:w="111" w:type="dxa"/>
            <w:tcBorders/>
            <w:vAlign w:val="center"/>
          </w:tcPr>
          <w:p>
            <w:pPr>
              <w:pStyle w:val="TableContents"/>
              <w:bidi w:val="0"/>
              <w:spacing w:before="0" w:after="283"/>
              <w:jc w:val="left"/>
              <w:rPr/>
            </w:pPr>
            <w:r>
              <w:rPr/>
              <w:t>​</w:t>
            </w:r>
          </w:p>
        </w:tc>
        <w:tc>
          <w:tcPr>
            <w:tcW w:w="1292" w:type="dxa"/>
            <w:tcBorders/>
            <w:vAlign w:val="center"/>
          </w:tcPr>
          <w:p>
            <w:pPr>
              <w:pStyle w:val="TableContents"/>
              <w:bidi w:val="0"/>
              <w:spacing w:lineRule="atLeast" w:line="260" w:before="0" w:after="0"/>
              <w:jc w:val="left"/>
              <w:rPr/>
            </w:pPr>
            <w:r>
              <w:rPr>
                <w:spacing w:val="-2"/>
              </w:rPr>
              <w:t>MEASURE</w:t>
            </w:r>
            <w:r>
              <w:rPr>
                <w:color w:val="000000"/>
              </w:rPr>
              <w:t>​</w:t>
            </w:r>
            <w:r>
              <w:rPr/>
              <w:t xml:space="preserve"> </w:t>
            </w:r>
          </w:p>
        </w:tc>
        <w:tc>
          <w:tcPr>
            <w:tcW w:w="162" w:type="dxa"/>
            <w:tcBorders/>
            <w:vAlign w:val="center"/>
          </w:tcPr>
          <w:p>
            <w:pPr>
              <w:pStyle w:val="TableContents"/>
              <w:bidi w:val="0"/>
              <w:spacing w:before="0" w:after="283"/>
              <w:jc w:val="left"/>
              <w:rPr/>
            </w:pPr>
            <w:r>
              <w:rPr/>
              <w:t>​</w:t>
            </w:r>
          </w:p>
        </w:tc>
      </w:tr>
      <w:tr>
        <w:trPr/>
        <w:tc>
          <w:tcPr>
            <w:tcW w:w="124" w:type="dxa"/>
            <w:tcBorders>
              <w:bottom w:val="single" w:sz="6" w:space="0" w:color="83AD40"/>
            </w:tcBorders>
            <w:tcMar>
              <w:bottom w:w="28" w:type="dxa"/>
            </w:tcMar>
            <w:vAlign w:val="center"/>
          </w:tcPr>
          <w:p>
            <w:pPr>
              <w:pStyle w:val="TableContents"/>
              <w:bidi w:val="0"/>
              <w:spacing w:before="0" w:after="283"/>
              <w:jc w:val="left"/>
              <w:rPr/>
            </w:pPr>
            <w:r>
              <w:rPr/>
              <w:t>​</w:t>
            </w:r>
          </w:p>
        </w:tc>
        <w:tc>
          <w:tcPr>
            <w:tcW w:w="1773" w:type="dxa"/>
            <w:gridSpan w:val="5"/>
            <w:tcBorders>
              <w:bottom w:val="single" w:sz="6" w:space="0" w:color="83AD40"/>
            </w:tcBorders>
            <w:tcMar>
              <w:bottom w:w="300" w:type="dxa"/>
            </w:tcMar>
            <w:vAlign w:val="center"/>
          </w:tcPr>
          <w:p>
            <w:pPr>
              <w:pStyle w:val="TableContents"/>
              <w:bidi w:val="0"/>
              <w:spacing w:lineRule="atLeast" w:line="220" w:before="0" w:after="0"/>
              <w:ind w:left="180" w:right="0" w:hanging="0"/>
              <w:jc w:val="left"/>
              <w:rPr/>
            </w:pPr>
            <w:r>
              <w:rPr>
                <w:spacing w:val="-2"/>
              </w:rPr>
              <w:t>Current economic and competitive landscape</w:t>
            </w:r>
            <w:r>
              <w:rPr/>
              <w:t xml:space="preserve"> </w:t>
            </w:r>
            <w:r>
              <mc:AlternateContent>
                <mc:Choice Requires="wps">
                  <w:drawing>
                    <wp:anchor behindDoc="0" distT="0" distB="0" distL="0" distR="0" simplePos="0" locked="0" layoutInCell="1" allowOverlap="1" relativeHeight="664">
                      <wp:simplePos x="0" y="0"/>
                      <wp:positionH relativeFrom="column">
                        <wp:align>left</wp:align>
                      </wp:positionH>
                      <wp:positionV relativeFrom="line">
                        <wp:posOffset>635</wp:posOffset>
                      </wp:positionV>
                      <wp:extent cx="114300" cy="350520"/>
                      <wp:effectExtent l="0" t="0" r="0" b="0"/>
                      <wp:wrapSquare wrapText="right"/>
                      <wp:docPr id="731" name="Frame404"/>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60" w:after="0"/>
              <w:ind w:left="180" w:right="0" w:hanging="0"/>
              <w:jc w:val="left"/>
              <w:rPr>
                <w:spacing w:val="-2"/>
              </w:rPr>
            </w:pPr>
            <w:r>
              <w:rPr>
                <w:spacing w:val="-2"/>
              </w:rPr>
              <w:t xml:space="preserve">Identify trends, challenges and opportunities that will impact our performance </w:t>
            </w:r>
            <w:r>
              <mc:AlternateContent>
                <mc:Choice Requires="wps">
                  <w:drawing>
                    <wp:anchor behindDoc="0" distT="101600" distB="0" distL="0" distR="0" simplePos="0" locked="0" layoutInCell="1" allowOverlap="1" relativeHeight="665">
                      <wp:simplePos x="0" y="0"/>
                      <wp:positionH relativeFrom="column">
                        <wp:align>left</wp:align>
                      </wp:positionH>
                      <wp:positionV relativeFrom="line">
                        <wp:align>top</wp:align>
                      </wp:positionV>
                      <wp:extent cx="114300" cy="350520"/>
                      <wp:effectExtent l="0" t="0" r="0" b="0"/>
                      <wp:wrapSquare wrapText="right"/>
                      <wp:docPr id="732" name="Frame405"/>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83AD40"/>
            </w:tcBorders>
            <w:tcMar>
              <w:bottom w:w="28" w:type="dxa"/>
            </w:tcMar>
            <w:vAlign w:val="center"/>
          </w:tcPr>
          <w:p>
            <w:pPr>
              <w:pStyle w:val="TableContents"/>
              <w:bidi w:val="0"/>
              <w:spacing w:before="0" w:after="283"/>
              <w:jc w:val="left"/>
              <w:rPr/>
            </w:pPr>
            <w:r>
              <w:rPr/>
              <w:t>​</w:t>
            </w:r>
          </w:p>
        </w:tc>
        <w:tc>
          <w:tcPr>
            <w:tcW w:w="109" w:type="dxa"/>
            <w:tcBorders>
              <w:bottom w:val="single" w:sz="2" w:space="0" w:color="83AD40"/>
            </w:tcBorders>
            <w:shd w:fill="83AD40" w:val="clear"/>
            <w:tcMar>
              <w:bottom w:w="28" w:type="dxa"/>
            </w:tcMar>
            <w:vAlign w:val="center"/>
          </w:tcPr>
          <w:p>
            <w:pPr>
              <w:pStyle w:val="TableContents"/>
              <w:bidi w:val="0"/>
              <w:spacing w:before="0" w:after="283"/>
              <w:jc w:val="left"/>
              <w:rPr/>
            </w:pPr>
            <w:r>
              <w:rPr/>
              <w:t>​</w:t>
            </w:r>
          </w:p>
        </w:tc>
        <w:tc>
          <w:tcPr>
            <w:tcW w:w="109" w:type="dxa"/>
            <w:tcBorders>
              <w:bottom w:val="single" w:sz="6" w:space="0" w:color="83AD40"/>
            </w:tcBorders>
            <w:tcMar>
              <w:bottom w:w="28" w:type="dxa"/>
            </w:tcMar>
            <w:vAlign w:val="center"/>
          </w:tcPr>
          <w:p>
            <w:pPr>
              <w:pStyle w:val="TableContents"/>
              <w:bidi w:val="0"/>
              <w:spacing w:before="0" w:after="283"/>
              <w:jc w:val="left"/>
              <w:rPr/>
            </w:pPr>
            <w:r>
              <w:rPr/>
              <w:t>​</w:t>
            </w:r>
          </w:p>
        </w:tc>
        <w:tc>
          <w:tcPr>
            <w:tcW w:w="1961" w:type="dxa"/>
            <w:gridSpan w:val="5"/>
            <w:tcBorders>
              <w:bottom w:val="single" w:sz="6" w:space="0" w:color="83AD40"/>
            </w:tcBorders>
            <w:tcMar>
              <w:bottom w:w="300" w:type="dxa"/>
            </w:tcMar>
            <w:vAlign w:val="center"/>
          </w:tcPr>
          <w:p>
            <w:pPr>
              <w:pStyle w:val="TableContents"/>
              <w:bidi w:val="0"/>
              <w:spacing w:lineRule="atLeast" w:line="220" w:before="0" w:after="0"/>
              <w:ind w:left="180" w:right="0" w:hanging="0"/>
              <w:jc w:val="left"/>
              <w:rPr/>
            </w:pPr>
            <w:r>
              <w:rPr>
                <w:spacing w:val="-2"/>
              </w:rPr>
              <w:t>Establish formal guidance and internal projections based on current conditions</w:t>
            </w:r>
            <w:r>
              <w:rPr/>
              <w:t xml:space="preserve"> </w:t>
            </w:r>
            <w:r>
              <mc:AlternateContent>
                <mc:Choice Requires="wps">
                  <w:drawing>
                    <wp:anchor behindDoc="0" distT="0" distB="0" distL="0" distR="0" simplePos="0" locked="0" layoutInCell="1" allowOverlap="1" relativeHeight="666">
                      <wp:simplePos x="0" y="0"/>
                      <wp:positionH relativeFrom="column">
                        <wp:align>left</wp:align>
                      </wp:positionH>
                      <wp:positionV relativeFrom="line">
                        <wp:posOffset>635</wp:posOffset>
                      </wp:positionV>
                      <wp:extent cx="114300" cy="350520"/>
                      <wp:effectExtent l="0" t="0" r="0" b="0"/>
                      <wp:wrapSquare wrapText="right"/>
                      <wp:docPr id="733" name="Frame406"/>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60" w:after="0"/>
              <w:ind w:left="180" w:right="0" w:hanging="0"/>
              <w:jc w:val="left"/>
              <w:rPr>
                <w:spacing w:val="-2"/>
              </w:rPr>
            </w:pPr>
            <w:r>
              <w:rPr>
                <w:spacing w:val="-2"/>
              </w:rPr>
              <w:t xml:space="preserve">No consideration of prior year forecasts, which may result in narrower or wider ranges depending on anticipated volatility </w:t>
            </w:r>
            <w:r>
              <mc:AlternateContent>
                <mc:Choice Requires="wps">
                  <w:drawing>
                    <wp:anchor behindDoc="0" distT="101600" distB="0" distL="0" distR="0" simplePos="0" locked="0" layoutInCell="1" allowOverlap="1" relativeHeight="667">
                      <wp:simplePos x="0" y="0"/>
                      <wp:positionH relativeFrom="column">
                        <wp:align>left</wp:align>
                      </wp:positionH>
                      <wp:positionV relativeFrom="line">
                        <wp:align>top</wp:align>
                      </wp:positionV>
                      <wp:extent cx="114300" cy="350520"/>
                      <wp:effectExtent l="0" t="0" r="0" b="0"/>
                      <wp:wrapSquare wrapText="right"/>
                      <wp:docPr id="734" name="Frame407"/>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83AD40"/>
            </w:tcBorders>
            <w:tcMar>
              <w:bottom w:w="28" w:type="dxa"/>
            </w:tcMar>
            <w:vAlign w:val="center"/>
          </w:tcPr>
          <w:p>
            <w:pPr>
              <w:pStyle w:val="TableContents"/>
              <w:bidi w:val="0"/>
              <w:spacing w:before="0" w:after="283"/>
              <w:jc w:val="left"/>
              <w:rPr/>
            </w:pPr>
            <w:r>
              <w:rPr/>
              <w:t>​</w:t>
            </w:r>
          </w:p>
        </w:tc>
        <w:tc>
          <w:tcPr>
            <w:tcW w:w="109" w:type="dxa"/>
            <w:tcBorders>
              <w:bottom w:val="single" w:sz="2" w:space="0" w:color="83AD40"/>
            </w:tcBorders>
            <w:shd w:fill="83AD40" w:val="clear"/>
            <w:tcMar>
              <w:bottom w:w="28" w:type="dxa"/>
            </w:tcMar>
            <w:vAlign w:val="center"/>
          </w:tcPr>
          <w:p>
            <w:pPr>
              <w:pStyle w:val="TableContents"/>
              <w:bidi w:val="0"/>
              <w:spacing w:before="0" w:after="283"/>
              <w:jc w:val="left"/>
              <w:rPr/>
            </w:pPr>
            <w:r>
              <w:rPr/>
              <w:t>​</w:t>
            </w:r>
          </w:p>
        </w:tc>
        <w:tc>
          <w:tcPr>
            <w:tcW w:w="109" w:type="dxa"/>
            <w:tcBorders>
              <w:bottom w:val="single" w:sz="6" w:space="0" w:color="83AD40"/>
            </w:tcBorders>
            <w:tcMar>
              <w:bottom w:w="28" w:type="dxa"/>
            </w:tcMar>
            <w:vAlign w:val="center"/>
          </w:tcPr>
          <w:p>
            <w:pPr>
              <w:pStyle w:val="TableContents"/>
              <w:bidi w:val="0"/>
              <w:spacing w:before="0" w:after="283"/>
              <w:jc w:val="left"/>
              <w:rPr/>
            </w:pPr>
            <w:r>
              <w:rPr/>
              <w:t>​</w:t>
            </w:r>
          </w:p>
        </w:tc>
        <w:tc>
          <w:tcPr>
            <w:tcW w:w="2222" w:type="dxa"/>
            <w:gridSpan w:val="5"/>
            <w:tcBorders>
              <w:bottom w:val="single" w:sz="6" w:space="0" w:color="83AD40"/>
            </w:tcBorders>
            <w:tcMar>
              <w:bottom w:w="300" w:type="dxa"/>
            </w:tcMar>
            <w:vAlign w:val="center"/>
          </w:tcPr>
          <w:p>
            <w:pPr>
              <w:pStyle w:val="TableContents"/>
              <w:bidi w:val="0"/>
              <w:spacing w:lineRule="atLeast" w:line="220" w:before="0" w:after="0"/>
              <w:ind w:left="180" w:right="0" w:hanging="0"/>
              <w:jc w:val="left"/>
              <w:rPr/>
            </w:pPr>
            <w:r>
              <w:rPr>
                <w:spacing w:val="-2"/>
              </w:rPr>
              <w:t>Establish rigorous performance goals based on management’s guidance and internal projections</w:t>
            </w:r>
            <w:r>
              <w:rPr/>
              <w:t xml:space="preserve"> </w:t>
            </w:r>
            <w:r>
              <mc:AlternateContent>
                <mc:Choice Requires="wps">
                  <w:drawing>
                    <wp:anchor behindDoc="0" distT="0" distB="0" distL="0" distR="0" simplePos="0" locked="0" layoutInCell="1" allowOverlap="1" relativeHeight="668">
                      <wp:simplePos x="0" y="0"/>
                      <wp:positionH relativeFrom="column">
                        <wp:align>left</wp:align>
                      </wp:positionH>
                      <wp:positionV relativeFrom="line">
                        <wp:posOffset>635</wp:posOffset>
                      </wp:positionV>
                      <wp:extent cx="114300" cy="350520"/>
                      <wp:effectExtent l="0" t="0" r="0" b="0"/>
                      <wp:wrapSquare wrapText="right"/>
                      <wp:docPr id="735" name="Frame408"/>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60" w:after="0"/>
              <w:ind w:left="180" w:right="0" w:hanging="0"/>
              <w:jc w:val="left"/>
              <w:rPr>
                <w:spacing w:val="-2"/>
              </w:rPr>
            </w:pPr>
            <w:r>
              <w:rPr>
                <w:spacing w:val="-2"/>
              </w:rPr>
              <w:t xml:space="preserve">Consider both individual metrics and relationship between metrics to ensure alignment </w:t>
            </w:r>
            <w:r>
              <mc:AlternateContent>
                <mc:Choice Requires="wps">
                  <w:drawing>
                    <wp:anchor behindDoc="0" distT="101600" distB="0" distL="0" distR="0" simplePos="0" locked="0" layoutInCell="1" allowOverlap="1" relativeHeight="669">
                      <wp:simplePos x="0" y="0"/>
                      <wp:positionH relativeFrom="column">
                        <wp:align>left</wp:align>
                      </wp:positionH>
                      <wp:positionV relativeFrom="line">
                        <wp:align>top</wp:align>
                      </wp:positionV>
                      <wp:extent cx="114300" cy="350520"/>
                      <wp:effectExtent l="0" t="0" r="0" b="0"/>
                      <wp:wrapSquare wrapText="right"/>
                      <wp:docPr id="736" name="Frame409"/>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83AD40"/>
            </w:tcBorders>
            <w:tcMar>
              <w:bottom w:w="28" w:type="dxa"/>
            </w:tcMar>
            <w:vAlign w:val="center"/>
          </w:tcPr>
          <w:p>
            <w:pPr>
              <w:pStyle w:val="TableContents"/>
              <w:bidi w:val="0"/>
              <w:spacing w:before="0" w:after="283"/>
              <w:jc w:val="left"/>
              <w:rPr/>
            </w:pPr>
            <w:r>
              <w:rPr/>
              <w:t>​</w:t>
            </w:r>
          </w:p>
        </w:tc>
        <w:tc>
          <w:tcPr>
            <w:tcW w:w="109" w:type="dxa"/>
            <w:tcBorders>
              <w:bottom w:val="single" w:sz="2" w:space="0" w:color="83AD40"/>
            </w:tcBorders>
            <w:shd w:fill="83AD40" w:val="clear"/>
            <w:tcMar>
              <w:bottom w:w="28" w:type="dxa"/>
            </w:tcMar>
            <w:vAlign w:val="center"/>
          </w:tcPr>
          <w:p>
            <w:pPr>
              <w:pStyle w:val="TableContents"/>
              <w:bidi w:val="0"/>
              <w:spacing w:before="0" w:after="283"/>
              <w:jc w:val="left"/>
              <w:rPr/>
            </w:pPr>
            <w:r>
              <w:rPr/>
              <w:t>​</w:t>
            </w:r>
          </w:p>
        </w:tc>
        <w:tc>
          <w:tcPr>
            <w:tcW w:w="109" w:type="dxa"/>
            <w:tcBorders>
              <w:bottom w:val="single" w:sz="6" w:space="0" w:color="83AD40"/>
            </w:tcBorders>
            <w:tcMar>
              <w:bottom w:w="28" w:type="dxa"/>
            </w:tcMar>
            <w:vAlign w:val="center"/>
          </w:tcPr>
          <w:p>
            <w:pPr>
              <w:pStyle w:val="TableContents"/>
              <w:bidi w:val="0"/>
              <w:spacing w:before="0" w:after="283"/>
              <w:jc w:val="left"/>
              <w:rPr/>
            </w:pPr>
            <w:r>
              <w:rPr/>
              <w:t>​</w:t>
            </w:r>
          </w:p>
        </w:tc>
        <w:tc>
          <w:tcPr>
            <w:tcW w:w="2082" w:type="dxa"/>
            <w:gridSpan w:val="5"/>
            <w:tcBorders>
              <w:bottom w:val="single" w:sz="6" w:space="0" w:color="83AD40"/>
            </w:tcBorders>
            <w:tcMar>
              <w:bottom w:w="300" w:type="dxa"/>
            </w:tcMar>
            <w:vAlign w:val="center"/>
          </w:tcPr>
          <w:p>
            <w:pPr>
              <w:pStyle w:val="TableContents"/>
              <w:bidi w:val="0"/>
              <w:spacing w:lineRule="atLeast" w:line="220" w:before="0" w:after="0"/>
              <w:ind w:left="180" w:right="0" w:hanging="0"/>
              <w:jc w:val="left"/>
              <w:rPr/>
            </w:pPr>
            <w:r>
              <w:rPr>
                <w:spacing w:val="-2"/>
              </w:rPr>
              <w:t>Year-end measurement of performance for formulaic bonuses and performance-based equity awards</w:t>
            </w:r>
            <w:r>
              <w:rPr/>
              <w:t xml:space="preserve"> </w:t>
            </w:r>
            <w:r>
              <mc:AlternateContent>
                <mc:Choice Requires="wps">
                  <w:drawing>
                    <wp:anchor behindDoc="0" distT="0" distB="0" distL="0" distR="0" simplePos="0" locked="0" layoutInCell="1" allowOverlap="1" relativeHeight="670">
                      <wp:simplePos x="0" y="0"/>
                      <wp:positionH relativeFrom="column">
                        <wp:align>left</wp:align>
                      </wp:positionH>
                      <wp:positionV relativeFrom="line">
                        <wp:posOffset>635</wp:posOffset>
                      </wp:positionV>
                      <wp:extent cx="114300" cy="350520"/>
                      <wp:effectExtent l="0" t="0" r="0" b="0"/>
                      <wp:wrapSquare wrapText="right"/>
                      <wp:docPr id="737" name="Frame410"/>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60" w:after="0"/>
              <w:ind w:left="180" w:right="0" w:hanging="0"/>
              <w:jc w:val="left"/>
              <w:rPr/>
            </w:pPr>
            <w:r>
              <w:rPr>
                <w:spacing w:val="-2"/>
              </w:rPr>
              <w:t>We do not change our objective goals mid-year, even in extreme circumstances (such as COVID)</w:t>
            </w:r>
            <w:r>
              <w:rPr/>
              <w:t xml:space="preserve"> </w:t>
            </w:r>
            <w:r>
              <mc:AlternateContent>
                <mc:Choice Requires="wps">
                  <w:drawing>
                    <wp:anchor behindDoc="0" distT="101600" distB="0" distL="0" distR="0" simplePos="0" locked="0" layoutInCell="1" allowOverlap="1" relativeHeight="671">
                      <wp:simplePos x="0" y="0"/>
                      <wp:positionH relativeFrom="column">
                        <wp:align>left</wp:align>
                      </wp:positionH>
                      <wp:positionV relativeFrom="line">
                        <wp:align>top</wp:align>
                      </wp:positionV>
                      <wp:extent cx="114300" cy="350520"/>
                      <wp:effectExtent l="0" t="0" r="0" b="0"/>
                      <wp:wrapSquare wrapText="right"/>
                      <wp:docPr id="738" name="Frame411"/>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62" w:type="dxa"/>
            <w:tcBorders>
              <w:bottom w:val="single" w:sz="6" w:space="0" w:color="83AD40"/>
            </w:tcBorders>
            <w:tcMar>
              <w:bottom w:w="28" w:type="dxa"/>
            </w:tcMar>
            <w:vAlign w:val="center"/>
          </w:tcPr>
          <w:p>
            <w:pPr>
              <w:pStyle w:val="TableContents"/>
              <w:bidi w:val="0"/>
              <w:spacing w:before="0" w:after="283"/>
              <w:jc w:val="left"/>
              <w:rPr/>
            </w:pPr>
            <w:r>
              <w:rPr/>
              <w:t>​</w:t>
            </w:r>
          </w:p>
        </w:tc>
      </w:tr>
    </w:tbl>
    <w:tbl>
      <w:tblPr>
        <w:tblW w:w="9305" w:type="dxa"/>
        <w:jc w:val="left"/>
        <w:tblInd w:w="900" w:type="dxa"/>
        <w:tblLayout w:type="fixed"/>
        <w:tblCellMar>
          <w:top w:w="0" w:type="dxa"/>
          <w:left w:w="0" w:type="dxa"/>
          <w:bottom w:w="0" w:type="dxa"/>
          <w:right w:w="0" w:type="dxa"/>
        </w:tblCellMar>
      </w:tblPr>
      <w:tblGrid>
        <w:gridCol w:w="124"/>
        <w:gridCol w:w="9027"/>
        <w:gridCol w:w="154"/>
      </w:tblGrid>
      <w:tr>
        <w:trPr/>
        <w:tc>
          <w:tcPr>
            <w:tcW w:w="124" w:type="dxa"/>
            <w:tcBorders/>
            <w:shd w:fill="E9F9D8" w:val="clear"/>
            <w:vAlign w:val="center"/>
          </w:tcPr>
          <w:p>
            <w:pPr>
              <w:pStyle w:val="TableContents"/>
              <w:bidi w:val="0"/>
              <w:spacing w:before="0" w:after="283"/>
              <w:jc w:val="left"/>
              <w:rPr/>
            </w:pPr>
            <w:r>
              <w:rPr/>
              <w:t>​</w:t>
            </w:r>
          </w:p>
        </w:tc>
        <w:tc>
          <w:tcPr>
            <w:tcW w:w="9027" w:type="dxa"/>
            <w:tcBorders/>
            <w:shd w:fill="E9F9D8" w:val="clear"/>
            <w:vAlign w:val="center"/>
          </w:tcPr>
          <w:p>
            <w:pPr>
              <w:pStyle w:val="TableContents"/>
              <w:bidi w:val="0"/>
              <w:spacing w:lineRule="atLeast" w:line="220" w:before="0" w:after="0"/>
              <w:jc w:val="left"/>
              <w:rPr/>
            </w:pPr>
            <w:r>
              <w:rPr>
                <w:spacing w:val="-2"/>
              </w:rPr>
              <w:t>Goals are established each year on a forward-looking basis informed by then-current economic and competitive conditions. Those conditions will result in corresponding adjustments to the performance hurdles that relate to goals carried forward from the prior year.</w:t>
            </w:r>
            <w:r>
              <w:rPr/>
              <w:t xml:space="preserve"> </w:t>
            </w:r>
          </w:p>
        </w:tc>
        <w:tc>
          <w:tcPr>
            <w:tcW w:w="154" w:type="dxa"/>
            <w:tcBorders/>
            <w:shd w:fill="E9F9D8" w:val="clear"/>
            <w:vAlign w:val="center"/>
          </w:tcPr>
          <w:p>
            <w:pPr>
              <w:pStyle w:val="TableContents"/>
              <w:bidi w:val="0"/>
              <w:spacing w:before="0" w:after="283"/>
              <w:jc w:val="left"/>
              <w:rPr/>
            </w:pPr>
            <w:r>
              <w:rPr/>
              <w:t>​</w:t>
            </w:r>
          </w:p>
        </w:tc>
      </w:tr>
    </w:tbl>
    <w:p>
      <w:pPr>
        <w:pStyle w:val="TextBody"/>
        <w:bidi w:val="0"/>
        <w:spacing w:lineRule="atLeast" w:line="220" w:before="240" w:after="283"/>
        <w:ind w:left="900" w:right="0" w:hanging="0"/>
        <w:jc w:val="left"/>
        <w:rPr>
          <w:rFonts w:ascii="Arial;Helvetica;sans-serif" w:hAnsi="Arial;Helvetica;sans-serif"/>
          <w:b/>
          <w:i w:val="false"/>
          <w:caps w:val="false"/>
          <w:smallCaps w:val="false"/>
          <w:color w:val="1F2668"/>
          <w:sz w:val="18"/>
        </w:rPr>
      </w:pPr>
      <w:r>
        <w:rPr>
          <w:rFonts w:ascii="Arial;Helvetica;sans-serif" w:hAnsi="Arial;Helvetica;sans-serif"/>
          <w:b/>
          <w:i w:val="false"/>
          <w:caps w:val="false"/>
          <w:smallCaps w:val="false"/>
          <w:color w:val="1F2668"/>
          <w:spacing w:val="-2"/>
          <w:sz w:val="18"/>
        </w:rPr>
        <w:t>WHY SL GREEN CHOSE THESE METRICS</w:t>
      </w:r>
      <w:r>
        <w:rPr>
          <w:rFonts w:ascii="Arial;Helvetica;sans-serif" w:hAnsi="Arial;Helvetica;sans-serif"/>
          <w:b/>
          <w:i w:val="false"/>
          <w:caps w:val="false"/>
          <w:smallCaps w:val="false"/>
          <w:color w:val="000000"/>
          <w:spacing w:val="4"/>
          <w:sz w:val="18"/>
        </w:rPr>
        <w:t xml:space="preserve"> </w:t>
      </w:r>
    </w:p>
    <w:tbl>
      <w:tblPr>
        <w:tblW w:w="9305" w:type="dxa"/>
        <w:jc w:val="left"/>
        <w:tblInd w:w="900" w:type="dxa"/>
        <w:tblLayout w:type="fixed"/>
        <w:tblCellMar>
          <w:top w:w="0" w:type="dxa"/>
          <w:left w:w="0" w:type="dxa"/>
          <w:bottom w:w="28" w:type="dxa"/>
          <w:right w:w="0" w:type="dxa"/>
        </w:tblCellMar>
      </w:tblPr>
      <w:tblGrid>
        <w:gridCol w:w="124"/>
        <w:gridCol w:w="6134"/>
        <w:gridCol w:w="109"/>
        <w:gridCol w:w="109"/>
        <w:gridCol w:w="2674"/>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6134" w:type="dxa"/>
            <w:tcBorders>
              <w:bottom w:val="single" w:sz="2" w:space="0" w:color="83AD40"/>
            </w:tcBorders>
            <w:tcMar>
              <w:bottom w:w="70" w:type="dxa"/>
            </w:tcMar>
            <w:vAlign w:val="center"/>
          </w:tcPr>
          <w:p>
            <w:pPr>
              <w:pStyle w:val="TableContents"/>
              <w:bidi w:val="0"/>
              <w:spacing w:before="0" w:after="0"/>
              <w:jc w:val="left"/>
              <w:rPr/>
            </w:pPr>
            <w:r>
              <w:rPr>
                <w:spacing w:val="-2"/>
              </w:rPr>
              <w:t>Performance Metrics</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674" w:type="dxa"/>
            <w:tcBorders>
              <w:bottom w:val="single" w:sz="2" w:space="0" w:color="83AD40"/>
            </w:tcBorders>
            <w:tcMar>
              <w:bottom w:w="70" w:type="dxa"/>
            </w:tcMar>
            <w:vAlign w:val="center"/>
          </w:tcPr>
          <w:p>
            <w:pPr>
              <w:pStyle w:val="TableContents"/>
              <w:bidi w:val="0"/>
              <w:spacing w:before="0" w:after="0"/>
              <w:jc w:val="left"/>
              <w:rPr/>
            </w:pPr>
            <w:r>
              <w:rPr>
                <w:spacing w:val="-2"/>
              </w:rPr>
              <w:t>Metric Utilized in:</w:t>
            </w:r>
            <w:r>
              <w:rPr/>
              <w:t xml:space="preserv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6134" w:type="dxa"/>
            <w:tcBorders/>
            <w:tcMar>
              <w:bottom w:w="0" w:type="dxa"/>
            </w:tcMar>
            <w:vAlign w:val="center"/>
          </w:tcPr>
          <w:p>
            <w:pPr>
              <w:pStyle w:val="TableContents"/>
              <w:bidi w:val="0"/>
              <w:spacing w:before="0" w:after="283"/>
              <w:jc w:val="left"/>
              <w:rPr/>
            </w:pPr>
            <w:r>
              <w:rPr>
                <w:b/>
                <w:spacing w:val="-2"/>
              </w:rPr>
              <w:t>Normalized FFO per Share</w:t>
            </w:r>
            <w:r>
              <w:rPr/>
              <w:t xml:space="preserve"> </w:t>
              <w:br/>
            </w:r>
            <w:r>
              <w:rPr>
                <w:spacing w:val="-2"/>
              </w:rPr>
              <w:t xml:space="preserve">Widely-used non-GAAP measure of earnings performance for REITs, used both by investors and our management, and a key financial measure for which we provide guidance.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74" w:type="dxa"/>
            <w:tcBorders/>
            <w:tcMar>
              <w:bottom w:w="0" w:type="dxa"/>
            </w:tcMar>
            <w:vAlign w:val="center"/>
          </w:tcPr>
          <w:p>
            <w:pPr>
              <w:pStyle w:val="TableContents"/>
              <w:bidi w:val="0"/>
              <w:spacing w:lineRule="atLeast" w:line="180" w:before="0" w:after="0"/>
              <w:ind w:left="200" w:right="0" w:hanging="0"/>
              <w:jc w:val="left"/>
              <w:rPr>
                <w:spacing w:val="-2"/>
              </w:rPr>
            </w:pPr>
            <w:r>
              <w:rPr>
                <w:spacing w:val="-2"/>
              </w:rPr>
              <w:t xml:space="preserve">Annual Bonus </w:t>
            </w:r>
            <w:r>
              <mc:AlternateContent>
                <mc:Choice Requires="wps">
                  <w:drawing>
                    <wp:anchor behindDoc="0" distT="0" distB="0" distL="0" distR="0" simplePos="0" locked="0" layoutInCell="1" allowOverlap="1" relativeHeight="672">
                      <wp:simplePos x="0" y="0"/>
                      <wp:positionH relativeFrom="column">
                        <wp:align>left</wp:align>
                      </wp:positionH>
                      <wp:positionV relativeFrom="line">
                        <wp:posOffset>635</wp:posOffset>
                      </wp:positionV>
                      <wp:extent cx="127000" cy="525780"/>
                      <wp:effectExtent l="0" t="0" r="0" b="0"/>
                      <wp:wrapSquare wrapText="right"/>
                      <wp:docPr id="739" name="Frame412"/>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shd w:fill="E9F9D8" w:val="clear"/>
            <w:tcMar>
              <w:bottom w:w="0" w:type="dxa"/>
            </w:tcMar>
            <w:vAlign w:val="center"/>
          </w:tcPr>
          <w:p>
            <w:pPr>
              <w:pStyle w:val="TableContents"/>
              <w:bidi w:val="0"/>
              <w:spacing w:before="0" w:after="283"/>
              <w:jc w:val="left"/>
              <w:rPr/>
            </w:pPr>
            <w:r>
              <w:rPr/>
              <w:t>​</w:t>
            </w:r>
          </w:p>
        </w:tc>
        <w:tc>
          <w:tcPr>
            <w:tcW w:w="6134" w:type="dxa"/>
            <w:tcBorders/>
            <w:shd w:fill="E9F9D8" w:val="clear"/>
            <w:tcMar>
              <w:bottom w:w="0" w:type="dxa"/>
            </w:tcMar>
            <w:vAlign w:val="center"/>
          </w:tcPr>
          <w:p>
            <w:pPr>
              <w:pStyle w:val="TableContents"/>
              <w:bidi w:val="0"/>
              <w:spacing w:before="0" w:after="283"/>
              <w:jc w:val="left"/>
              <w:rPr/>
            </w:pPr>
            <w:r>
              <w:rPr>
                <w:b/>
                <w:spacing w:val="-2"/>
              </w:rPr>
              <w:t>Discounted Debt Extinguishment</w:t>
            </w:r>
            <w:r>
              <w:rPr>
                <w:spacing w:val="-2"/>
              </w:rPr>
              <w:t xml:space="preserve"> </w:t>
              <w:br/>
              <w:t xml:space="preserve">A key measurement of the relationship between our financial performance and the management of our portfolio and balance sheet </w:t>
            </w:r>
          </w:p>
        </w:tc>
        <w:tc>
          <w:tcPr>
            <w:tcW w:w="109" w:type="dxa"/>
            <w:tcBorders/>
            <w:shd w:fill="E9F9D8" w:val="clear"/>
            <w:tcMar>
              <w:bottom w:w="0" w:type="dxa"/>
            </w:tcMar>
            <w:vAlign w:val="center"/>
          </w:tcPr>
          <w:p>
            <w:pPr>
              <w:pStyle w:val="TableContents"/>
              <w:bidi w:val="0"/>
              <w:spacing w:before="0" w:after="283"/>
              <w:jc w:val="left"/>
              <w:rPr/>
            </w:pPr>
            <w:r>
              <w:rPr/>
              <w:t>​</w:t>
            </w:r>
          </w:p>
        </w:tc>
        <w:tc>
          <w:tcPr>
            <w:tcW w:w="109" w:type="dxa"/>
            <w:tcBorders/>
            <w:shd w:fill="E9F9D8" w:val="clear"/>
            <w:tcMar>
              <w:bottom w:w="0" w:type="dxa"/>
            </w:tcMar>
            <w:vAlign w:val="center"/>
          </w:tcPr>
          <w:p>
            <w:pPr>
              <w:pStyle w:val="TableContents"/>
              <w:bidi w:val="0"/>
              <w:spacing w:before="0" w:after="283"/>
              <w:jc w:val="left"/>
              <w:rPr/>
            </w:pPr>
            <w:r>
              <w:rPr/>
              <w:t>​</w:t>
            </w:r>
          </w:p>
        </w:tc>
        <w:tc>
          <w:tcPr>
            <w:tcW w:w="2674" w:type="dxa"/>
            <w:tcBorders/>
            <w:shd w:fill="E9F9D8" w:val="clear"/>
            <w:tcMar>
              <w:bottom w:w="0" w:type="dxa"/>
            </w:tcMar>
            <w:vAlign w:val="center"/>
          </w:tcPr>
          <w:p>
            <w:pPr>
              <w:pStyle w:val="TableContents"/>
              <w:bidi w:val="0"/>
              <w:spacing w:lineRule="atLeast" w:line="180" w:before="0" w:after="0"/>
              <w:ind w:left="200" w:right="0" w:hanging="0"/>
              <w:jc w:val="left"/>
              <w:rPr>
                <w:spacing w:val="-2"/>
              </w:rPr>
            </w:pPr>
            <w:r>
              <w:rPr>
                <w:spacing w:val="-2"/>
              </w:rPr>
              <w:t xml:space="preserve">Annual Bonus </w:t>
            </w:r>
            <w:r>
              <mc:AlternateContent>
                <mc:Choice Requires="wps">
                  <w:drawing>
                    <wp:anchor behindDoc="0" distT="0" distB="0" distL="0" distR="0" simplePos="0" locked="0" layoutInCell="1" allowOverlap="1" relativeHeight="673">
                      <wp:simplePos x="0" y="0"/>
                      <wp:positionH relativeFrom="column">
                        <wp:align>left</wp:align>
                      </wp:positionH>
                      <wp:positionV relativeFrom="line">
                        <wp:posOffset>635</wp:posOffset>
                      </wp:positionV>
                      <wp:extent cx="127000" cy="525780"/>
                      <wp:effectExtent l="0" t="0" r="0" b="0"/>
                      <wp:wrapSquare wrapText="right"/>
                      <wp:docPr id="740" name="Frame413"/>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6134" w:type="dxa"/>
            <w:tcBorders/>
            <w:tcMar>
              <w:bottom w:w="0" w:type="dxa"/>
            </w:tcMar>
            <w:vAlign w:val="center"/>
          </w:tcPr>
          <w:p>
            <w:pPr>
              <w:pStyle w:val="TableContents"/>
              <w:bidi w:val="0"/>
              <w:spacing w:before="0" w:after="283"/>
              <w:jc w:val="left"/>
              <w:rPr/>
            </w:pPr>
            <w:r>
              <w:rPr>
                <w:b/>
                <w:spacing w:val="-2"/>
              </w:rPr>
              <w:t>Third Party Fee Income</w:t>
            </w:r>
            <w:r>
              <w:rPr/>
              <w:t xml:space="preserve"> </w:t>
              <w:br/>
            </w:r>
            <w:r>
              <w:rPr>
                <w:spacing w:val="-2"/>
              </w:rPr>
              <w:t xml:space="preserve">A key component of operating cash flow from our third party asset management and special servicing businesses that drives long-term value creation and is a key metric for operational performance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74" w:type="dxa"/>
            <w:tcBorders/>
            <w:tcMar>
              <w:bottom w:w="0" w:type="dxa"/>
            </w:tcMar>
            <w:vAlign w:val="center"/>
          </w:tcPr>
          <w:p>
            <w:pPr>
              <w:pStyle w:val="TableContents"/>
              <w:bidi w:val="0"/>
              <w:spacing w:lineRule="atLeast" w:line="180" w:before="0" w:after="0"/>
              <w:ind w:left="200" w:right="0" w:hanging="0"/>
              <w:jc w:val="left"/>
              <w:rPr>
                <w:spacing w:val="-2"/>
              </w:rPr>
            </w:pPr>
            <w:r>
              <w:rPr>
                <w:spacing w:val="-2"/>
              </w:rPr>
              <w:t xml:space="preserve">Annual Bonus </w:t>
            </w:r>
            <w:r>
              <mc:AlternateContent>
                <mc:Choice Requires="wps">
                  <w:drawing>
                    <wp:anchor behindDoc="0" distT="0" distB="0" distL="0" distR="0" simplePos="0" locked="0" layoutInCell="1" allowOverlap="1" relativeHeight="674">
                      <wp:simplePos x="0" y="0"/>
                      <wp:positionH relativeFrom="column">
                        <wp:align>left</wp:align>
                      </wp:positionH>
                      <wp:positionV relativeFrom="line">
                        <wp:posOffset>635</wp:posOffset>
                      </wp:positionV>
                      <wp:extent cx="127000" cy="525780"/>
                      <wp:effectExtent l="0" t="0" r="0" b="0"/>
                      <wp:wrapSquare wrapText="right"/>
                      <wp:docPr id="741" name="Frame414"/>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shd w:fill="E9F9D8" w:val="clear"/>
            <w:tcMar>
              <w:bottom w:w="0" w:type="dxa"/>
            </w:tcMar>
            <w:vAlign w:val="center"/>
          </w:tcPr>
          <w:p>
            <w:pPr>
              <w:pStyle w:val="TableContents"/>
              <w:bidi w:val="0"/>
              <w:spacing w:before="0" w:after="283"/>
              <w:jc w:val="left"/>
              <w:rPr/>
            </w:pPr>
            <w:r>
              <w:rPr/>
              <w:t>​</w:t>
            </w:r>
          </w:p>
        </w:tc>
        <w:tc>
          <w:tcPr>
            <w:tcW w:w="6134" w:type="dxa"/>
            <w:tcBorders/>
            <w:shd w:fill="E9F9D8" w:val="clear"/>
            <w:tcMar>
              <w:bottom w:w="0" w:type="dxa"/>
            </w:tcMar>
            <w:vAlign w:val="center"/>
          </w:tcPr>
          <w:p>
            <w:pPr>
              <w:pStyle w:val="TableContents"/>
              <w:bidi w:val="0"/>
              <w:spacing w:before="0" w:after="283"/>
              <w:jc w:val="left"/>
              <w:rPr/>
            </w:pPr>
            <w:r>
              <w:rPr>
                <w:b/>
                <w:spacing w:val="-2"/>
              </w:rPr>
              <w:t>G&amp;A Expense</w:t>
            </w:r>
            <w:r>
              <w:rPr>
                <w:spacing w:val="-2"/>
              </w:rPr>
              <w:t xml:space="preserve"> </w:t>
              <w:br/>
              <w:t xml:space="preserve">Corporate overhead is a key efficiency metric impacting the overall profitability and value of the Company </w:t>
            </w:r>
          </w:p>
        </w:tc>
        <w:tc>
          <w:tcPr>
            <w:tcW w:w="109" w:type="dxa"/>
            <w:tcBorders/>
            <w:shd w:fill="E9F9D8" w:val="clear"/>
            <w:tcMar>
              <w:bottom w:w="0" w:type="dxa"/>
            </w:tcMar>
            <w:vAlign w:val="center"/>
          </w:tcPr>
          <w:p>
            <w:pPr>
              <w:pStyle w:val="TableContents"/>
              <w:bidi w:val="0"/>
              <w:spacing w:before="0" w:after="283"/>
              <w:jc w:val="left"/>
              <w:rPr/>
            </w:pPr>
            <w:r>
              <w:rPr/>
              <w:t>​</w:t>
            </w:r>
          </w:p>
        </w:tc>
        <w:tc>
          <w:tcPr>
            <w:tcW w:w="109" w:type="dxa"/>
            <w:tcBorders/>
            <w:shd w:fill="E9F9D8" w:val="clear"/>
            <w:tcMar>
              <w:bottom w:w="0" w:type="dxa"/>
            </w:tcMar>
            <w:vAlign w:val="center"/>
          </w:tcPr>
          <w:p>
            <w:pPr>
              <w:pStyle w:val="TableContents"/>
              <w:bidi w:val="0"/>
              <w:spacing w:before="0" w:after="283"/>
              <w:jc w:val="left"/>
              <w:rPr/>
            </w:pPr>
            <w:r>
              <w:rPr/>
              <w:t>​</w:t>
            </w:r>
          </w:p>
        </w:tc>
        <w:tc>
          <w:tcPr>
            <w:tcW w:w="2674" w:type="dxa"/>
            <w:tcBorders/>
            <w:shd w:fill="E9F9D8" w:val="clear"/>
            <w:tcMar>
              <w:bottom w:w="0" w:type="dxa"/>
            </w:tcMar>
            <w:vAlign w:val="center"/>
          </w:tcPr>
          <w:p>
            <w:pPr>
              <w:pStyle w:val="TableContents"/>
              <w:bidi w:val="0"/>
              <w:spacing w:lineRule="atLeast" w:line="180" w:before="0" w:after="0"/>
              <w:ind w:left="200" w:right="0" w:hanging="0"/>
              <w:jc w:val="left"/>
              <w:rPr>
                <w:spacing w:val="-2"/>
              </w:rPr>
            </w:pPr>
            <w:r>
              <w:rPr>
                <w:spacing w:val="-2"/>
              </w:rPr>
              <w:t xml:space="preserve">Annual Bonus </w:t>
            </w:r>
            <w:r>
              <mc:AlternateContent>
                <mc:Choice Requires="wps">
                  <w:drawing>
                    <wp:anchor behindDoc="0" distT="0" distB="0" distL="0" distR="0" simplePos="0" locked="0" layoutInCell="1" allowOverlap="1" relativeHeight="675">
                      <wp:simplePos x="0" y="0"/>
                      <wp:positionH relativeFrom="column">
                        <wp:align>left</wp:align>
                      </wp:positionH>
                      <wp:positionV relativeFrom="line">
                        <wp:posOffset>635</wp:posOffset>
                      </wp:positionV>
                      <wp:extent cx="127000" cy="525780"/>
                      <wp:effectExtent l="0" t="0" r="0" b="0"/>
                      <wp:wrapSquare wrapText="right"/>
                      <wp:docPr id="742" name="Frame415"/>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6134" w:type="dxa"/>
            <w:tcBorders/>
            <w:tcMar>
              <w:bottom w:w="0" w:type="dxa"/>
            </w:tcMar>
            <w:vAlign w:val="center"/>
          </w:tcPr>
          <w:p>
            <w:pPr>
              <w:pStyle w:val="TableContents"/>
              <w:bidi w:val="0"/>
              <w:spacing w:before="0" w:after="283"/>
              <w:jc w:val="left"/>
              <w:rPr/>
            </w:pPr>
            <w:r>
              <w:rPr>
                <w:b/>
                <w:spacing w:val="-2"/>
              </w:rPr>
              <w:t>Normalized Funds Available for Distribution</w:t>
            </w:r>
            <w:r>
              <w:rPr/>
              <w:t xml:space="preserve"> </w:t>
              <w:br/>
            </w:r>
            <w:r>
              <w:rPr>
                <w:spacing w:val="-2"/>
              </w:rPr>
              <w:t xml:space="preserve">A key measure of operating cash flow that is driven by the effective management of our portfolio and our business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74" w:type="dxa"/>
            <w:tcBorders/>
            <w:tcMar>
              <w:bottom w:w="0" w:type="dxa"/>
            </w:tcMar>
            <w:vAlign w:val="center"/>
          </w:tcPr>
          <w:p>
            <w:pPr>
              <w:pStyle w:val="TableContents"/>
              <w:bidi w:val="0"/>
              <w:spacing w:lineRule="atLeast" w:line="180" w:before="0" w:after="0"/>
              <w:ind w:left="200" w:right="0" w:hanging="0"/>
              <w:jc w:val="left"/>
              <w:rPr/>
            </w:pPr>
            <w:r>
              <w:rPr>
                <w:spacing w:val="-2"/>
              </w:rPr>
              <w:t>Three-Year Operational Equity</w:t>
            </w:r>
            <w:r>
              <w:rPr/>
              <w:t xml:space="preserve"> </w:t>
            </w:r>
            <w:r>
              <mc:AlternateContent>
                <mc:Choice Requires="wps">
                  <w:drawing>
                    <wp:anchor behindDoc="0" distT="0" distB="0" distL="0" distR="0" simplePos="0" locked="0" layoutInCell="1" allowOverlap="1" relativeHeight="676">
                      <wp:simplePos x="0" y="0"/>
                      <wp:positionH relativeFrom="column">
                        <wp:align>left</wp:align>
                      </wp:positionH>
                      <wp:positionV relativeFrom="line">
                        <wp:posOffset>635</wp:posOffset>
                      </wp:positionV>
                      <wp:extent cx="127000" cy="525780"/>
                      <wp:effectExtent l="0" t="0" r="0" b="0"/>
                      <wp:wrapSquare wrapText="right"/>
                      <wp:docPr id="743" name="Frame416"/>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60" w:after="0"/>
              <w:ind w:left="200" w:right="0" w:hanging="0"/>
              <w:jc w:val="left"/>
              <w:rPr>
                <w:spacing w:val="-2"/>
              </w:rPr>
            </w:pPr>
            <w:r>
              <w:rPr>
                <w:spacing w:val="-2"/>
              </w:rPr>
              <w:t xml:space="preserve">One-Year Operational Equity Outperformance Modifier </w:t>
            </w:r>
            <w:r>
              <mc:AlternateContent>
                <mc:Choice Requires="wps">
                  <w:drawing>
                    <wp:anchor behindDoc="0" distT="101600" distB="0" distL="0" distR="0" simplePos="0" locked="0" layoutInCell="1" allowOverlap="1" relativeHeight="677">
                      <wp:simplePos x="0" y="0"/>
                      <wp:positionH relativeFrom="column">
                        <wp:align>left</wp:align>
                      </wp:positionH>
                      <wp:positionV relativeFrom="line">
                        <wp:align>top</wp:align>
                      </wp:positionV>
                      <wp:extent cx="127000" cy="525780"/>
                      <wp:effectExtent l="0" t="0" r="0" b="0"/>
                      <wp:wrapSquare wrapText="right"/>
                      <wp:docPr id="744" name="Frame417"/>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shd w:fill="E9F9D8" w:val="clear"/>
            <w:tcMar>
              <w:bottom w:w="0" w:type="dxa"/>
            </w:tcMar>
            <w:vAlign w:val="center"/>
          </w:tcPr>
          <w:p>
            <w:pPr>
              <w:pStyle w:val="TableContents"/>
              <w:bidi w:val="0"/>
              <w:spacing w:before="0" w:after="283"/>
              <w:jc w:val="left"/>
              <w:rPr/>
            </w:pPr>
            <w:r>
              <w:rPr/>
              <w:t>​</w:t>
            </w:r>
          </w:p>
        </w:tc>
        <w:tc>
          <w:tcPr>
            <w:tcW w:w="6134" w:type="dxa"/>
            <w:tcBorders/>
            <w:shd w:fill="E9F9D8" w:val="clear"/>
            <w:tcMar>
              <w:bottom w:w="0" w:type="dxa"/>
            </w:tcMar>
            <w:vAlign w:val="center"/>
          </w:tcPr>
          <w:p>
            <w:pPr>
              <w:pStyle w:val="TableContents"/>
              <w:bidi w:val="0"/>
              <w:spacing w:before="0" w:after="283"/>
              <w:jc w:val="left"/>
              <w:rPr/>
            </w:pPr>
            <w:r>
              <w:rPr>
                <w:b/>
                <w:spacing w:val="-2"/>
              </w:rPr>
              <w:t>Ordinary Dividend Growth</w:t>
            </w:r>
            <w:r>
              <w:rPr/>
              <w:t xml:space="preserve"> </w:t>
              <w:br/>
            </w:r>
            <w:r>
              <w:rPr>
                <w:spacing w:val="-2"/>
              </w:rPr>
              <w:t xml:space="preserve">A key measure of the income we return to stockholders, measured over a three-year period, driven by effective long-term growth and operation of our business portfolio </w:t>
            </w:r>
          </w:p>
        </w:tc>
        <w:tc>
          <w:tcPr>
            <w:tcW w:w="109" w:type="dxa"/>
            <w:tcBorders/>
            <w:shd w:fill="E9F9D8" w:val="clear"/>
            <w:tcMar>
              <w:bottom w:w="0" w:type="dxa"/>
            </w:tcMar>
            <w:vAlign w:val="center"/>
          </w:tcPr>
          <w:p>
            <w:pPr>
              <w:pStyle w:val="TableContents"/>
              <w:bidi w:val="0"/>
              <w:spacing w:before="0" w:after="283"/>
              <w:jc w:val="left"/>
              <w:rPr/>
            </w:pPr>
            <w:r>
              <w:rPr/>
              <w:t>​</w:t>
            </w:r>
          </w:p>
        </w:tc>
        <w:tc>
          <w:tcPr>
            <w:tcW w:w="109" w:type="dxa"/>
            <w:tcBorders/>
            <w:shd w:fill="E9F9D8" w:val="clear"/>
            <w:tcMar>
              <w:bottom w:w="0" w:type="dxa"/>
            </w:tcMar>
            <w:vAlign w:val="center"/>
          </w:tcPr>
          <w:p>
            <w:pPr>
              <w:pStyle w:val="TableContents"/>
              <w:bidi w:val="0"/>
              <w:spacing w:before="0" w:after="283"/>
              <w:jc w:val="left"/>
              <w:rPr/>
            </w:pPr>
            <w:r>
              <w:rPr/>
              <w:t>​</w:t>
            </w:r>
          </w:p>
        </w:tc>
        <w:tc>
          <w:tcPr>
            <w:tcW w:w="2674" w:type="dxa"/>
            <w:tcBorders/>
            <w:shd w:fill="E9F9D8" w:val="clear"/>
            <w:tcMar>
              <w:bottom w:w="0" w:type="dxa"/>
            </w:tcMar>
            <w:vAlign w:val="center"/>
          </w:tcPr>
          <w:p>
            <w:pPr>
              <w:pStyle w:val="TableContents"/>
              <w:bidi w:val="0"/>
              <w:spacing w:lineRule="atLeast" w:line="180" w:before="0" w:after="0"/>
              <w:ind w:left="200" w:right="0" w:hanging="0"/>
              <w:jc w:val="left"/>
              <w:rPr/>
            </w:pPr>
            <w:r>
              <w:rPr>
                <w:spacing w:val="-2"/>
              </w:rPr>
              <w:t>Three-Year Operational Equity</w:t>
            </w:r>
            <w:r>
              <w:rPr/>
              <w:t xml:space="preserve"> </w:t>
            </w:r>
            <w:r>
              <mc:AlternateContent>
                <mc:Choice Requires="wps">
                  <w:drawing>
                    <wp:anchor behindDoc="0" distT="0" distB="0" distL="0" distR="0" simplePos="0" locked="0" layoutInCell="1" allowOverlap="1" relativeHeight="678">
                      <wp:simplePos x="0" y="0"/>
                      <wp:positionH relativeFrom="column">
                        <wp:align>left</wp:align>
                      </wp:positionH>
                      <wp:positionV relativeFrom="line">
                        <wp:posOffset>635</wp:posOffset>
                      </wp:positionV>
                      <wp:extent cx="127000" cy="525780"/>
                      <wp:effectExtent l="0" t="0" r="0" b="0"/>
                      <wp:wrapSquare wrapText="right"/>
                      <wp:docPr id="745" name="Frame418"/>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60" w:after="0"/>
              <w:ind w:left="200" w:right="0" w:hanging="0"/>
              <w:jc w:val="left"/>
              <w:rPr/>
            </w:pPr>
            <w:r>
              <w:rPr>
                <w:spacing w:val="-2"/>
              </w:rPr>
              <w:t>Outperformance Modifier</w:t>
            </w:r>
            <w:r>
              <w:rPr/>
              <w:t xml:space="preserve"> </w:t>
            </w:r>
            <w:r>
              <mc:AlternateContent>
                <mc:Choice Requires="wps">
                  <w:drawing>
                    <wp:anchor behindDoc="0" distT="101600" distB="0" distL="0" distR="0" simplePos="0" locked="0" layoutInCell="1" allowOverlap="1" relativeHeight="679">
                      <wp:simplePos x="0" y="0"/>
                      <wp:positionH relativeFrom="column">
                        <wp:align>left</wp:align>
                      </wp:positionH>
                      <wp:positionV relativeFrom="line">
                        <wp:align>top</wp:align>
                      </wp:positionV>
                      <wp:extent cx="127000" cy="525780"/>
                      <wp:effectExtent l="0" t="0" r="0" b="0"/>
                      <wp:wrapSquare wrapText="right"/>
                      <wp:docPr id="746" name="Frame419"/>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6134" w:type="dxa"/>
            <w:tcBorders/>
            <w:tcMar>
              <w:bottom w:w="0" w:type="dxa"/>
            </w:tcMar>
            <w:vAlign w:val="center"/>
          </w:tcPr>
          <w:p>
            <w:pPr>
              <w:pStyle w:val="TableContents"/>
              <w:bidi w:val="0"/>
              <w:spacing w:before="0" w:after="283"/>
              <w:jc w:val="left"/>
              <w:rPr/>
            </w:pPr>
            <w:r>
              <w:rPr>
                <w:b/>
                <w:spacing w:val="-2"/>
              </w:rPr>
              <w:t>Manhattan Same Store Office Leased Occupancy</w:t>
            </w:r>
            <w:r>
              <w:rPr/>
              <w:t xml:space="preserve"> </w:t>
              <w:br/>
            </w:r>
            <w:r>
              <w:rPr>
                <w:spacing w:val="-2"/>
              </w:rPr>
              <w:t xml:space="preserve">A measure of how effectively we manage properties owned by us in a similar manner in both reporting periods (year over year)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74" w:type="dxa"/>
            <w:tcBorders/>
            <w:tcMar>
              <w:bottom w:w="0" w:type="dxa"/>
            </w:tcMar>
            <w:vAlign w:val="center"/>
          </w:tcPr>
          <w:p>
            <w:pPr>
              <w:pStyle w:val="TableContents"/>
              <w:bidi w:val="0"/>
              <w:spacing w:lineRule="atLeast" w:line="180" w:before="0" w:after="0"/>
              <w:ind w:left="200" w:right="0" w:hanging="0"/>
              <w:jc w:val="left"/>
              <w:rPr/>
            </w:pPr>
            <w:r>
              <w:rPr>
                <w:spacing w:val="-2"/>
              </w:rPr>
              <w:t>Three-Year Operational Equity</w:t>
            </w:r>
            <w:r>
              <w:rPr/>
              <w:t xml:space="preserve"> </w:t>
            </w:r>
            <w:r>
              <mc:AlternateContent>
                <mc:Choice Requires="wps">
                  <w:drawing>
                    <wp:anchor behindDoc="0" distT="0" distB="0" distL="0" distR="0" simplePos="0" locked="0" layoutInCell="1" allowOverlap="1" relativeHeight="680">
                      <wp:simplePos x="0" y="0"/>
                      <wp:positionH relativeFrom="column">
                        <wp:align>left</wp:align>
                      </wp:positionH>
                      <wp:positionV relativeFrom="line">
                        <wp:posOffset>635</wp:posOffset>
                      </wp:positionV>
                      <wp:extent cx="127000" cy="525780"/>
                      <wp:effectExtent l="0" t="0" r="0" b="0"/>
                      <wp:wrapSquare wrapText="right"/>
                      <wp:docPr id="747" name="Frame420"/>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60" w:after="0"/>
              <w:ind w:left="200" w:right="0" w:hanging="0"/>
              <w:jc w:val="left"/>
              <w:rPr/>
            </w:pPr>
            <w:r>
              <w:rPr>
                <w:spacing w:val="-2"/>
              </w:rPr>
              <w:t>One-Year Operational Equity</w:t>
            </w:r>
            <w:r>
              <w:rPr/>
              <w:t xml:space="preserve"> </w:t>
            </w:r>
            <w:r>
              <mc:AlternateContent>
                <mc:Choice Requires="wps">
                  <w:drawing>
                    <wp:anchor behindDoc="0" distT="101600" distB="0" distL="0" distR="0" simplePos="0" locked="0" layoutInCell="1" allowOverlap="1" relativeHeight="681">
                      <wp:simplePos x="0" y="0"/>
                      <wp:positionH relativeFrom="column">
                        <wp:align>left</wp:align>
                      </wp:positionH>
                      <wp:positionV relativeFrom="line">
                        <wp:align>top</wp:align>
                      </wp:positionV>
                      <wp:extent cx="127000" cy="525780"/>
                      <wp:effectExtent l="0" t="0" r="0" b="0"/>
                      <wp:wrapSquare wrapText="right"/>
                      <wp:docPr id="748" name="Frame421"/>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60" w:after="0"/>
              <w:ind w:left="200" w:right="0" w:hanging="0"/>
              <w:jc w:val="left"/>
              <w:rPr>
                <w:spacing w:val="-2"/>
              </w:rPr>
            </w:pPr>
            <w:r>
              <w:rPr>
                <w:spacing w:val="-2"/>
              </w:rPr>
              <w:t xml:space="preserve">Outperformance Modifier </w:t>
            </w:r>
            <w:r>
              <mc:AlternateContent>
                <mc:Choice Requires="wps">
                  <w:drawing>
                    <wp:anchor behindDoc="0" distT="101600" distB="0" distL="0" distR="0" simplePos="0" locked="0" layoutInCell="1" allowOverlap="1" relativeHeight="682">
                      <wp:simplePos x="0" y="0"/>
                      <wp:positionH relativeFrom="column">
                        <wp:align>left</wp:align>
                      </wp:positionH>
                      <wp:positionV relativeFrom="line">
                        <wp:align>top</wp:align>
                      </wp:positionV>
                      <wp:extent cx="127000" cy="525780"/>
                      <wp:effectExtent l="0" t="0" r="0" b="0"/>
                      <wp:wrapSquare wrapText="right"/>
                      <wp:docPr id="749" name="Frame422"/>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225" w:type="dxa"/>
        <w:jc w:val="left"/>
        <w:tblInd w:w="900" w:type="dxa"/>
        <w:tblLayout w:type="fixed"/>
        <w:tblCellMar>
          <w:top w:w="0" w:type="dxa"/>
          <w:left w:w="0" w:type="dxa"/>
          <w:bottom w:w="0" w:type="dxa"/>
          <w:right w:w="0" w:type="dxa"/>
        </w:tblCellMar>
      </w:tblPr>
      <w:tblGrid>
        <w:gridCol w:w="124"/>
        <w:gridCol w:w="346"/>
        <w:gridCol w:w="109"/>
        <w:gridCol w:w="109"/>
        <w:gridCol w:w="4383"/>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60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383" w:type="dxa"/>
            <w:tcBorders/>
            <w:vAlign w:val="center"/>
          </w:tcPr>
          <w:p>
            <w:pPr>
              <w:pStyle w:val="TableContents"/>
              <w:bidi w:val="0"/>
              <w:spacing w:lineRule="atLeast" w:line="200" w:before="0" w:after="0"/>
              <w:jc w:val="left"/>
              <w:rPr/>
            </w:pPr>
            <w:r>
              <w:rPr>
                <w:spacing w:val="-2"/>
              </w:rPr>
              <w:t>    </w:t>
            </w:r>
            <w:r>
              <w:rPr>
                <w:spacing w:val="-2"/>
                <w:sz w:val="16"/>
              </w:rPr>
              <w:t>SL GREEN REALTY CORP. 2026 PROXY STATEMENT</w:t>
            </w:r>
            <w:r>
              <w:rPr>
                <w:sz w:val="16"/>
              </w:rPr>
              <w:t xml:space="preserve"> </w:t>
            </w:r>
          </w:p>
        </w:tc>
        <w:tc>
          <w:tcPr>
            <w:tcW w:w="154" w:type="dxa"/>
            <w:tcBorders/>
            <w:vAlign w:val="center"/>
          </w:tcPr>
          <w:p>
            <w:pPr>
              <w:pStyle w:val="TableContents"/>
              <w:bidi w:val="0"/>
              <w:spacing w:before="0" w:after="283"/>
              <w:jc w:val="left"/>
              <w:rPr/>
            </w:pPr>
            <w:r>
              <w:rPr/>
              <w:t>​</w:t>
            </w:r>
          </w:p>
        </w:tc>
      </w:tr>
    </w:tbl>
    <w:tbl>
      <w:tblPr>
        <w:tblW w:w="9305" w:type="dxa"/>
        <w:jc w:val="left"/>
        <w:tblInd w:w="900" w:type="dxa"/>
        <w:tblLayout w:type="fixed"/>
        <w:tblCellMar>
          <w:top w:w="0" w:type="dxa"/>
          <w:left w:w="0" w:type="dxa"/>
          <w:bottom w:w="28" w:type="dxa"/>
          <w:right w:w="0" w:type="dxa"/>
        </w:tblCellMar>
      </w:tblPr>
      <w:tblGrid>
        <w:gridCol w:w="124"/>
        <w:gridCol w:w="6876"/>
        <w:gridCol w:w="109"/>
        <w:gridCol w:w="109"/>
        <w:gridCol w:w="1932"/>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6876" w:type="dxa"/>
            <w:tcBorders>
              <w:bottom w:val="single" w:sz="2" w:space="0" w:color="83AD40"/>
            </w:tcBorders>
            <w:tcMar>
              <w:bottom w:w="70" w:type="dxa"/>
            </w:tcMar>
            <w:vAlign w:val="center"/>
          </w:tcPr>
          <w:p>
            <w:pPr>
              <w:pStyle w:val="TableContents"/>
              <w:bidi w:val="0"/>
              <w:spacing w:before="0" w:after="0"/>
              <w:jc w:val="left"/>
              <w:rPr/>
            </w:pPr>
            <w:r>
              <w:rPr>
                <w:spacing w:val="-2"/>
              </w:rPr>
              <w:t>Performance Metrics</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932" w:type="dxa"/>
            <w:tcBorders>
              <w:bottom w:val="single" w:sz="2" w:space="0" w:color="83AD40"/>
            </w:tcBorders>
            <w:tcMar>
              <w:bottom w:w="70" w:type="dxa"/>
            </w:tcMar>
            <w:vAlign w:val="center"/>
          </w:tcPr>
          <w:p>
            <w:pPr>
              <w:pStyle w:val="TableContents"/>
              <w:bidi w:val="0"/>
              <w:spacing w:before="0" w:after="0"/>
              <w:jc w:val="left"/>
              <w:rPr/>
            </w:pPr>
            <w:r>
              <w:rPr>
                <w:spacing w:val="-2"/>
              </w:rPr>
              <w:t>Metric Utilized in:</w:t>
            </w:r>
            <w:r>
              <w:rPr/>
              <w:t xml:space="preserv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shd w:fill="E9F9D8" w:val="clear"/>
            <w:tcMar>
              <w:bottom w:w="0" w:type="dxa"/>
            </w:tcMar>
            <w:vAlign w:val="center"/>
          </w:tcPr>
          <w:p>
            <w:pPr>
              <w:pStyle w:val="TableContents"/>
              <w:bidi w:val="0"/>
              <w:spacing w:before="0" w:after="283"/>
              <w:jc w:val="left"/>
              <w:rPr/>
            </w:pPr>
            <w:r>
              <w:rPr/>
              <w:t>​</w:t>
            </w:r>
          </w:p>
        </w:tc>
        <w:tc>
          <w:tcPr>
            <w:tcW w:w="6876" w:type="dxa"/>
            <w:tcBorders/>
            <w:shd w:fill="E9F9D8" w:val="clear"/>
            <w:tcMar>
              <w:bottom w:w="0" w:type="dxa"/>
            </w:tcMar>
            <w:vAlign w:val="center"/>
          </w:tcPr>
          <w:p>
            <w:pPr>
              <w:pStyle w:val="TableContents"/>
              <w:bidi w:val="0"/>
              <w:spacing w:before="0" w:after="283"/>
              <w:jc w:val="left"/>
              <w:rPr/>
            </w:pPr>
            <w:r>
              <w:rPr>
                <w:b/>
                <w:spacing w:val="-2"/>
              </w:rPr>
              <w:t>Manhattan Office Leasing Volume</w:t>
            </w:r>
            <w:r>
              <w:rPr/>
              <w:t xml:space="preserve"> </w:t>
              <w:br/>
            </w:r>
            <w:r>
              <w:rPr>
                <w:spacing w:val="-2"/>
              </w:rPr>
              <w:t xml:space="preserve">A measure of our ability to execute our leasing platform in the highly competitive New York City real estate market </w:t>
            </w:r>
          </w:p>
        </w:tc>
        <w:tc>
          <w:tcPr>
            <w:tcW w:w="109" w:type="dxa"/>
            <w:tcBorders/>
            <w:shd w:fill="E9F9D8" w:val="clear"/>
            <w:tcMar>
              <w:bottom w:w="0" w:type="dxa"/>
            </w:tcMar>
            <w:vAlign w:val="center"/>
          </w:tcPr>
          <w:p>
            <w:pPr>
              <w:pStyle w:val="TableContents"/>
              <w:bidi w:val="0"/>
              <w:spacing w:before="0" w:after="283"/>
              <w:jc w:val="left"/>
              <w:rPr/>
            </w:pPr>
            <w:r>
              <w:rPr/>
              <w:t>​</w:t>
            </w:r>
          </w:p>
        </w:tc>
        <w:tc>
          <w:tcPr>
            <w:tcW w:w="109" w:type="dxa"/>
            <w:tcBorders/>
            <w:shd w:fill="E9F9D8" w:val="clear"/>
            <w:tcMar>
              <w:bottom w:w="0" w:type="dxa"/>
            </w:tcMar>
            <w:vAlign w:val="center"/>
          </w:tcPr>
          <w:p>
            <w:pPr>
              <w:pStyle w:val="TableContents"/>
              <w:bidi w:val="0"/>
              <w:spacing w:before="0" w:after="283"/>
              <w:jc w:val="left"/>
              <w:rPr/>
            </w:pPr>
            <w:r>
              <w:rPr/>
              <w:t>​</w:t>
            </w:r>
          </w:p>
        </w:tc>
        <w:tc>
          <w:tcPr>
            <w:tcW w:w="1932" w:type="dxa"/>
            <w:tcBorders/>
            <w:shd w:fill="E9F9D8" w:val="clear"/>
            <w:tcMar>
              <w:bottom w:w="0" w:type="dxa"/>
            </w:tcMar>
            <w:vAlign w:val="center"/>
          </w:tcPr>
          <w:p>
            <w:pPr>
              <w:pStyle w:val="TableContents"/>
              <w:bidi w:val="0"/>
              <w:spacing w:lineRule="atLeast" w:line="180" w:before="0" w:after="0"/>
              <w:ind w:left="200" w:right="0" w:hanging="0"/>
              <w:jc w:val="left"/>
              <w:rPr/>
            </w:pPr>
            <w:r>
              <w:rPr>
                <w:spacing w:val="-2"/>
              </w:rPr>
              <w:t>Three-Year Operational Equity</w:t>
            </w:r>
            <w:r>
              <w:rPr/>
              <w:t xml:space="preserve"> </w:t>
            </w:r>
            <w:r>
              <mc:AlternateContent>
                <mc:Choice Requires="wps">
                  <w:drawing>
                    <wp:anchor behindDoc="0" distT="0" distB="0" distL="0" distR="0" simplePos="0" locked="0" layoutInCell="1" allowOverlap="1" relativeHeight="683">
                      <wp:simplePos x="0" y="0"/>
                      <wp:positionH relativeFrom="column">
                        <wp:align>left</wp:align>
                      </wp:positionH>
                      <wp:positionV relativeFrom="line">
                        <wp:posOffset>635</wp:posOffset>
                      </wp:positionV>
                      <wp:extent cx="127000" cy="525780"/>
                      <wp:effectExtent l="0" t="0" r="0" b="0"/>
                      <wp:wrapSquare wrapText="right"/>
                      <wp:docPr id="750" name="Frame423"/>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60" w:after="0"/>
              <w:ind w:left="200" w:right="0" w:hanging="0"/>
              <w:jc w:val="left"/>
              <w:rPr/>
            </w:pPr>
            <w:r>
              <w:rPr>
                <w:spacing w:val="-2"/>
              </w:rPr>
              <w:t>One-Year Operational Equity</w:t>
            </w:r>
            <w:r>
              <w:rPr/>
              <w:t xml:space="preserve"> </w:t>
            </w:r>
            <w:r>
              <mc:AlternateContent>
                <mc:Choice Requires="wps">
                  <w:drawing>
                    <wp:anchor behindDoc="0" distT="101600" distB="0" distL="0" distR="0" simplePos="0" locked="0" layoutInCell="1" allowOverlap="1" relativeHeight="684">
                      <wp:simplePos x="0" y="0"/>
                      <wp:positionH relativeFrom="column">
                        <wp:align>left</wp:align>
                      </wp:positionH>
                      <wp:positionV relativeFrom="line">
                        <wp:align>top</wp:align>
                      </wp:positionV>
                      <wp:extent cx="127000" cy="525780"/>
                      <wp:effectExtent l="0" t="0" r="0" b="0"/>
                      <wp:wrapSquare wrapText="right"/>
                      <wp:docPr id="751" name="Frame424"/>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60" w:after="0"/>
              <w:ind w:left="200" w:right="0" w:hanging="0"/>
              <w:jc w:val="left"/>
              <w:rPr>
                <w:spacing w:val="-2"/>
              </w:rPr>
            </w:pPr>
            <w:r>
              <w:rPr>
                <w:spacing w:val="-2"/>
              </w:rPr>
              <w:t xml:space="preserve">Outperformance Modifier </w:t>
            </w:r>
            <w:r>
              <mc:AlternateContent>
                <mc:Choice Requires="wps">
                  <w:drawing>
                    <wp:anchor behindDoc="0" distT="101600" distB="0" distL="0" distR="0" simplePos="0" locked="0" layoutInCell="1" allowOverlap="1" relativeHeight="685">
                      <wp:simplePos x="0" y="0"/>
                      <wp:positionH relativeFrom="column">
                        <wp:align>left</wp:align>
                      </wp:positionH>
                      <wp:positionV relativeFrom="line">
                        <wp:align>top</wp:align>
                      </wp:positionV>
                      <wp:extent cx="127000" cy="525780"/>
                      <wp:effectExtent l="0" t="0" r="0" b="0"/>
                      <wp:wrapSquare wrapText="right"/>
                      <wp:docPr id="752" name="Frame425"/>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6876" w:type="dxa"/>
            <w:tcBorders/>
            <w:tcMar>
              <w:bottom w:w="0" w:type="dxa"/>
            </w:tcMar>
            <w:vAlign w:val="center"/>
          </w:tcPr>
          <w:p>
            <w:pPr>
              <w:pStyle w:val="TableContents"/>
              <w:bidi w:val="0"/>
              <w:spacing w:before="0" w:after="283"/>
              <w:jc w:val="left"/>
              <w:rPr/>
            </w:pPr>
            <w:r>
              <w:rPr>
                <w:b/>
                <w:spacing w:val="-2"/>
              </w:rPr>
              <w:t>Liquidity</w:t>
            </w:r>
            <w:r>
              <w:rPr/>
              <w:t xml:space="preserve"> </w:t>
              <w:br/>
            </w:r>
            <w:r>
              <w:rPr>
                <w:spacing w:val="-2"/>
              </w:rPr>
              <w:t xml:space="preserve">Includes cash and cash equivalents, marketable securities and undrawn credit capacity on our revolving credit facility.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2" w:type="dxa"/>
            <w:tcBorders/>
            <w:tcMar>
              <w:bottom w:w="0" w:type="dxa"/>
            </w:tcMar>
            <w:vAlign w:val="center"/>
          </w:tcPr>
          <w:p>
            <w:pPr>
              <w:pStyle w:val="TableContents"/>
              <w:bidi w:val="0"/>
              <w:spacing w:lineRule="atLeast" w:line="180" w:before="0" w:after="0"/>
              <w:ind w:left="200" w:right="0" w:hanging="0"/>
              <w:jc w:val="left"/>
              <w:rPr/>
            </w:pPr>
            <w:r>
              <w:rPr>
                <w:spacing w:val="-2"/>
              </w:rPr>
              <w:t>Three-Year Operational Equity</w:t>
            </w:r>
            <w:r>
              <w:rPr/>
              <w:t xml:space="preserve"> </w:t>
            </w:r>
            <w:r>
              <mc:AlternateContent>
                <mc:Choice Requires="wps">
                  <w:drawing>
                    <wp:anchor behindDoc="0" distT="0" distB="0" distL="0" distR="0" simplePos="0" locked="0" layoutInCell="1" allowOverlap="1" relativeHeight="686">
                      <wp:simplePos x="0" y="0"/>
                      <wp:positionH relativeFrom="column">
                        <wp:align>left</wp:align>
                      </wp:positionH>
                      <wp:positionV relativeFrom="line">
                        <wp:posOffset>635</wp:posOffset>
                      </wp:positionV>
                      <wp:extent cx="127000" cy="525780"/>
                      <wp:effectExtent l="0" t="0" r="0" b="0"/>
                      <wp:wrapSquare wrapText="right"/>
                      <wp:docPr id="753" name="Frame426"/>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60" w:after="0"/>
              <w:ind w:left="200" w:right="0" w:hanging="0"/>
              <w:jc w:val="left"/>
              <w:rPr/>
            </w:pPr>
            <w:r>
              <w:rPr>
                <w:spacing w:val="-2"/>
              </w:rPr>
              <w:t>One-Year Operational Equity</w:t>
            </w:r>
            <w:r>
              <w:rPr/>
              <w:t xml:space="preserve"> </w:t>
            </w:r>
            <w:r>
              <mc:AlternateContent>
                <mc:Choice Requires="wps">
                  <w:drawing>
                    <wp:anchor behindDoc="0" distT="101600" distB="0" distL="0" distR="0" simplePos="0" locked="0" layoutInCell="1" allowOverlap="1" relativeHeight="688">
                      <wp:simplePos x="0" y="0"/>
                      <wp:positionH relativeFrom="column">
                        <wp:align>left</wp:align>
                      </wp:positionH>
                      <wp:positionV relativeFrom="line">
                        <wp:align>top</wp:align>
                      </wp:positionV>
                      <wp:extent cx="127000" cy="525780"/>
                      <wp:effectExtent l="0" t="0" r="0" b="0"/>
                      <wp:wrapSquare wrapText="right"/>
                      <wp:docPr id="754" name="Frame427"/>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60" w:after="0"/>
              <w:ind w:left="200" w:right="0" w:hanging="0"/>
              <w:jc w:val="left"/>
              <w:rPr>
                <w:spacing w:val="-2"/>
              </w:rPr>
            </w:pPr>
            <w:r>
              <w:rPr>
                <w:spacing w:val="-2"/>
              </w:rPr>
              <w:t xml:space="preserve">Outperformance Modifier </w:t>
            </w:r>
            <w:r>
              <mc:AlternateContent>
                <mc:Choice Requires="wps">
                  <w:drawing>
                    <wp:anchor behindDoc="0" distT="101600" distB="0" distL="0" distR="0" simplePos="0" locked="0" layoutInCell="1" allowOverlap="1" relativeHeight="687">
                      <wp:simplePos x="0" y="0"/>
                      <wp:positionH relativeFrom="column">
                        <wp:align>left</wp:align>
                      </wp:positionH>
                      <wp:positionV relativeFrom="line">
                        <wp:align>top</wp:align>
                      </wp:positionV>
                      <wp:extent cx="127000" cy="525780"/>
                      <wp:effectExtent l="0" t="0" r="0" b="0"/>
                      <wp:wrapSquare wrapText="right"/>
                      <wp:docPr id="755" name="Frame428"/>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shd w:fill="E9F9D8" w:val="clear"/>
            <w:tcMar>
              <w:bottom w:w="0" w:type="dxa"/>
            </w:tcMar>
            <w:vAlign w:val="center"/>
          </w:tcPr>
          <w:p>
            <w:pPr>
              <w:pStyle w:val="TableContents"/>
              <w:bidi w:val="0"/>
              <w:spacing w:before="0" w:after="283"/>
              <w:jc w:val="left"/>
              <w:rPr/>
            </w:pPr>
            <w:r>
              <w:rPr/>
              <w:t>​</w:t>
            </w:r>
          </w:p>
        </w:tc>
        <w:tc>
          <w:tcPr>
            <w:tcW w:w="6876" w:type="dxa"/>
            <w:tcBorders/>
            <w:shd w:fill="E9F9D8" w:val="clear"/>
            <w:tcMar>
              <w:bottom w:w="0" w:type="dxa"/>
            </w:tcMar>
            <w:vAlign w:val="center"/>
          </w:tcPr>
          <w:p>
            <w:pPr>
              <w:pStyle w:val="TableContents"/>
              <w:bidi w:val="0"/>
              <w:spacing w:before="0" w:after="283"/>
              <w:jc w:val="left"/>
              <w:rPr/>
            </w:pPr>
            <w:r>
              <w:rPr>
                <w:b/>
                <w:spacing w:val="-2"/>
              </w:rPr>
              <w:t>Absolute TSR per Year</w:t>
            </w:r>
            <w:r>
              <w:rPr/>
              <w:t xml:space="preserve"> </w:t>
              <w:br/>
            </w:r>
            <w:r>
              <w:rPr>
                <w:spacing w:val="-2"/>
              </w:rPr>
              <w:t xml:space="preserve">Absolute TSR is a pure measure of value delivered to stockholders who were invested in our stock for the three-year performance period </w:t>
            </w:r>
          </w:p>
        </w:tc>
        <w:tc>
          <w:tcPr>
            <w:tcW w:w="109" w:type="dxa"/>
            <w:tcBorders/>
            <w:shd w:fill="E9F9D8" w:val="clear"/>
            <w:tcMar>
              <w:bottom w:w="0" w:type="dxa"/>
            </w:tcMar>
            <w:vAlign w:val="center"/>
          </w:tcPr>
          <w:p>
            <w:pPr>
              <w:pStyle w:val="TableContents"/>
              <w:bidi w:val="0"/>
              <w:spacing w:before="0" w:after="283"/>
              <w:jc w:val="left"/>
              <w:rPr/>
            </w:pPr>
            <w:r>
              <w:rPr/>
              <w:t>​</w:t>
            </w:r>
          </w:p>
        </w:tc>
        <w:tc>
          <w:tcPr>
            <w:tcW w:w="109" w:type="dxa"/>
            <w:tcBorders/>
            <w:shd w:fill="E9F9D8" w:val="clear"/>
            <w:tcMar>
              <w:bottom w:w="0" w:type="dxa"/>
            </w:tcMar>
            <w:vAlign w:val="center"/>
          </w:tcPr>
          <w:p>
            <w:pPr>
              <w:pStyle w:val="TableContents"/>
              <w:bidi w:val="0"/>
              <w:spacing w:before="0" w:after="283"/>
              <w:jc w:val="left"/>
              <w:rPr/>
            </w:pPr>
            <w:r>
              <w:rPr/>
              <w:t>​</w:t>
            </w:r>
          </w:p>
        </w:tc>
        <w:tc>
          <w:tcPr>
            <w:tcW w:w="1932" w:type="dxa"/>
            <w:tcBorders/>
            <w:shd w:fill="E9F9D8" w:val="clear"/>
            <w:tcMar>
              <w:bottom w:w="0" w:type="dxa"/>
            </w:tcMar>
            <w:vAlign w:val="center"/>
          </w:tcPr>
          <w:p>
            <w:pPr>
              <w:pStyle w:val="TableContents"/>
              <w:bidi w:val="0"/>
              <w:spacing w:lineRule="atLeast" w:line="180" w:before="0" w:after="0"/>
              <w:ind w:left="200" w:right="0" w:hanging="0"/>
              <w:jc w:val="left"/>
              <w:rPr/>
            </w:pPr>
            <w:r>
              <w:rPr>
                <w:spacing w:val="-2"/>
              </w:rPr>
              <w:t>Three-Year Operational Equity</w:t>
            </w:r>
            <w:r>
              <w:rPr/>
              <w:t xml:space="preserve"> </w:t>
            </w:r>
            <w:r>
              <mc:AlternateContent>
                <mc:Choice Requires="wps">
                  <w:drawing>
                    <wp:anchor behindDoc="0" distT="0" distB="0" distL="0" distR="0" simplePos="0" locked="0" layoutInCell="1" allowOverlap="1" relativeHeight="689">
                      <wp:simplePos x="0" y="0"/>
                      <wp:positionH relativeFrom="column">
                        <wp:align>left</wp:align>
                      </wp:positionH>
                      <wp:positionV relativeFrom="line">
                        <wp:posOffset>635</wp:posOffset>
                      </wp:positionV>
                      <wp:extent cx="127000" cy="525780"/>
                      <wp:effectExtent l="0" t="0" r="0" b="0"/>
                      <wp:wrapSquare wrapText="right"/>
                      <wp:docPr id="756" name="Frame429"/>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60" w:after="0"/>
              <w:ind w:left="200" w:right="0" w:hanging="0"/>
              <w:jc w:val="left"/>
              <w:rPr/>
            </w:pPr>
            <w:r>
              <w:rPr>
                <w:spacing w:val="-2"/>
              </w:rPr>
              <w:t>One-Year Operational Equity</w:t>
            </w:r>
            <w:r>
              <w:rPr/>
              <w:t xml:space="preserve"> </w:t>
            </w:r>
            <w:r>
              <mc:AlternateContent>
                <mc:Choice Requires="wps">
                  <w:drawing>
                    <wp:anchor behindDoc="0" distT="101600" distB="0" distL="0" distR="0" simplePos="0" locked="0" layoutInCell="1" allowOverlap="1" relativeHeight="690">
                      <wp:simplePos x="0" y="0"/>
                      <wp:positionH relativeFrom="column">
                        <wp:align>left</wp:align>
                      </wp:positionH>
                      <wp:positionV relativeFrom="line">
                        <wp:align>top</wp:align>
                      </wp:positionV>
                      <wp:extent cx="127000" cy="525780"/>
                      <wp:effectExtent l="0" t="0" r="0" b="0"/>
                      <wp:wrapSquare wrapText="right"/>
                      <wp:docPr id="757" name="Frame430"/>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60" w:after="0"/>
              <w:ind w:left="200" w:right="0" w:hanging="0"/>
              <w:jc w:val="left"/>
              <w:rPr>
                <w:spacing w:val="-2"/>
              </w:rPr>
            </w:pPr>
            <w:r>
              <w:rPr>
                <w:spacing w:val="-2"/>
              </w:rPr>
              <w:t xml:space="preserve">Relative TSR Equity </w:t>
            </w:r>
            <w:r>
              <mc:AlternateContent>
                <mc:Choice Requires="wps">
                  <w:drawing>
                    <wp:anchor behindDoc="0" distT="101600" distB="0" distL="0" distR="0" simplePos="0" locked="0" layoutInCell="1" allowOverlap="1" relativeHeight="691">
                      <wp:simplePos x="0" y="0"/>
                      <wp:positionH relativeFrom="column">
                        <wp:align>left</wp:align>
                      </wp:positionH>
                      <wp:positionV relativeFrom="line">
                        <wp:align>top</wp:align>
                      </wp:positionV>
                      <wp:extent cx="127000" cy="525780"/>
                      <wp:effectExtent l="0" t="0" r="0" b="0"/>
                      <wp:wrapSquare wrapText="right"/>
                      <wp:docPr id="758" name="Frame431"/>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6876" w:type="dxa"/>
            <w:tcBorders/>
            <w:tcMar>
              <w:bottom w:w="0" w:type="dxa"/>
            </w:tcMar>
            <w:vAlign w:val="center"/>
          </w:tcPr>
          <w:p>
            <w:pPr>
              <w:pStyle w:val="TableContents"/>
              <w:bidi w:val="0"/>
              <w:spacing w:before="0" w:after="283"/>
              <w:jc w:val="left"/>
              <w:rPr/>
            </w:pPr>
            <w:r>
              <w:rPr>
                <w:b/>
                <w:spacing w:val="-2"/>
              </w:rPr>
              <w:t>Relative TSR vs. Office REIT Peers</w:t>
            </w:r>
            <w:r>
              <w:rPr/>
              <w:t xml:space="preserve"> </w:t>
              <w:br/>
            </w:r>
            <w:r>
              <w:rPr>
                <w:spacing w:val="-2"/>
              </w:rPr>
              <w:t xml:space="preserve">A comparison of the returns of a hypothetical investor seeking exposure to office REITs as an asset class and reflects how we performed versus other companies in our sector.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2" w:type="dxa"/>
            <w:tcBorders/>
            <w:tcMar>
              <w:bottom w:w="0" w:type="dxa"/>
            </w:tcMar>
            <w:vAlign w:val="center"/>
          </w:tcPr>
          <w:p>
            <w:pPr>
              <w:pStyle w:val="TableContents"/>
              <w:bidi w:val="0"/>
              <w:spacing w:lineRule="atLeast" w:line="180" w:before="0" w:after="0"/>
              <w:ind w:left="200" w:right="0" w:hanging="0"/>
              <w:jc w:val="left"/>
              <w:rPr>
                <w:spacing w:val="-2"/>
              </w:rPr>
            </w:pPr>
            <w:r>
              <w:rPr>
                <w:spacing w:val="-2"/>
              </w:rPr>
              <w:t xml:space="preserve">Relative TSR Equity </w:t>
            </w:r>
            <w:r>
              <mc:AlternateContent>
                <mc:Choice Requires="wps">
                  <w:drawing>
                    <wp:anchor behindDoc="0" distT="0" distB="0" distL="0" distR="0" simplePos="0" locked="0" layoutInCell="1" allowOverlap="1" relativeHeight="692">
                      <wp:simplePos x="0" y="0"/>
                      <wp:positionH relativeFrom="column">
                        <wp:align>left</wp:align>
                      </wp:positionH>
                      <wp:positionV relativeFrom="line">
                        <wp:posOffset>635</wp:posOffset>
                      </wp:positionV>
                      <wp:extent cx="127000" cy="525780"/>
                      <wp:effectExtent l="0" t="0" r="0" b="0"/>
                      <wp:wrapSquare wrapText="right"/>
                      <wp:docPr id="759" name="Frame432"/>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shd w:fill="E9F9D8" w:val="clear"/>
            <w:tcMar>
              <w:bottom w:w="0" w:type="dxa"/>
            </w:tcMar>
            <w:vAlign w:val="center"/>
          </w:tcPr>
          <w:p>
            <w:pPr>
              <w:pStyle w:val="TableContents"/>
              <w:bidi w:val="0"/>
              <w:spacing w:before="0" w:after="283"/>
              <w:jc w:val="left"/>
              <w:rPr/>
            </w:pPr>
            <w:r>
              <w:rPr/>
              <w:t>​</w:t>
            </w:r>
          </w:p>
        </w:tc>
        <w:tc>
          <w:tcPr>
            <w:tcW w:w="6876" w:type="dxa"/>
            <w:tcBorders/>
            <w:shd w:fill="E9F9D8" w:val="clear"/>
            <w:tcMar>
              <w:bottom w:w="0" w:type="dxa"/>
            </w:tcMar>
            <w:vAlign w:val="center"/>
          </w:tcPr>
          <w:p>
            <w:pPr>
              <w:pStyle w:val="TableContents"/>
              <w:bidi w:val="0"/>
              <w:spacing w:before="0" w:after="283"/>
              <w:jc w:val="left"/>
              <w:rPr/>
            </w:pPr>
            <w:r>
              <w:rPr>
                <w:b/>
                <w:spacing w:val="-2"/>
              </w:rPr>
              <w:t>Relative TSR vs. NYC REIT Peers</w:t>
            </w:r>
            <w:r>
              <w:rPr/>
              <w:t xml:space="preserve"> </w:t>
              <w:br/>
            </w:r>
            <w:r>
              <w:rPr>
                <w:spacing w:val="-2"/>
              </w:rPr>
              <w:t xml:space="preserve">A comparison of our performance against companies with office and/or retail commercial real estate portfolios concentrated in the New York City market, which we believe are most directly comparable to the Company due to the market dynamics of New York City that uniquely impact owners and operators of commercial real estate. </w:t>
            </w:r>
          </w:p>
        </w:tc>
        <w:tc>
          <w:tcPr>
            <w:tcW w:w="109" w:type="dxa"/>
            <w:tcBorders/>
            <w:shd w:fill="E9F9D8" w:val="clear"/>
            <w:tcMar>
              <w:bottom w:w="0" w:type="dxa"/>
            </w:tcMar>
            <w:vAlign w:val="center"/>
          </w:tcPr>
          <w:p>
            <w:pPr>
              <w:pStyle w:val="TableContents"/>
              <w:bidi w:val="0"/>
              <w:spacing w:before="0" w:after="283"/>
              <w:jc w:val="left"/>
              <w:rPr/>
            </w:pPr>
            <w:r>
              <w:rPr/>
              <w:t>​</w:t>
            </w:r>
          </w:p>
        </w:tc>
        <w:tc>
          <w:tcPr>
            <w:tcW w:w="109" w:type="dxa"/>
            <w:tcBorders/>
            <w:shd w:fill="E9F9D8" w:val="clear"/>
            <w:tcMar>
              <w:bottom w:w="0" w:type="dxa"/>
            </w:tcMar>
            <w:vAlign w:val="center"/>
          </w:tcPr>
          <w:p>
            <w:pPr>
              <w:pStyle w:val="TableContents"/>
              <w:bidi w:val="0"/>
              <w:spacing w:before="0" w:after="283"/>
              <w:jc w:val="left"/>
              <w:rPr/>
            </w:pPr>
            <w:r>
              <w:rPr/>
              <w:t>​</w:t>
            </w:r>
          </w:p>
        </w:tc>
        <w:tc>
          <w:tcPr>
            <w:tcW w:w="1932" w:type="dxa"/>
            <w:tcBorders/>
            <w:shd w:fill="E9F9D8" w:val="clear"/>
            <w:tcMar>
              <w:bottom w:w="0" w:type="dxa"/>
            </w:tcMar>
            <w:vAlign w:val="center"/>
          </w:tcPr>
          <w:p>
            <w:pPr>
              <w:pStyle w:val="TableContents"/>
              <w:bidi w:val="0"/>
              <w:spacing w:lineRule="atLeast" w:line="180" w:before="0" w:after="0"/>
              <w:ind w:left="200" w:right="0" w:hanging="0"/>
              <w:jc w:val="left"/>
              <w:rPr/>
            </w:pPr>
            <w:r>
              <w:rPr>
                <w:spacing w:val="-2"/>
              </w:rPr>
              <w:t>Relative TSR Equity</w:t>
            </w:r>
            <w:r>
              <w:rPr/>
              <w:t xml:space="preserve"> </w:t>
            </w:r>
            <w:r>
              <mc:AlternateContent>
                <mc:Choice Requires="wps">
                  <w:drawing>
                    <wp:anchor behindDoc="0" distT="0" distB="0" distL="0" distR="0" simplePos="0" locked="0" layoutInCell="1" allowOverlap="1" relativeHeight="693">
                      <wp:simplePos x="0" y="0"/>
                      <wp:positionH relativeFrom="column">
                        <wp:align>left</wp:align>
                      </wp:positionH>
                      <wp:positionV relativeFrom="line">
                        <wp:posOffset>635</wp:posOffset>
                      </wp:positionV>
                      <wp:extent cx="127000" cy="525780"/>
                      <wp:effectExtent l="0" t="0" r="0" b="0"/>
                      <wp:wrapSquare wrapText="right"/>
                      <wp:docPr id="760" name="Frame433"/>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60" w:before="240" w:after="283"/>
        <w:ind w:left="900" w:right="0" w:hanging="0"/>
        <w:jc w:val="left"/>
        <w:rPr>
          <w:rFonts w:ascii="Arial;Helvetica;sans-serif" w:hAnsi="Arial;Helvetica;sans-serif"/>
          <w:b/>
          <w:i w:val="false"/>
          <w:caps w:val="false"/>
          <w:smallCaps w:val="false"/>
          <w:color w:val="83AD40"/>
          <w:sz w:val="22"/>
        </w:rPr>
      </w:pPr>
      <w:r>
        <w:rPr>
          <w:rFonts w:ascii="Arial;Helvetica;sans-serif" w:hAnsi="Arial;Helvetica;sans-serif"/>
          <w:b/>
          <w:i w:val="false"/>
          <w:caps w:val="false"/>
          <w:smallCaps w:val="false"/>
          <w:color w:val="83AD40"/>
          <w:spacing w:val="-2"/>
          <w:sz w:val="22"/>
        </w:rPr>
        <w:t>Compensation Practices</w:t>
      </w:r>
      <w:r>
        <w:rPr>
          <w:rFonts w:ascii="Arial;Helvetica;sans-serif" w:hAnsi="Arial;Helvetica;sans-serif"/>
          <w:b/>
          <w:i w:val="false"/>
          <w:caps w:val="false"/>
          <w:smallCaps w:val="false"/>
          <w:color w:val="000000"/>
          <w:spacing w:val="4"/>
          <w:sz w:val="22"/>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Our executive compensation programs provide appropriate performance-based incentives to:</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80" w:after="0"/>
        <w:ind w:left="15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attract and retain leadership talent in the highly competitive New York City real estate market;</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14300" distB="0" distL="254000" distR="0" simplePos="0" locked="0" layoutInCell="1" allowOverlap="1" relativeHeight="694">
                <wp:simplePos x="0" y="0"/>
                <wp:positionH relativeFrom="column">
                  <wp:align>left</wp:align>
                </wp:positionH>
                <wp:positionV relativeFrom="line">
                  <wp:align>top</wp:align>
                </wp:positionV>
                <wp:extent cx="127000" cy="350520"/>
                <wp:effectExtent l="0" t="0" r="0" b="0"/>
                <wp:wrapSquare wrapText="right"/>
                <wp:docPr id="761" name="Frame4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9pt;mso-wrap-distance-bottom:0pt;margin-top:9pt;mso-position-vertical:top;mso-position-vertical-relative:text;margin-left:2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20" w:before="60" w:after="0"/>
        <w:ind w:left="15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align management and stockholder interests; and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38100" distB="0" distL="254000" distR="0" simplePos="0" locked="0" layoutInCell="1" allowOverlap="1" relativeHeight="695">
                <wp:simplePos x="0" y="0"/>
                <wp:positionH relativeFrom="column">
                  <wp:align>left</wp:align>
                </wp:positionH>
                <wp:positionV relativeFrom="line">
                  <wp:align>top</wp:align>
                </wp:positionV>
                <wp:extent cx="127000" cy="350520"/>
                <wp:effectExtent l="0" t="0" r="0" b="0"/>
                <wp:wrapSquare wrapText="right"/>
                <wp:docPr id="762" name="Frame4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3pt;mso-wrap-distance-bottom:0pt;margin-top:3pt;mso-position-vertical:top;mso-position-vertical-relative:text;margin-left:2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20" w:before="60" w:after="0"/>
        <w:ind w:left="15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continue to drive our long-term track record of superior return to stockholders.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38100" distB="0" distL="254000" distR="0" simplePos="0" locked="0" layoutInCell="1" allowOverlap="1" relativeHeight="696">
                <wp:simplePos x="0" y="0"/>
                <wp:positionH relativeFrom="column">
                  <wp:align>left</wp:align>
                </wp:positionH>
                <wp:positionV relativeFrom="line">
                  <wp:align>top</wp:align>
                </wp:positionV>
                <wp:extent cx="127000" cy="350520"/>
                <wp:effectExtent l="0" t="0" r="0" b="0"/>
                <wp:wrapSquare wrapText="right"/>
                <wp:docPr id="763" name="Frame4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3pt;mso-wrap-distance-bottom:0pt;margin-top:3pt;mso-position-vertical:top;mso-position-vertical-relative:text;margin-left:2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The following are key features of our executive compensation programs, reflecting changes we have adopted following our extensive stockholder outreach:</w:t>
      </w:r>
      <w:r>
        <w:rPr>
          <w:rFonts w:ascii="Arial;Helvetica;sans-serif" w:hAnsi="Arial;Helvetica;sans-serif"/>
          <w:b w:val="false"/>
          <w:i w:val="false"/>
          <w:caps w:val="false"/>
          <w:smallCaps w:val="false"/>
          <w:color w:val="000000"/>
          <w:spacing w:val="4"/>
          <w:sz w:val="18"/>
        </w:rPr>
        <w:t xml:space="preserve"> </w:t>
      </w:r>
    </w:p>
    <w:tbl>
      <w:tblPr>
        <w:tblW w:w="9305" w:type="dxa"/>
        <w:jc w:val="left"/>
        <w:tblInd w:w="900" w:type="dxa"/>
        <w:tblLayout w:type="fixed"/>
        <w:tblCellMar>
          <w:top w:w="0" w:type="dxa"/>
          <w:left w:w="0" w:type="dxa"/>
          <w:bottom w:w="0" w:type="dxa"/>
          <w:right w:w="0" w:type="dxa"/>
        </w:tblCellMar>
      </w:tblPr>
      <w:tblGrid>
        <w:gridCol w:w="4364"/>
        <w:gridCol w:w="109"/>
        <w:gridCol w:w="109"/>
        <w:gridCol w:w="109"/>
        <w:gridCol w:w="4459"/>
        <w:gridCol w:w="155"/>
      </w:tblGrid>
      <w:tr>
        <w:trPr/>
        <w:tc>
          <w:tcPr>
            <w:tcW w:w="4364" w:type="dxa"/>
            <w:tcBorders/>
            <w:vAlign w:val="center"/>
          </w:tcPr>
          <w:p>
            <w:pPr>
              <w:pStyle w:val="TableContents"/>
              <w:bidi w:val="0"/>
              <w:spacing w:before="0" w:after="0"/>
              <w:jc w:val="left"/>
              <w:rPr>
                <w:color w:val="1F2668"/>
                <w:spacing w:val="-2"/>
              </w:rPr>
            </w:pPr>
            <w:r>
              <w:rPr>
                <w:color w:val="1F2668"/>
                <w:spacing w:val="-2"/>
              </w:rPr>
              <w:t xml:space="preserve">WHAT WE DO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3AD40"/>
            </w:tcBorders>
            <w:shd w:fill="83AD4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459" w:type="dxa"/>
            <w:tcBorders/>
            <w:vAlign w:val="center"/>
          </w:tcPr>
          <w:p>
            <w:pPr>
              <w:pStyle w:val="TableContents"/>
              <w:bidi w:val="0"/>
              <w:spacing w:before="0" w:after="0"/>
              <w:jc w:val="left"/>
              <w:rPr>
                <w:spacing w:val="-2"/>
              </w:rPr>
            </w:pPr>
            <w:r>
              <w:rPr>
                <w:spacing w:val="-2"/>
              </w:rPr>
              <w:t xml:space="preserve">WHAT WE DON’T DO </w:t>
            </w:r>
          </w:p>
        </w:tc>
        <w:tc>
          <w:tcPr>
            <w:tcW w:w="155" w:type="dxa"/>
            <w:tcBorders/>
            <w:vAlign w:val="center"/>
          </w:tcPr>
          <w:p>
            <w:pPr>
              <w:pStyle w:val="TableContents"/>
              <w:bidi w:val="0"/>
              <w:spacing w:before="0" w:after="283"/>
              <w:jc w:val="left"/>
              <w:rPr/>
            </w:pPr>
            <w:r>
              <w:rPr/>
              <w:t>​</w:t>
            </w:r>
          </w:p>
        </w:tc>
      </w:tr>
      <w:tr>
        <w:trPr/>
        <w:tc>
          <w:tcPr>
            <w:tcW w:w="4364" w:type="dxa"/>
            <w:tcBorders>
              <w:bottom w:val="single" w:sz="6" w:space="0" w:color="83AD40"/>
            </w:tcBorders>
            <w:tcMar>
              <w:bottom w:w="120" w:type="dxa"/>
            </w:tcMar>
            <w:vAlign w:val="center"/>
          </w:tcPr>
          <w:p>
            <w:pPr>
              <w:pStyle w:val="TableContents"/>
              <w:bidi w:val="0"/>
              <w:spacing w:lineRule="atLeast" w:line="220" w:before="0" w:after="0"/>
              <w:ind w:left="240" w:right="0" w:hanging="0"/>
              <w:jc w:val="left"/>
              <w:rPr/>
            </w:pPr>
            <w:r>
              <w:rPr>
                <w:spacing w:val="-2"/>
              </w:rPr>
              <w:t>Pay for performance and create alignment with stockholders</w:t>
            </w:r>
            <w:r>
              <w:rPr/>
              <w:t xml:space="preserve"> </w:t>
            </w:r>
            <w:r>
              <mc:AlternateContent>
                <mc:Choice Requires="wps">
                  <w:drawing>
                    <wp:anchor behindDoc="0" distT="0" distB="0" distL="0" distR="0" simplePos="0" locked="0" layoutInCell="1" allowOverlap="1" relativeHeight="222">
                      <wp:simplePos x="0" y="0"/>
                      <wp:positionH relativeFrom="column">
                        <wp:align>left</wp:align>
                      </wp:positionH>
                      <wp:positionV relativeFrom="line">
                        <wp:posOffset>635</wp:posOffset>
                      </wp:positionV>
                      <wp:extent cx="152400" cy="175260"/>
                      <wp:effectExtent l="0" t="0" r="0" b="0"/>
                      <wp:wrapSquare wrapText="right"/>
                      <wp:docPr id="764" name="Frame437"/>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extBody"/>
                                    <w:bidi w:val="0"/>
                                    <w:spacing w:lineRule="atLeast" w:line="220" w:before="0" w:after="283"/>
                                    <w:jc w:val="left"/>
                                    <w:rPr/>
                                  </w:pPr>
                                  <w:r>
                                    <w:rPr/>
                                    <w:drawing>
                                      <wp:inline distT="0" distB="0" distL="0" distR="0">
                                        <wp:extent cx="85725" cy="76200"/>
                                        <wp:effectExtent l="0" t="0" r="0" b="0"/>
                                        <wp:docPr id="765" name="Image2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5" name="Image241" descr=""/>
                                                <pic:cNvPicPr>
                                                  <a:picLocks noChangeAspect="1" noChangeArrowheads="1"/>
                                                </pic:cNvPicPr>
                                              </pic:nvPicPr>
                                              <pic:blipFill>
                                                <a:blip r:embed="rId335"/>
                                                <a:stretch>
                                                  <a:fillRect/>
                                                </a:stretch>
                                              </pic:blipFill>
                                              <pic:spPr bwMode="auto">
                                                <a:xfrm>
                                                  <a:off x="0" y="0"/>
                                                  <a:ext cx="85725" cy="76200"/>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0" w:before="0" w:after="283"/>
                              <w:jc w:val="left"/>
                              <w:rPr/>
                            </w:pPr>
                            <w:r>
                              <w:rPr/>
                              <w:drawing>
                                <wp:inline distT="0" distB="0" distL="0" distR="0">
                                  <wp:extent cx="85725" cy="76200"/>
                                  <wp:effectExtent l="0" t="0" r="0" b="0"/>
                                  <wp:docPr id="766" name="Image2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6" name="Image241" descr=""/>
                                          <pic:cNvPicPr>
                                            <a:picLocks noChangeAspect="1" noChangeArrowheads="1"/>
                                          </pic:cNvPicPr>
                                        </pic:nvPicPr>
                                        <pic:blipFill>
                                          <a:blip r:embed="rId336"/>
                                          <a:stretch>
                                            <a:fillRect/>
                                          </a:stretch>
                                        </pic:blipFill>
                                        <pic:spPr bwMode="auto">
                                          <a:xfrm>
                                            <a:off x="0" y="0"/>
                                            <a:ext cx="85725" cy="76200"/>
                                          </a:xfrm>
                                          <a:prstGeom prst="rect">
                                            <a:avLst/>
                                          </a:prstGeom>
                                        </pic:spPr>
                                      </pic:pic>
                                    </a:graphicData>
                                  </a:graphic>
                                </wp:inline>
                              </w:drawing>
                            </w:r>
                            <w:r>
                              <w:rPr/>
                              <w:t xml:space="preserve"> </w:t>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73" w:after="0"/>
              <w:ind w:left="240" w:right="0" w:hanging="0"/>
              <w:jc w:val="left"/>
              <w:rPr/>
            </w:pPr>
            <w:r>
              <w:rPr>
                <w:spacing w:val="-2"/>
              </w:rPr>
              <w:t>Include robust hurdles in our incentive plans</w:t>
            </w:r>
            <w:r>
              <w:rPr/>
              <w:t xml:space="preserve"> </w:t>
            </w:r>
            <w:r>
              <mc:AlternateContent>
                <mc:Choice Requires="wps">
                  <w:drawing>
                    <wp:anchor behindDoc="0" distT="63500" distB="0" distL="0" distR="0" simplePos="0" locked="0" layoutInCell="1" allowOverlap="1" relativeHeight="220">
                      <wp:simplePos x="0" y="0"/>
                      <wp:positionH relativeFrom="column">
                        <wp:align>left</wp:align>
                      </wp:positionH>
                      <wp:positionV relativeFrom="line">
                        <wp:align>top</wp:align>
                      </wp:positionV>
                      <wp:extent cx="152400" cy="175260"/>
                      <wp:effectExtent l="0" t="0" r="0" b="0"/>
                      <wp:wrapSquare wrapText="right"/>
                      <wp:docPr id="767" name="Frame438"/>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extBody"/>
                                    <w:bidi w:val="0"/>
                                    <w:spacing w:lineRule="atLeast" w:line="180" w:before="0" w:after="283"/>
                                    <w:jc w:val="left"/>
                                    <w:rPr/>
                                  </w:pPr>
                                  <w:r>
                                    <w:rPr/>
                                    <w:drawing>
                                      <wp:inline distT="0" distB="0" distL="0" distR="0">
                                        <wp:extent cx="85725" cy="76200"/>
                                        <wp:effectExtent l="0" t="0" r="0" b="0"/>
                                        <wp:docPr id="768" name="Image2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8" name="Image242" descr=""/>
                                                <pic:cNvPicPr>
                                                  <a:picLocks noChangeAspect="1" noChangeArrowheads="1"/>
                                                </pic:cNvPicPr>
                                              </pic:nvPicPr>
                                              <pic:blipFill>
                                                <a:blip r:embed="rId337"/>
                                                <a:stretch>
                                                  <a:fillRect/>
                                                </a:stretch>
                                              </pic:blipFill>
                                              <pic:spPr bwMode="auto">
                                                <a:xfrm>
                                                  <a:off x="0" y="0"/>
                                                  <a:ext cx="85725" cy="76200"/>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12pt;height:13.8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180" w:before="0" w:after="283"/>
                              <w:jc w:val="left"/>
                              <w:rPr/>
                            </w:pPr>
                            <w:r>
                              <w:rPr/>
                              <w:drawing>
                                <wp:inline distT="0" distB="0" distL="0" distR="0">
                                  <wp:extent cx="85725" cy="76200"/>
                                  <wp:effectExtent l="0" t="0" r="0" b="0"/>
                                  <wp:docPr id="769" name="Image2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9" name="Image242" descr=""/>
                                          <pic:cNvPicPr>
                                            <a:picLocks noChangeAspect="1" noChangeArrowheads="1"/>
                                          </pic:cNvPicPr>
                                        </pic:nvPicPr>
                                        <pic:blipFill>
                                          <a:blip r:embed="rId338"/>
                                          <a:stretch>
                                            <a:fillRect/>
                                          </a:stretch>
                                        </pic:blipFill>
                                        <pic:spPr bwMode="auto">
                                          <a:xfrm>
                                            <a:off x="0" y="0"/>
                                            <a:ext cx="85725" cy="76200"/>
                                          </a:xfrm>
                                          <a:prstGeom prst="rect">
                                            <a:avLst/>
                                          </a:prstGeom>
                                        </pic:spPr>
                                      </pic:pic>
                                    </a:graphicData>
                                  </a:graphic>
                                </wp:inline>
                              </w:drawing>
                            </w:r>
                            <w:r>
                              <w:rPr/>
                              <w:t xml:space="preserve"> </w:t>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60" w:after="0"/>
              <w:ind w:left="240" w:right="0" w:hanging="0"/>
              <w:jc w:val="left"/>
              <w:rPr/>
            </w:pPr>
            <w:r>
              <w:rPr>
                <w:spacing w:val="-2"/>
              </w:rPr>
              <w:t>Pay a vast majority of total compensation for our CEO and other named executive officers in equity</w:t>
            </w:r>
            <w:r>
              <w:rPr/>
              <w:t xml:space="preserve"> </w:t>
            </w:r>
            <w:r>
              <mc:AlternateContent>
                <mc:Choice Requires="wps">
                  <w:drawing>
                    <wp:anchor behindDoc="0" distT="63500" distB="0" distL="0" distR="0" simplePos="0" locked="0" layoutInCell="1" allowOverlap="1" relativeHeight="218">
                      <wp:simplePos x="0" y="0"/>
                      <wp:positionH relativeFrom="column">
                        <wp:align>left</wp:align>
                      </wp:positionH>
                      <wp:positionV relativeFrom="line">
                        <wp:align>top</wp:align>
                      </wp:positionV>
                      <wp:extent cx="152400" cy="175260"/>
                      <wp:effectExtent l="0" t="0" r="0" b="0"/>
                      <wp:wrapSquare wrapText="right"/>
                      <wp:docPr id="770" name="Frame439"/>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extBody"/>
                                    <w:bidi w:val="0"/>
                                    <w:spacing w:lineRule="atLeast" w:line="220" w:before="0" w:after="283"/>
                                    <w:jc w:val="left"/>
                                    <w:rPr/>
                                  </w:pPr>
                                  <w:r>
                                    <w:rPr/>
                                    <w:drawing>
                                      <wp:inline distT="0" distB="0" distL="0" distR="0">
                                        <wp:extent cx="85725" cy="76200"/>
                                        <wp:effectExtent l="0" t="0" r="0" b="0"/>
                                        <wp:docPr id="771" name="Image2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1" name="Image243" descr=""/>
                                                <pic:cNvPicPr>
                                                  <a:picLocks noChangeAspect="1" noChangeArrowheads="1"/>
                                                </pic:cNvPicPr>
                                              </pic:nvPicPr>
                                              <pic:blipFill>
                                                <a:blip r:embed="rId339"/>
                                                <a:stretch>
                                                  <a:fillRect/>
                                                </a:stretch>
                                              </pic:blipFill>
                                              <pic:spPr bwMode="auto">
                                                <a:xfrm>
                                                  <a:off x="0" y="0"/>
                                                  <a:ext cx="85725" cy="76200"/>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12pt;height:13.8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20" w:before="0" w:after="283"/>
                              <w:jc w:val="left"/>
                              <w:rPr/>
                            </w:pPr>
                            <w:r>
                              <w:rPr/>
                              <w:drawing>
                                <wp:inline distT="0" distB="0" distL="0" distR="0">
                                  <wp:extent cx="85725" cy="76200"/>
                                  <wp:effectExtent l="0" t="0" r="0" b="0"/>
                                  <wp:docPr id="772" name="Image2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2" name="Image243" descr=""/>
                                          <pic:cNvPicPr>
                                            <a:picLocks noChangeAspect="1" noChangeArrowheads="1"/>
                                          </pic:cNvPicPr>
                                        </pic:nvPicPr>
                                        <pic:blipFill>
                                          <a:blip r:embed="rId340"/>
                                          <a:stretch>
                                            <a:fillRect/>
                                          </a:stretch>
                                        </pic:blipFill>
                                        <pic:spPr bwMode="auto">
                                          <a:xfrm>
                                            <a:off x="0" y="0"/>
                                            <a:ext cx="85725" cy="76200"/>
                                          </a:xfrm>
                                          <a:prstGeom prst="rect">
                                            <a:avLst/>
                                          </a:prstGeom>
                                        </pic:spPr>
                                      </pic:pic>
                                    </a:graphicData>
                                  </a:graphic>
                                </wp:inline>
                              </w:drawing>
                            </w:r>
                            <w:r>
                              <w:rPr/>
                              <w:t xml:space="preserve"> </w:t>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60" w:after="0"/>
              <w:ind w:left="240" w:right="0" w:hanging="0"/>
              <w:jc w:val="left"/>
              <w:rPr/>
            </w:pPr>
            <w:r>
              <w:rPr>
                <w:spacing w:val="-2"/>
              </w:rPr>
              <w:t>Follow robust equity ownership guidelines for our directors and named executive officers</w:t>
            </w:r>
            <w:r>
              <w:rPr/>
              <w:t xml:space="preserve"> </w:t>
            </w:r>
            <w:r>
              <mc:AlternateContent>
                <mc:Choice Requires="wps">
                  <w:drawing>
                    <wp:anchor behindDoc="0" distT="63500" distB="0" distL="0" distR="0" simplePos="0" locked="0" layoutInCell="1" allowOverlap="1" relativeHeight="216">
                      <wp:simplePos x="0" y="0"/>
                      <wp:positionH relativeFrom="column">
                        <wp:align>left</wp:align>
                      </wp:positionH>
                      <wp:positionV relativeFrom="line">
                        <wp:align>top</wp:align>
                      </wp:positionV>
                      <wp:extent cx="152400" cy="175260"/>
                      <wp:effectExtent l="0" t="0" r="0" b="0"/>
                      <wp:wrapSquare wrapText="right"/>
                      <wp:docPr id="773" name="Frame440"/>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extBody"/>
                                    <w:bidi w:val="0"/>
                                    <w:spacing w:lineRule="atLeast" w:line="220" w:before="0" w:after="283"/>
                                    <w:jc w:val="left"/>
                                    <w:rPr/>
                                  </w:pPr>
                                  <w:r>
                                    <w:rPr/>
                                    <w:drawing>
                                      <wp:inline distT="0" distB="0" distL="0" distR="0">
                                        <wp:extent cx="85725" cy="76200"/>
                                        <wp:effectExtent l="0" t="0" r="0" b="0"/>
                                        <wp:docPr id="774" name="Image2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4" name="Image244" descr=""/>
                                                <pic:cNvPicPr>
                                                  <a:picLocks noChangeAspect="1" noChangeArrowheads="1"/>
                                                </pic:cNvPicPr>
                                              </pic:nvPicPr>
                                              <pic:blipFill>
                                                <a:blip r:embed="rId341"/>
                                                <a:stretch>
                                                  <a:fillRect/>
                                                </a:stretch>
                                              </pic:blipFill>
                                              <pic:spPr bwMode="auto">
                                                <a:xfrm>
                                                  <a:off x="0" y="0"/>
                                                  <a:ext cx="85725" cy="76200"/>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12pt;height:13.8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20" w:before="0" w:after="283"/>
                              <w:jc w:val="left"/>
                              <w:rPr/>
                            </w:pPr>
                            <w:r>
                              <w:rPr/>
                              <w:drawing>
                                <wp:inline distT="0" distB="0" distL="0" distR="0">
                                  <wp:extent cx="85725" cy="76200"/>
                                  <wp:effectExtent l="0" t="0" r="0" b="0"/>
                                  <wp:docPr id="775" name="Image2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5" name="Image244" descr=""/>
                                          <pic:cNvPicPr>
                                            <a:picLocks noChangeAspect="1" noChangeArrowheads="1"/>
                                          </pic:cNvPicPr>
                                        </pic:nvPicPr>
                                        <pic:blipFill>
                                          <a:blip r:embed="rId342"/>
                                          <a:stretch>
                                            <a:fillRect/>
                                          </a:stretch>
                                        </pic:blipFill>
                                        <pic:spPr bwMode="auto">
                                          <a:xfrm>
                                            <a:off x="0" y="0"/>
                                            <a:ext cx="85725" cy="76200"/>
                                          </a:xfrm>
                                          <a:prstGeom prst="rect">
                                            <a:avLst/>
                                          </a:prstGeom>
                                        </pic:spPr>
                                      </pic:pic>
                                    </a:graphicData>
                                  </a:graphic>
                                </wp:inline>
                              </w:drawing>
                            </w:r>
                            <w:r>
                              <w:rPr/>
                              <w:t xml:space="preserve"> </w:t>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60" w:after="0"/>
              <w:ind w:left="240" w:right="0" w:hanging="0"/>
              <w:jc w:val="left"/>
              <w:rPr/>
            </w:pPr>
            <w:r>
              <w:rPr>
                <w:spacing w:val="-2"/>
              </w:rPr>
              <w:t>Impose a clawback policy with respect to incentive payments</w:t>
            </w:r>
            <w:r>
              <w:rPr/>
              <w:t xml:space="preserve"> </w:t>
            </w:r>
            <w:r>
              <mc:AlternateContent>
                <mc:Choice Requires="wps">
                  <w:drawing>
                    <wp:anchor behindDoc="0" distT="63500" distB="0" distL="0" distR="0" simplePos="0" locked="0" layoutInCell="1" allowOverlap="1" relativeHeight="214">
                      <wp:simplePos x="0" y="0"/>
                      <wp:positionH relativeFrom="column">
                        <wp:align>left</wp:align>
                      </wp:positionH>
                      <wp:positionV relativeFrom="line">
                        <wp:align>top</wp:align>
                      </wp:positionV>
                      <wp:extent cx="152400" cy="175260"/>
                      <wp:effectExtent l="0" t="0" r="0" b="0"/>
                      <wp:wrapSquare wrapText="right"/>
                      <wp:docPr id="776" name="Frame441"/>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extBody"/>
                                    <w:bidi w:val="0"/>
                                    <w:spacing w:lineRule="atLeast" w:line="220" w:before="0" w:after="283"/>
                                    <w:jc w:val="left"/>
                                    <w:rPr/>
                                  </w:pPr>
                                  <w:r>
                                    <w:rPr/>
                                    <w:drawing>
                                      <wp:inline distT="0" distB="0" distL="0" distR="0">
                                        <wp:extent cx="85725" cy="76200"/>
                                        <wp:effectExtent l="0" t="0" r="0" b="0"/>
                                        <wp:docPr id="777" name="Image2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7" name="Image245" descr=""/>
                                                <pic:cNvPicPr>
                                                  <a:picLocks noChangeAspect="1" noChangeArrowheads="1"/>
                                                </pic:cNvPicPr>
                                              </pic:nvPicPr>
                                              <pic:blipFill>
                                                <a:blip r:embed="rId343"/>
                                                <a:stretch>
                                                  <a:fillRect/>
                                                </a:stretch>
                                              </pic:blipFill>
                                              <pic:spPr bwMode="auto">
                                                <a:xfrm>
                                                  <a:off x="0" y="0"/>
                                                  <a:ext cx="85725" cy="76200"/>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12pt;height:13.8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20" w:before="0" w:after="283"/>
                              <w:jc w:val="left"/>
                              <w:rPr/>
                            </w:pPr>
                            <w:r>
                              <w:rPr/>
                              <w:drawing>
                                <wp:inline distT="0" distB="0" distL="0" distR="0">
                                  <wp:extent cx="85725" cy="76200"/>
                                  <wp:effectExtent l="0" t="0" r="0" b="0"/>
                                  <wp:docPr id="778" name="Image2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 name="Image245" descr=""/>
                                          <pic:cNvPicPr>
                                            <a:picLocks noChangeAspect="1" noChangeArrowheads="1"/>
                                          </pic:cNvPicPr>
                                        </pic:nvPicPr>
                                        <pic:blipFill>
                                          <a:blip r:embed="rId344"/>
                                          <a:stretch>
                                            <a:fillRect/>
                                          </a:stretch>
                                        </pic:blipFill>
                                        <pic:spPr bwMode="auto">
                                          <a:xfrm>
                                            <a:off x="0" y="0"/>
                                            <a:ext cx="85725" cy="76200"/>
                                          </a:xfrm>
                                          <a:prstGeom prst="rect">
                                            <a:avLst/>
                                          </a:prstGeom>
                                        </pic:spPr>
                                      </pic:pic>
                                    </a:graphicData>
                                  </a:graphic>
                                </wp:inline>
                              </w:drawing>
                            </w:r>
                            <w:r>
                              <w:rPr/>
                              <w:t xml:space="preserve"> </w:t>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60" w:after="0"/>
              <w:ind w:left="240" w:right="0" w:hanging="0"/>
              <w:jc w:val="left"/>
              <w:rPr>
                <w:spacing w:val="-2"/>
              </w:rPr>
            </w:pPr>
            <w:r>
              <w:rPr>
                <w:spacing w:val="-2"/>
              </w:rPr>
              <w:t xml:space="preserve">Require a double trigger for cash severance and accelerated vesting in connection with a change in control </w:t>
            </w:r>
            <w:r>
              <mc:AlternateContent>
                <mc:Choice Requires="wps">
                  <w:drawing>
                    <wp:anchor behindDoc="0" distT="63500" distB="0" distL="0" distR="0" simplePos="0" locked="0" layoutInCell="1" allowOverlap="1" relativeHeight="212">
                      <wp:simplePos x="0" y="0"/>
                      <wp:positionH relativeFrom="column">
                        <wp:align>left</wp:align>
                      </wp:positionH>
                      <wp:positionV relativeFrom="line">
                        <wp:align>top</wp:align>
                      </wp:positionV>
                      <wp:extent cx="152400" cy="175260"/>
                      <wp:effectExtent l="0" t="0" r="0" b="0"/>
                      <wp:wrapSquare wrapText="right"/>
                      <wp:docPr id="779" name="Frame442"/>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extBody"/>
                                    <w:bidi w:val="0"/>
                                    <w:spacing w:lineRule="atLeast" w:line="220" w:before="0" w:after="283"/>
                                    <w:jc w:val="left"/>
                                    <w:rPr/>
                                  </w:pPr>
                                  <w:r>
                                    <w:rPr/>
                                    <w:drawing>
                                      <wp:inline distT="0" distB="0" distL="0" distR="0">
                                        <wp:extent cx="85725" cy="76200"/>
                                        <wp:effectExtent l="0" t="0" r="0" b="0"/>
                                        <wp:docPr id="780" name="Image2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0" name="Image246" descr=""/>
                                                <pic:cNvPicPr>
                                                  <a:picLocks noChangeAspect="1" noChangeArrowheads="1"/>
                                                </pic:cNvPicPr>
                                              </pic:nvPicPr>
                                              <pic:blipFill>
                                                <a:blip r:embed="rId345"/>
                                                <a:stretch>
                                                  <a:fillRect/>
                                                </a:stretch>
                                              </pic:blipFill>
                                              <pic:spPr bwMode="auto">
                                                <a:xfrm>
                                                  <a:off x="0" y="0"/>
                                                  <a:ext cx="85725" cy="76200"/>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12pt;height:13.8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20" w:before="0" w:after="283"/>
                              <w:jc w:val="left"/>
                              <w:rPr/>
                            </w:pPr>
                            <w:r>
                              <w:rPr/>
                              <w:drawing>
                                <wp:inline distT="0" distB="0" distL="0" distR="0">
                                  <wp:extent cx="85725" cy="76200"/>
                                  <wp:effectExtent l="0" t="0" r="0" b="0"/>
                                  <wp:docPr id="781" name="Image2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1" name="Image246" descr=""/>
                                          <pic:cNvPicPr>
                                            <a:picLocks noChangeAspect="1" noChangeArrowheads="1"/>
                                          </pic:cNvPicPr>
                                        </pic:nvPicPr>
                                        <pic:blipFill>
                                          <a:blip r:embed="rId346"/>
                                          <a:stretch>
                                            <a:fillRect/>
                                          </a:stretch>
                                        </pic:blipFill>
                                        <pic:spPr bwMode="auto">
                                          <a:xfrm>
                                            <a:off x="0" y="0"/>
                                            <a:ext cx="85725" cy="76200"/>
                                          </a:xfrm>
                                          <a:prstGeom prst="rect">
                                            <a:avLst/>
                                          </a:prstGeom>
                                        </pic:spPr>
                                      </pic:pic>
                                    </a:graphicData>
                                  </a:graphic>
                                </wp:inline>
                              </w:drawing>
                            </w:r>
                            <w:r>
                              <w:rPr/>
                              <w:t xml:space="preserve"> </w:t>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83AD40"/>
            </w:tcBorders>
            <w:tcMar>
              <w:bottom w:w="28" w:type="dxa"/>
            </w:tcMar>
            <w:vAlign w:val="center"/>
          </w:tcPr>
          <w:p>
            <w:pPr>
              <w:pStyle w:val="TableContents"/>
              <w:bidi w:val="0"/>
              <w:spacing w:before="0" w:after="283"/>
              <w:jc w:val="left"/>
              <w:rPr/>
            </w:pPr>
            <w:r>
              <w:rPr/>
              <w:t>​</w:t>
            </w:r>
          </w:p>
        </w:tc>
        <w:tc>
          <w:tcPr>
            <w:tcW w:w="109" w:type="dxa"/>
            <w:tcBorders>
              <w:bottom w:val="single" w:sz="2" w:space="0" w:color="83AD40"/>
            </w:tcBorders>
            <w:shd w:fill="83AD40" w:val="clear"/>
            <w:tcMar>
              <w:bottom w:w="28" w:type="dxa"/>
            </w:tcMar>
            <w:vAlign w:val="center"/>
          </w:tcPr>
          <w:p>
            <w:pPr>
              <w:pStyle w:val="TableContents"/>
              <w:bidi w:val="0"/>
              <w:spacing w:before="0" w:after="283"/>
              <w:jc w:val="left"/>
              <w:rPr/>
            </w:pPr>
            <w:r>
              <w:rPr/>
              <w:t>​</w:t>
            </w:r>
          </w:p>
        </w:tc>
        <w:tc>
          <w:tcPr>
            <w:tcW w:w="109" w:type="dxa"/>
            <w:tcBorders>
              <w:bottom w:val="single" w:sz="6" w:space="0" w:color="83AD40"/>
            </w:tcBorders>
            <w:tcMar>
              <w:bottom w:w="28" w:type="dxa"/>
            </w:tcMar>
            <w:vAlign w:val="center"/>
          </w:tcPr>
          <w:p>
            <w:pPr>
              <w:pStyle w:val="TableContents"/>
              <w:bidi w:val="0"/>
              <w:spacing w:before="0" w:after="283"/>
              <w:jc w:val="left"/>
              <w:rPr/>
            </w:pPr>
            <w:r>
              <w:rPr/>
              <w:t>​</w:t>
            </w:r>
          </w:p>
        </w:tc>
        <w:tc>
          <w:tcPr>
            <w:tcW w:w="4459" w:type="dxa"/>
            <w:tcBorders>
              <w:bottom w:val="single" w:sz="6" w:space="0" w:color="83AD40"/>
            </w:tcBorders>
            <w:tcMar>
              <w:bottom w:w="120" w:type="dxa"/>
            </w:tcMar>
            <w:vAlign w:val="center"/>
          </w:tcPr>
          <w:p>
            <w:pPr>
              <w:pStyle w:val="TableContents"/>
              <w:bidi w:val="0"/>
              <w:spacing w:lineRule="atLeast" w:line="220" w:before="0" w:after="0"/>
              <w:ind w:left="240" w:right="0" w:hanging="0"/>
              <w:jc w:val="left"/>
              <w:rPr/>
            </w:pPr>
            <w:r>
              <w:rPr>
                <w:spacing w:val="-2"/>
              </w:rPr>
              <w:t>No dividends or distributions paid on unearned equity awards subject to performance-based vesting</w:t>
            </w:r>
            <w:r>
              <w:rPr/>
              <w:t xml:space="preserve"> </w:t>
            </w:r>
            <w:r>
              <mc:AlternateContent>
                <mc:Choice Requires="wps">
                  <w:drawing>
                    <wp:anchor behindDoc="0" distT="0" distB="0" distL="0" distR="0" simplePos="0" locked="0" layoutInCell="1" allowOverlap="1" relativeHeight="210">
                      <wp:simplePos x="0" y="0"/>
                      <wp:positionH relativeFrom="column">
                        <wp:align>left</wp:align>
                      </wp:positionH>
                      <wp:positionV relativeFrom="line">
                        <wp:posOffset>635</wp:posOffset>
                      </wp:positionV>
                      <wp:extent cx="152400" cy="175260"/>
                      <wp:effectExtent l="0" t="0" r="0" b="0"/>
                      <wp:wrapSquare wrapText="right"/>
                      <wp:docPr id="782" name="Frame443"/>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extBody"/>
                                    <w:bidi w:val="0"/>
                                    <w:spacing w:lineRule="atLeast" w:line="220" w:before="0" w:after="283"/>
                                    <w:jc w:val="left"/>
                                    <w:rPr/>
                                  </w:pPr>
                                  <w:r>
                                    <w:rPr/>
                                    <w:drawing>
                                      <wp:inline distT="0" distB="0" distL="0" distR="0">
                                        <wp:extent cx="66675" cy="66675"/>
                                        <wp:effectExtent l="0" t="0" r="0" b="0"/>
                                        <wp:docPr id="783" name="Image2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3" name="Image247" descr=""/>
                                                <pic:cNvPicPr>
                                                  <a:picLocks noChangeAspect="1" noChangeArrowheads="1"/>
                                                </pic:cNvPicPr>
                                              </pic:nvPicPr>
                                              <pic:blipFill>
                                                <a:blip r:embed="rId347"/>
                                                <a:stretch>
                                                  <a:fillRect/>
                                                </a:stretch>
                                              </pic:blipFill>
                                              <pic:spPr bwMode="auto">
                                                <a:xfrm>
                                                  <a:off x="0" y="0"/>
                                                  <a:ext cx="66675" cy="66675"/>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0" w:before="0" w:after="283"/>
                              <w:jc w:val="left"/>
                              <w:rPr/>
                            </w:pPr>
                            <w:r>
                              <w:rPr/>
                              <w:drawing>
                                <wp:inline distT="0" distB="0" distL="0" distR="0">
                                  <wp:extent cx="66675" cy="66675"/>
                                  <wp:effectExtent l="0" t="0" r="0" b="0"/>
                                  <wp:docPr id="784" name="Image2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4" name="Image247" descr=""/>
                                          <pic:cNvPicPr>
                                            <a:picLocks noChangeAspect="1" noChangeArrowheads="1"/>
                                          </pic:cNvPicPr>
                                        </pic:nvPicPr>
                                        <pic:blipFill>
                                          <a:blip r:embed="rId348"/>
                                          <a:stretch>
                                            <a:fillRect/>
                                          </a:stretch>
                                        </pic:blipFill>
                                        <pic:spPr bwMode="auto">
                                          <a:xfrm>
                                            <a:off x="0" y="0"/>
                                            <a:ext cx="66675" cy="66675"/>
                                          </a:xfrm>
                                          <a:prstGeom prst="rect">
                                            <a:avLst/>
                                          </a:prstGeom>
                                        </pic:spPr>
                                      </pic:pic>
                                    </a:graphicData>
                                  </a:graphic>
                                </wp:inline>
                              </w:drawing>
                            </w:r>
                            <w:r>
                              <w:rPr/>
                              <w:t xml:space="preserve"> </w:t>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53" w:after="0"/>
              <w:ind w:left="240" w:right="0" w:hanging="0"/>
              <w:jc w:val="left"/>
              <w:rPr/>
            </w:pPr>
            <w:r>
              <w:rPr>
                <w:spacing w:val="-2"/>
              </w:rPr>
              <w:t>No excise tax gross-up provisions</w:t>
            </w:r>
            <w:r>
              <w:rPr/>
              <w:t xml:space="preserve"> </w:t>
            </w:r>
            <w:r>
              <mc:AlternateContent>
                <mc:Choice Requires="wps">
                  <w:drawing>
                    <wp:anchor behindDoc="0" distT="63500" distB="0" distL="0" distR="0" simplePos="0" locked="0" layoutInCell="1" allowOverlap="1" relativeHeight="208">
                      <wp:simplePos x="0" y="0"/>
                      <wp:positionH relativeFrom="column">
                        <wp:align>left</wp:align>
                      </wp:positionH>
                      <wp:positionV relativeFrom="line">
                        <wp:align>top</wp:align>
                      </wp:positionV>
                      <wp:extent cx="152400" cy="175260"/>
                      <wp:effectExtent l="0" t="0" r="0" b="0"/>
                      <wp:wrapSquare wrapText="right"/>
                      <wp:docPr id="785" name="Frame444"/>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extBody"/>
                                    <w:bidi w:val="0"/>
                                    <w:spacing w:lineRule="atLeast" w:line="180" w:before="0" w:after="283"/>
                                    <w:jc w:val="left"/>
                                    <w:rPr/>
                                  </w:pPr>
                                  <w:r>
                                    <w:rPr/>
                                    <w:drawing>
                                      <wp:inline distT="0" distB="0" distL="0" distR="0">
                                        <wp:extent cx="66675" cy="66675"/>
                                        <wp:effectExtent l="0" t="0" r="0" b="0"/>
                                        <wp:docPr id="786" name="Image2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6" name="Image248" descr=""/>
                                                <pic:cNvPicPr>
                                                  <a:picLocks noChangeAspect="1" noChangeArrowheads="1"/>
                                                </pic:cNvPicPr>
                                              </pic:nvPicPr>
                                              <pic:blipFill>
                                                <a:blip r:embed="rId349"/>
                                                <a:stretch>
                                                  <a:fillRect/>
                                                </a:stretch>
                                              </pic:blipFill>
                                              <pic:spPr bwMode="auto">
                                                <a:xfrm>
                                                  <a:off x="0" y="0"/>
                                                  <a:ext cx="66675" cy="66675"/>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12pt;height:13.8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180" w:before="0" w:after="283"/>
                              <w:jc w:val="left"/>
                              <w:rPr/>
                            </w:pPr>
                            <w:r>
                              <w:rPr/>
                              <w:drawing>
                                <wp:inline distT="0" distB="0" distL="0" distR="0">
                                  <wp:extent cx="66675" cy="66675"/>
                                  <wp:effectExtent l="0" t="0" r="0" b="0"/>
                                  <wp:docPr id="787" name="Image2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7" name="Image248" descr=""/>
                                          <pic:cNvPicPr>
                                            <a:picLocks noChangeAspect="1" noChangeArrowheads="1"/>
                                          </pic:cNvPicPr>
                                        </pic:nvPicPr>
                                        <pic:blipFill>
                                          <a:blip r:embed="rId350"/>
                                          <a:stretch>
                                            <a:fillRect/>
                                          </a:stretch>
                                        </pic:blipFill>
                                        <pic:spPr bwMode="auto">
                                          <a:xfrm>
                                            <a:off x="0" y="0"/>
                                            <a:ext cx="66675" cy="66675"/>
                                          </a:xfrm>
                                          <a:prstGeom prst="rect">
                                            <a:avLst/>
                                          </a:prstGeom>
                                        </pic:spPr>
                                      </pic:pic>
                                    </a:graphicData>
                                  </a:graphic>
                                </wp:inline>
                              </w:drawing>
                            </w:r>
                            <w:r>
                              <w:rPr/>
                              <w:t xml:space="preserve"> </w:t>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53" w:after="0"/>
              <w:ind w:left="240" w:right="0" w:hanging="0"/>
              <w:jc w:val="left"/>
              <w:rPr/>
            </w:pPr>
            <w:r>
              <w:rPr>
                <w:spacing w:val="-2"/>
              </w:rPr>
              <w:t>No repricing of stock options</w:t>
            </w:r>
            <w:r>
              <w:rPr/>
              <w:t xml:space="preserve"> </w:t>
            </w:r>
            <w:r>
              <mc:AlternateContent>
                <mc:Choice Requires="wps">
                  <w:drawing>
                    <wp:anchor behindDoc="0" distT="63500" distB="0" distL="0" distR="0" simplePos="0" locked="0" layoutInCell="1" allowOverlap="1" relativeHeight="198">
                      <wp:simplePos x="0" y="0"/>
                      <wp:positionH relativeFrom="column">
                        <wp:align>left</wp:align>
                      </wp:positionH>
                      <wp:positionV relativeFrom="line">
                        <wp:align>top</wp:align>
                      </wp:positionV>
                      <wp:extent cx="152400" cy="175260"/>
                      <wp:effectExtent l="0" t="0" r="0" b="0"/>
                      <wp:wrapSquare wrapText="right"/>
                      <wp:docPr id="788" name="Frame445"/>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extBody"/>
                                    <w:bidi w:val="0"/>
                                    <w:spacing w:lineRule="atLeast" w:line="180" w:before="0" w:after="283"/>
                                    <w:jc w:val="left"/>
                                    <w:rPr/>
                                  </w:pPr>
                                  <w:r>
                                    <w:rPr/>
                                    <w:drawing>
                                      <wp:inline distT="0" distB="0" distL="0" distR="0">
                                        <wp:extent cx="66675" cy="66675"/>
                                        <wp:effectExtent l="0" t="0" r="0" b="0"/>
                                        <wp:docPr id="789" name="Image2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9" name="Image249" descr=""/>
                                                <pic:cNvPicPr>
                                                  <a:picLocks noChangeAspect="1" noChangeArrowheads="1"/>
                                                </pic:cNvPicPr>
                                              </pic:nvPicPr>
                                              <pic:blipFill>
                                                <a:blip r:embed="rId351"/>
                                                <a:stretch>
                                                  <a:fillRect/>
                                                </a:stretch>
                                              </pic:blipFill>
                                              <pic:spPr bwMode="auto">
                                                <a:xfrm>
                                                  <a:off x="0" y="0"/>
                                                  <a:ext cx="66675" cy="66675"/>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12pt;height:13.8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180" w:before="0" w:after="283"/>
                              <w:jc w:val="left"/>
                              <w:rPr/>
                            </w:pPr>
                            <w:r>
                              <w:rPr/>
                              <w:drawing>
                                <wp:inline distT="0" distB="0" distL="0" distR="0">
                                  <wp:extent cx="66675" cy="66675"/>
                                  <wp:effectExtent l="0" t="0" r="0" b="0"/>
                                  <wp:docPr id="790" name="Image2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0" name="Image249" descr=""/>
                                          <pic:cNvPicPr>
                                            <a:picLocks noChangeAspect="1" noChangeArrowheads="1"/>
                                          </pic:cNvPicPr>
                                        </pic:nvPicPr>
                                        <pic:blipFill>
                                          <a:blip r:embed="rId352"/>
                                          <a:stretch>
                                            <a:fillRect/>
                                          </a:stretch>
                                        </pic:blipFill>
                                        <pic:spPr bwMode="auto">
                                          <a:xfrm>
                                            <a:off x="0" y="0"/>
                                            <a:ext cx="66675" cy="66675"/>
                                          </a:xfrm>
                                          <a:prstGeom prst="rect">
                                            <a:avLst/>
                                          </a:prstGeom>
                                        </pic:spPr>
                                      </pic:pic>
                                    </a:graphicData>
                                  </a:graphic>
                                </wp:inline>
                              </w:drawing>
                            </w:r>
                            <w:r>
                              <w:rPr/>
                              <w:t xml:space="preserve"> </w:t>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40" w:after="0"/>
              <w:ind w:left="240" w:right="0" w:hanging="0"/>
              <w:jc w:val="left"/>
              <w:rPr/>
            </w:pPr>
            <w:r>
              <w:rPr>
                <w:spacing w:val="-2"/>
              </w:rPr>
              <w:t>No single trigger cash severance or accelerated vesting in connection with a change in control</w:t>
            </w:r>
            <w:r>
              <w:rPr/>
              <w:t xml:space="preserve"> </w:t>
            </w:r>
            <w:r>
              <mc:AlternateContent>
                <mc:Choice Requires="wps">
                  <w:drawing>
                    <wp:anchor behindDoc="0" distT="63500" distB="0" distL="0" distR="0" simplePos="0" locked="0" layoutInCell="1" allowOverlap="1" relativeHeight="188">
                      <wp:simplePos x="0" y="0"/>
                      <wp:positionH relativeFrom="column">
                        <wp:align>left</wp:align>
                      </wp:positionH>
                      <wp:positionV relativeFrom="line">
                        <wp:align>top</wp:align>
                      </wp:positionV>
                      <wp:extent cx="152400" cy="175260"/>
                      <wp:effectExtent l="0" t="0" r="0" b="0"/>
                      <wp:wrapSquare wrapText="right"/>
                      <wp:docPr id="791" name="Frame446"/>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extBody"/>
                                    <w:bidi w:val="0"/>
                                    <w:spacing w:lineRule="atLeast" w:line="220" w:before="0" w:after="283"/>
                                    <w:jc w:val="left"/>
                                    <w:rPr/>
                                  </w:pPr>
                                  <w:r>
                                    <w:rPr/>
                                    <w:drawing>
                                      <wp:inline distT="0" distB="0" distL="0" distR="0">
                                        <wp:extent cx="66675" cy="66675"/>
                                        <wp:effectExtent l="0" t="0" r="0" b="0"/>
                                        <wp:docPr id="792" name="Image2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2" name="Image250" descr=""/>
                                                <pic:cNvPicPr>
                                                  <a:picLocks noChangeAspect="1" noChangeArrowheads="1"/>
                                                </pic:cNvPicPr>
                                              </pic:nvPicPr>
                                              <pic:blipFill>
                                                <a:blip r:embed="rId353"/>
                                                <a:stretch>
                                                  <a:fillRect/>
                                                </a:stretch>
                                              </pic:blipFill>
                                              <pic:spPr bwMode="auto">
                                                <a:xfrm>
                                                  <a:off x="0" y="0"/>
                                                  <a:ext cx="66675" cy="66675"/>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12pt;height:13.8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20" w:before="0" w:after="283"/>
                              <w:jc w:val="left"/>
                              <w:rPr/>
                            </w:pPr>
                            <w:r>
                              <w:rPr/>
                              <w:drawing>
                                <wp:inline distT="0" distB="0" distL="0" distR="0">
                                  <wp:extent cx="66675" cy="66675"/>
                                  <wp:effectExtent l="0" t="0" r="0" b="0"/>
                                  <wp:docPr id="793" name="Image2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3" name="Image250" descr=""/>
                                          <pic:cNvPicPr>
                                            <a:picLocks noChangeAspect="1" noChangeArrowheads="1"/>
                                          </pic:cNvPicPr>
                                        </pic:nvPicPr>
                                        <pic:blipFill>
                                          <a:blip r:embed="rId354"/>
                                          <a:stretch>
                                            <a:fillRect/>
                                          </a:stretch>
                                        </pic:blipFill>
                                        <pic:spPr bwMode="auto">
                                          <a:xfrm>
                                            <a:off x="0" y="0"/>
                                            <a:ext cx="66675" cy="66675"/>
                                          </a:xfrm>
                                          <a:prstGeom prst="rect">
                                            <a:avLst/>
                                          </a:prstGeom>
                                        </pic:spPr>
                                      </pic:pic>
                                    </a:graphicData>
                                  </a:graphic>
                                </wp:inline>
                              </w:drawing>
                            </w:r>
                            <w:r>
                              <w:rPr/>
                              <w:t xml:space="preserve"> </w:t>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40" w:after="0"/>
              <w:ind w:left="240" w:right="0" w:hanging="0"/>
              <w:jc w:val="left"/>
              <w:rPr/>
            </w:pPr>
            <w:r>
              <w:rPr>
                <w:spacing w:val="-2"/>
              </w:rPr>
              <w:t>Don’t allow directors or officers to hedge or pledge our securities or engage in short sales</w:t>
            </w:r>
            <w:r>
              <w:rPr/>
              <w:t xml:space="preserve"> </w:t>
            </w:r>
            <w:r>
              <mc:AlternateContent>
                <mc:Choice Requires="wps">
                  <w:drawing>
                    <wp:anchor behindDoc="0" distT="63500" distB="0" distL="0" distR="0" simplePos="0" locked="0" layoutInCell="1" allowOverlap="1" relativeHeight="190">
                      <wp:simplePos x="0" y="0"/>
                      <wp:positionH relativeFrom="column">
                        <wp:align>left</wp:align>
                      </wp:positionH>
                      <wp:positionV relativeFrom="line">
                        <wp:align>top</wp:align>
                      </wp:positionV>
                      <wp:extent cx="152400" cy="175260"/>
                      <wp:effectExtent l="0" t="0" r="0" b="0"/>
                      <wp:wrapSquare wrapText="right"/>
                      <wp:docPr id="794" name="Frame447"/>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extBody"/>
                                    <w:bidi w:val="0"/>
                                    <w:spacing w:lineRule="atLeast" w:line="220" w:before="0" w:after="283"/>
                                    <w:jc w:val="left"/>
                                    <w:rPr/>
                                  </w:pPr>
                                  <w:r>
                                    <w:rPr/>
                                    <w:drawing>
                                      <wp:inline distT="0" distB="0" distL="0" distR="0">
                                        <wp:extent cx="66675" cy="66675"/>
                                        <wp:effectExtent l="0" t="0" r="0" b="0"/>
                                        <wp:docPr id="795" name="Image2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5" name="Image251" descr=""/>
                                                <pic:cNvPicPr>
                                                  <a:picLocks noChangeAspect="1" noChangeArrowheads="1"/>
                                                </pic:cNvPicPr>
                                              </pic:nvPicPr>
                                              <pic:blipFill>
                                                <a:blip r:embed="rId355"/>
                                                <a:stretch>
                                                  <a:fillRect/>
                                                </a:stretch>
                                              </pic:blipFill>
                                              <pic:spPr bwMode="auto">
                                                <a:xfrm>
                                                  <a:off x="0" y="0"/>
                                                  <a:ext cx="66675" cy="66675"/>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12pt;height:13.8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20" w:before="0" w:after="283"/>
                              <w:jc w:val="left"/>
                              <w:rPr/>
                            </w:pPr>
                            <w:r>
                              <w:rPr/>
                              <w:drawing>
                                <wp:inline distT="0" distB="0" distL="0" distR="0">
                                  <wp:extent cx="66675" cy="66675"/>
                                  <wp:effectExtent l="0" t="0" r="0" b="0"/>
                                  <wp:docPr id="796" name="Image2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6" name="Image251" descr=""/>
                                          <pic:cNvPicPr>
                                            <a:picLocks noChangeAspect="1" noChangeArrowheads="1"/>
                                          </pic:cNvPicPr>
                                        </pic:nvPicPr>
                                        <pic:blipFill>
                                          <a:blip r:embed="rId356"/>
                                          <a:stretch>
                                            <a:fillRect/>
                                          </a:stretch>
                                        </pic:blipFill>
                                        <pic:spPr bwMode="auto">
                                          <a:xfrm>
                                            <a:off x="0" y="0"/>
                                            <a:ext cx="66675" cy="66675"/>
                                          </a:xfrm>
                                          <a:prstGeom prst="rect">
                                            <a:avLst/>
                                          </a:prstGeom>
                                        </pic:spPr>
                                      </pic:pic>
                                    </a:graphicData>
                                  </a:graphic>
                                </wp:inline>
                              </w:drawing>
                            </w:r>
                            <w:r>
                              <w:rPr/>
                              <w:t xml:space="preserve"> </w:t>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bottom w:val="single" w:sz="6" w:space="0" w:color="83AD40"/>
            </w:tcBorders>
            <w:tcMar>
              <w:bottom w:w="28" w:type="dxa"/>
            </w:tcMar>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4330" w:type="dxa"/>
        <w:jc w:val="left"/>
        <w:tblInd w:w="900" w:type="dxa"/>
        <w:tblLayout w:type="fixed"/>
        <w:tblCellMar>
          <w:top w:w="0" w:type="dxa"/>
          <w:left w:w="0" w:type="dxa"/>
          <w:bottom w:w="0" w:type="dxa"/>
          <w:right w:w="0" w:type="dxa"/>
        </w:tblCellMar>
      </w:tblPr>
      <w:tblGrid>
        <w:gridCol w:w="124"/>
        <w:gridCol w:w="3488"/>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3488" w:type="dxa"/>
            <w:tcBorders/>
            <w:vAlign w:val="center"/>
          </w:tcPr>
          <w:p>
            <w:pPr>
              <w:pStyle w:val="TableContents"/>
              <w:bidi w:val="0"/>
              <w:spacing w:lineRule="atLeast" w:line="200" w:before="0" w:after="0"/>
              <w:jc w:val="left"/>
              <w:rPr/>
            </w:pPr>
            <w:r>
              <w:rPr>
                <w:spacing w:val="-2"/>
              </w:rPr>
              <w:t>EXECUTIVE COMPENSATION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color w:val="1F2668"/>
                <w:sz w:val="24"/>
              </w:rPr>
            </w:pPr>
            <w:r>
              <w:rPr>
                <w:color w:val="1F2668"/>
                <w:sz w:val="24"/>
              </w:rPr>
              <w:t>61</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60" w:before="560" w:after="154"/>
        <w:ind w:left="900" w:right="0" w:hanging="0"/>
        <w:jc w:val="left"/>
        <w:rPr>
          <w:rFonts w:ascii="Arial;Helvetica;sans-serif" w:hAnsi="Arial;Helvetica;sans-serif"/>
          <w:b/>
          <w:i w:val="false"/>
          <w:caps w:val="false"/>
          <w:smallCaps w:val="false"/>
          <w:color w:val="83AD40"/>
          <w:sz w:val="22"/>
        </w:rPr>
      </w:pPr>
      <w:r>
        <w:rPr>
          <w:rFonts w:ascii="Arial;Helvetica;sans-serif" w:hAnsi="Arial;Helvetica;sans-serif"/>
          <w:b/>
          <w:i w:val="false"/>
          <w:caps w:val="false"/>
          <w:smallCaps w:val="false"/>
          <w:color w:val="83AD40"/>
          <w:spacing w:val="-2"/>
          <w:sz w:val="22"/>
        </w:rPr>
        <w:t>Peer Group Benchmarking</w:t>
      </w:r>
      <w:r>
        <w:rPr>
          <w:rFonts w:ascii="Arial;Helvetica;sans-serif" w:hAnsi="Arial;Helvetica;sans-serif"/>
          <w:b/>
          <w:i w:val="false"/>
          <w:caps w:val="false"/>
          <w:smallCaps w:val="false"/>
          <w:color w:val="000000"/>
          <w:spacing w:val="4"/>
          <w:sz w:val="22"/>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In 2025 as in prior years, the Committee reviewed various peer compensation information in connection with its compensation decisions, primarily focused on the chief executive officer’s compensation. This peer information was not used to target a particular percentile for our Chief Executive Officer’s total compensation for 2025, but rather to confirm that our Chief Executive Officer’s total compensation for 2025 was within an appropriate range of the total compensation, considering relative size and performance.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5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The Committee reviewed total compensation information for the chief executive officers of a peer group, with an emphasis on the REIT industry. The peer group included a number of New York City-based peer companies, which group is determined based on the unique characteristics of the New York City real estate marketplace, which is where we conduct substantially all of our business, and which is one of the most competitive in the world, from both a business and compensation perspective. However, among the top 15 New York City real estate companies, in terms of Manhattan office-space ownership, only a handful of those companies, including SL Green, are public.</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50" w:before="160" w:after="283"/>
        <w:jc w:val="left"/>
        <w:rPr>
          <w:rFonts w:ascii="Arial;Helvetica;sans-serif" w:hAnsi="Arial;Helvetica;sans-serif"/>
          <w:b w:val="false"/>
          <w:i w:val="false"/>
          <w:caps w:val="false"/>
          <w:smallCaps w:val="false"/>
          <w:color w:val="000000"/>
          <w:spacing w:val="-2"/>
          <w:sz w:val="18"/>
        </w:rPr>
      </w:pPr>
      <w:r>
        <w:rPr>
          <w:rFonts w:ascii="Arial;Helvetica;sans-serif" w:hAnsi="Arial;Helvetica;sans-serif"/>
          <w:b w:val="false"/>
          <w:i w:val="false"/>
          <w:caps w:val="false"/>
          <w:smallCaps w:val="false"/>
          <w:color w:val="000000"/>
          <w:spacing w:val="-2"/>
          <w:sz w:val="18"/>
        </w:rPr>
        <w:t xml:space="preserve">With respect to size, we ranked at or above the median of our selected peers with respect to total enterprise value and total revenue as of December 31, 2025. The following companies were included in the peer group that the Committee reviewed: </w:t>
      </w:r>
    </w:p>
    <w:p>
      <w:pPr>
        <w:pStyle w:val="TextBody"/>
        <w:bidi w:val="0"/>
        <w:spacing w:lineRule="atLeast" w:line="260" w:before="240" w:after="283"/>
        <w:jc w:val="left"/>
        <w:rPr>
          <w:rFonts w:ascii="Arial;Helvetica;sans-serif" w:hAnsi="Arial;Helvetica;sans-serif"/>
          <w:b/>
          <w:i w:val="false"/>
          <w:caps w:val="false"/>
          <w:smallCaps w:val="false"/>
          <w:color w:val="83AD40"/>
          <w:sz w:val="22"/>
        </w:rPr>
      </w:pPr>
      <w:r>
        <w:rPr>
          <w:rFonts w:ascii="Arial;Helvetica;sans-serif" w:hAnsi="Arial;Helvetica;sans-serif"/>
          <w:b/>
          <w:i w:val="false"/>
          <w:caps w:val="false"/>
          <w:smallCaps w:val="false"/>
          <w:color w:val="83AD40"/>
          <w:spacing w:val="-2"/>
          <w:sz w:val="22"/>
        </w:rPr>
        <w:t>Peer Group</w:t>
      </w:r>
      <w:r>
        <w:rPr>
          <w:rFonts w:ascii="Arial;Helvetica;sans-serif" w:hAnsi="Arial;Helvetica;sans-serif"/>
          <w:b/>
          <w:i w:val="false"/>
          <w:caps w:val="false"/>
          <w:smallCaps w:val="false"/>
          <w:color w:val="83AD40"/>
          <w:spacing w:val="-2"/>
          <w:sz w:val="17"/>
        </w:rPr>
        <w:t>(1)</w:t>
      </w:r>
      <w:r>
        <w:rPr>
          <w:rFonts w:ascii="Arial;Helvetica;sans-serif" w:hAnsi="Arial;Helvetica;sans-serif"/>
          <w:b/>
          <w:i w:val="false"/>
          <w:caps w:val="false"/>
          <w:smallCaps w:val="false"/>
          <w:color w:val="000000"/>
          <w:spacing w:val="4"/>
          <w:sz w:val="22"/>
        </w:rPr>
        <w:t xml:space="preserve"> </w:t>
      </w:r>
    </w:p>
    <w:p>
      <w:pPr>
        <w:pStyle w:val="TextBody"/>
        <w:bidi w:val="0"/>
        <w:spacing w:before="160" w:after="283"/>
        <w:jc w:val="center"/>
        <w:rPr>
          <w:caps w:val="false"/>
          <w:smallCaps w:val="false"/>
          <w:color w:val="000000"/>
        </w:rPr>
      </w:pPr>
      <w:r>
        <w:rPr>
          <w:caps w:val="false"/>
          <w:smallCaps w:val="false"/>
          <w:color w:val="000000"/>
        </w:rPr>
        <w:drawing>
          <wp:inline distT="0" distB="0" distL="0" distR="0">
            <wp:extent cx="6296025" cy="2428875"/>
            <wp:effectExtent l="0" t="0" r="0" b="0"/>
            <wp:docPr id="797" name="Image2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7" name="Image252" descr=""/>
                    <pic:cNvPicPr>
                      <a:picLocks noChangeAspect="1" noChangeArrowheads="1"/>
                    </pic:cNvPicPr>
                  </pic:nvPicPr>
                  <pic:blipFill>
                    <a:blip r:embed="rId357"/>
                    <a:stretch>
                      <a:fillRect/>
                    </a:stretch>
                  </pic:blipFill>
                  <pic:spPr bwMode="auto">
                    <a:xfrm>
                      <a:off x="0" y="0"/>
                      <a:ext cx="6296025" cy="2428875"/>
                    </a:xfrm>
                    <a:prstGeom prst="rect">
                      <a:avLst/>
                    </a:prstGeom>
                  </pic:spPr>
                </pic:pic>
              </a:graphicData>
            </a:graphic>
          </wp:inline>
        </w:drawing>
      </w:r>
      <w:r>
        <w:rPr>
          <w:caps w:val="false"/>
          <w:smallCaps w:val="false"/>
          <w:color w:val="000000"/>
        </w:rPr>
        <w:t xml:space="preserve"> </w:t>
      </w:r>
    </w:p>
    <w:p>
      <w:pPr>
        <w:pStyle w:val="TextBody"/>
        <w:bidi w:val="0"/>
        <w:spacing w:lineRule="atLeast" w:line="200" w:before="22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Source: S&amp;P Capital IQ and, with respect to the Company, its fourth quarter supplemental furnished to the SEC on January 29, 2026. Data is as of December 31, 2025. Revenue includes the Company’s share of revenue generated by its joint venture investments.</w:t>
      </w:r>
      <w:r>
        <w:rPr>
          <w:rFonts w:ascii="Arial;Helvetica;sans-serif" w:hAnsi="Arial;Helvetica;sans-serif"/>
          <w:b w:val="false"/>
          <w:i w:val="false"/>
          <w:caps w:val="false"/>
          <w:smallCaps w:val="false"/>
          <w:color w:val="000000"/>
          <w:spacing w:val="3"/>
          <w:sz w:val="16"/>
        </w:rPr>
        <w:t xml:space="preserve"> </w:t>
      </w:r>
    </w:p>
    <w:p>
      <w:pPr>
        <w:pStyle w:val="TextBody"/>
        <w:bidi w:val="0"/>
        <w:spacing w:lineRule="atLeast" w:line="200" w:before="120"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Paramount Group, Inc. has historically been included in the Company’s peer group, however, on December 19, 2025, it was acquired by Rithm Capital Corp. and ceased to be a publicly traded company.</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76200" distB="0" distL="0" distR="0" simplePos="0" locked="0" layoutInCell="1" allowOverlap="1" relativeHeight="697">
                <wp:simplePos x="0" y="0"/>
                <wp:positionH relativeFrom="column">
                  <wp:align>left</wp:align>
                </wp:positionH>
                <wp:positionV relativeFrom="line">
                  <wp:align>top</wp:align>
                </wp:positionV>
                <wp:extent cx="254000" cy="254000"/>
                <wp:effectExtent l="0" t="0" r="0" b="0"/>
                <wp:wrapSquare wrapText="right"/>
                <wp:docPr id="798" name="Frame448"/>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2"/>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2"/>
                          <w:sz w:val="16"/>
                        </w:rPr>
                        <w:t>(1)</w:t>
                      </w:r>
                      <w:r>
                        <w:rPr>
                          <w:sz w:val="16"/>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5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In the market for talent and compensation, the Committee views the Company as most comparable to real estate companies and companies in complex financial services-related industries such as top performing hedge funds, international investors, large private firms and others that may have equal or greater financial resources, including access to cost-efficient capital. Many of these most direct competitors are private companies, however, and are not required to publicly disclose their compensation arrangements.</w:t>
      </w:r>
      <w:r>
        <w:rPr>
          <w:rFonts w:ascii="Arial;Helvetica;sans-serif" w:hAnsi="Arial;Helvetica;sans-serif"/>
          <w:b w:val="false"/>
          <w:i w:val="false"/>
          <w:caps w:val="false"/>
          <w:smallCaps w:val="false"/>
          <w:color w:val="000000"/>
          <w:spacing w:val="4"/>
          <w:sz w:val="18"/>
        </w:rPr>
        <w:t xml:space="preserve"> </w:t>
      </w:r>
    </w:p>
    <w:tbl>
      <w:tblPr>
        <w:tblW w:w="9305" w:type="dxa"/>
        <w:jc w:val="left"/>
        <w:tblInd w:w="900" w:type="dxa"/>
        <w:tblLayout w:type="fixed"/>
        <w:tblCellMar>
          <w:top w:w="0" w:type="dxa"/>
          <w:left w:w="0" w:type="dxa"/>
          <w:bottom w:w="0" w:type="dxa"/>
          <w:right w:w="0" w:type="dxa"/>
        </w:tblCellMar>
      </w:tblPr>
      <w:tblGrid>
        <w:gridCol w:w="124"/>
        <w:gridCol w:w="9027"/>
        <w:gridCol w:w="154"/>
      </w:tblGrid>
      <w:tr>
        <w:trPr/>
        <w:tc>
          <w:tcPr>
            <w:tcW w:w="124" w:type="dxa"/>
            <w:tcBorders/>
            <w:shd w:fill="E9F9D8" w:val="clear"/>
            <w:vAlign w:val="center"/>
          </w:tcPr>
          <w:p>
            <w:pPr>
              <w:pStyle w:val="TableContents"/>
              <w:bidi w:val="0"/>
              <w:spacing w:before="0" w:after="283"/>
              <w:jc w:val="left"/>
              <w:rPr/>
            </w:pPr>
            <w:r>
              <w:rPr/>
              <w:t>​</w:t>
            </w:r>
          </w:p>
        </w:tc>
        <w:tc>
          <w:tcPr>
            <w:tcW w:w="9027" w:type="dxa"/>
            <w:tcBorders/>
            <w:shd w:fill="E9F9D8" w:val="clear"/>
            <w:vAlign w:val="center"/>
          </w:tcPr>
          <w:p>
            <w:pPr>
              <w:pStyle w:val="TableContents"/>
              <w:bidi w:val="0"/>
              <w:spacing w:lineRule="atLeast" w:line="220" w:before="0" w:after="0"/>
              <w:jc w:val="left"/>
              <w:rPr/>
            </w:pPr>
            <w:r>
              <w:rPr>
                <w:b w:val="false"/>
                <w:spacing w:val="-2"/>
              </w:rPr>
              <w:t xml:space="preserve">Given limited publicly available information on the private companies with which we most directly compete for real estate talent, we have elected to include only public REITs in our compensation peer group, </w:t>
            </w:r>
            <w:r>
              <w:rPr>
                <w:spacing w:val="-2"/>
              </w:rPr>
              <w:t>though the Committee believes that the top real estate principals of non-REIT companies typically receive substantially higher compensation than their counterparts at public REITs.</w:t>
            </w:r>
            <w:r>
              <w:rPr/>
              <w:t xml:space="preserve"> </w:t>
            </w:r>
          </w:p>
        </w:tc>
        <w:tc>
          <w:tcPr>
            <w:tcW w:w="154" w:type="dxa"/>
            <w:tcBorders/>
            <w:shd w:fill="E9F9D8" w:val="clear"/>
            <w:vAlign w:val="center"/>
          </w:tcPr>
          <w:p>
            <w:pPr>
              <w:pStyle w:val="TableContents"/>
              <w:bidi w:val="0"/>
              <w:spacing w:before="0" w:after="283"/>
              <w:jc w:val="left"/>
              <w:rPr/>
            </w:pPr>
            <w:r>
              <w:rPr/>
              <w:t>​</w:t>
            </w:r>
          </w:p>
        </w:tc>
      </w:tr>
    </w:tbl>
    <w:p>
      <w:pPr>
        <w:pStyle w:val="TextBody"/>
        <w:bidi w:val="0"/>
        <w:spacing w:lineRule="atLeast" w:line="260" w:before="370" w:after="283"/>
        <w:ind w:left="900" w:right="0" w:hanging="0"/>
        <w:jc w:val="left"/>
        <w:rPr>
          <w:rFonts w:ascii="Arial;Helvetica;sans-serif" w:hAnsi="Arial;Helvetica;sans-serif"/>
          <w:b/>
          <w:i w:val="false"/>
          <w:caps w:val="false"/>
          <w:smallCaps w:val="false"/>
          <w:color w:val="83AD40"/>
          <w:sz w:val="22"/>
        </w:rPr>
      </w:pPr>
      <w:r>
        <w:rPr>
          <w:rFonts w:ascii="Arial;Helvetica;sans-serif" w:hAnsi="Arial;Helvetica;sans-serif"/>
          <w:b/>
          <w:i w:val="false"/>
          <w:caps w:val="false"/>
          <w:smallCaps w:val="false"/>
          <w:color w:val="83AD40"/>
          <w:spacing w:val="-2"/>
          <w:sz w:val="22"/>
        </w:rPr>
        <w:t>Analysis of Risk Associated with Our Executive Compensation Plans</w:t>
      </w:r>
      <w:r>
        <w:rPr>
          <w:rFonts w:ascii="Arial;Helvetica;sans-serif" w:hAnsi="Arial;Helvetica;sans-serif"/>
          <w:b/>
          <w:i w:val="false"/>
          <w:caps w:val="false"/>
          <w:smallCaps w:val="false"/>
          <w:color w:val="000000"/>
          <w:spacing w:val="4"/>
          <w:sz w:val="22"/>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In setting compensation, we consider the risks to our stockholders and to achievement of our goals that may be inherent in the executive compensation program. We concluded that it is not reasonably likely that our compensation policies and practices will have a material adverse effect on us.</w:t>
      </w:r>
      <w:r>
        <w:rPr>
          <w:rFonts w:ascii="Arial;Helvetica;sans-serif" w:hAnsi="Arial;Helvetica;sans-serif"/>
          <w:b w:val="false"/>
          <w:i w:val="false"/>
          <w:caps w:val="false"/>
          <w:smallCaps w:val="false"/>
          <w:color w:val="000000"/>
          <w:spacing w:val="4"/>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225" w:type="dxa"/>
        <w:jc w:val="left"/>
        <w:tblInd w:w="900" w:type="dxa"/>
        <w:tblLayout w:type="fixed"/>
        <w:tblCellMar>
          <w:top w:w="0" w:type="dxa"/>
          <w:left w:w="0" w:type="dxa"/>
          <w:bottom w:w="0" w:type="dxa"/>
          <w:right w:w="0" w:type="dxa"/>
        </w:tblCellMar>
      </w:tblPr>
      <w:tblGrid>
        <w:gridCol w:w="124"/>
        <w:gridCol w:w="346"/>
        <w:gridCol w:w="109"/>
        <w:gridCol w:w="109"/>
        <w:gridCol w:w="4383"/>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62</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383" w:type="dxa"/>
            <w:tcBorders/>
            <w:vAlign w:val="center"/>
          </w:tcPr>
          <w:p>
            <w:pPr>
              <w:pStyle w:val="TableContents"/>
              <w:bidi w:val="0"/>
              <w:spacing w:lineRule="atLeast" w:line="200" w:before="0" w:after="0"/>
              <w:jc w:val="left"/>
              <w:rPr/>
            </w:pPr>
            <w:r>
              <w:rPr>
                <w:spacing w:val="-2"/>
              </w:rPr>
              <w:t>    </w:t>
            </w:r>
            <w:r>
              <w:rPr>
                <w:spacing w:val="-2"/>
                <w:sz w:val="16"/>
              </w:rPr>
              <w:t>SL GREEN REALTY CORP. 2026 PROXY STATEMENT</w:t>
            </w:r>
            <w:r>
              <w:rPr>
                <w:sz w:val="16"/>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50" w:before="560" w:after="154"/>
        <w:ind w:left="9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In reaching our conclusion, we considered the following aspects of our executive compensation plans and policies among others: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204" w:after="0"/>
        <w:ind w:left="11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Performance evaluated based upon achievement of a variety of business objectives and goals.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29540" distB="0" distL="0" distR="0" simplePos="0" locked="0" layoutInCell="1" allowOverlap="1" relativeHeight="698">
                <wp:simplePos x="0" y="0"/>
                <wp:positionH relativeFrom="column">
                  <wp:align>left</wp:align>
                </wp:positionH>
                <wp:positionV relativeFrom="line">
                  <wp:align>top</wp:align>
                </wp:positionV>
                <wp:extent cx="127000" cy="350520"/>
                <wp:effectExtent l="0" t="0" r="0" b="0"/>
                <wp:wrapSquare wrapText="right"/>
                <wp:docPr id="799" name="Frame4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10.2pt;mso-wrap-distance-bottom:0pt;margin-top:10.2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20" w:before="84" w:after="0"/>
        <w:ind w:left="11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Equity compensation mix is balanced between performance-based and time-based equity awards to lessen the likelihood that executives will take unreasonable risks to keep their equity awards “in-the-money.”</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53340" distB="0" distL="0" distR="0" simplePos="0" locked="0" layoutInCell="1" allowOverlap="1" relativeHeight="699">
                <wp:simplePos x="0" y="0"/>
                <wp:positionH relativeFrom="column">
                  <wp:align>left</wp:align>
                </wp:positionH>
                <wp:positionV relativeFrom="line">
                  <wp:align>top</wp:align>
                </wp:positionV>
                <wp:extent cx="127000" cy="350520"/>
                <wp:effectExtent l="0" t="0" r="0" b="0"/>
                <wp:wrapSquare wrapText="right"/>
                <wp:docPr id="800" name="Frame4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4.2pt;mso-wrap-distance-bottom:0pt;margin-top:4.2pt;mso-position-vertical:top;mso-position-vertical-relative:text;margin-left:1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20" w:before="84" w:after="0"/>
        <w:ind w:left="11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Significant portion of incentive compensation issued in the form of long-term incentive awards, tying amounts earned to how we perform over a multi-year period.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53340" distB="0" distL="0" distR="0" simplePos="0" locked="0" layoutInCell="1" allowOverlap="1" relativeHeight="700">
                <wp:simplePos x="0" y="0"/>
                <wp:positionH relativeFrom="column">
                  <wp:align>left</wp:align>
                </wp:positionH>
                <wp:positionV relativeFrom="line">
                  <wp:align>top</wp:align>
                </wp:positionV>
                <wp:extent cx="127000" cy="350520"/>
                <wp:effectExtent l="0" t="0" r="0" b="0"/>
                <wp:wrapSquare wrapText="right"/>
                <wp:docPr id="801" name="Frame4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4.2pt;mso-wrap-distance-bottom:0pt;margin-top:4.2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20" w:before="84" w:after="0"/>
        <w:ind w:left="11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Payouts under annual performance-based awards are based on achieving a minimum level of performance, which award compensation at levels below full target rather than an “all-or-nothing” approach.</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53340" distB="0" distL="0" distR="0" simplePos="0" locked="0" layoutInCell="1" allowOverlap="1" relativeHeight="701">
                <wp:simplePos x="0" y="0"/>
                <wp:positionH relativeFrom="column">
                  <wp:align>left</wp:align>
                </wp:positionH>
                <wp:positionV relativeFrom="line">
                  <wp:align>top</wp:align>
                </wp:positionV>
                <wp:extent cx="127000" cy="350520"/>
                <wp:effectExtent l="0" t="0" r="0" b="0"/>
                <wp:wrapSquare wrapText="right"/>
                <wp:docPr id="802" name="Frame4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4.2pt;mso-wrap-distance-bottom:0pt;margin-top:4.2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20" w:before="84" w:after="0"/>
        <w:ind w:left="11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A significant portion of annual compensation is equity-based compensation. Executives are required to maintain sizable holdings of equity in the Company, aligning an appropriate portion of our executives’ personal wealth to our long-term performance.</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53340" distB="0" distL="0" distR="0" simplePos="0" locked="0" layoutInCell="1" allowOverlap="1" relativeHeight="702">
                <wp:simplePos x="0" y="0"/>
                <wp:positionH relativeFrom="column">
                  <wp:align>left</wp:align>
                </wp:positionH>
                <wp:positionV relativeFrom="line">
                  <wp:align>top</wp:align>
                </wp:positionV>
                <wp:extent cx="127000" cy="350520"/>
                <wp:effectExtent l="0" t="0" r="0" b="0"/>
                <wp:wrapSquare wrapText="right"/>
                <wp:docPr id="803" name="Frame4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4.2pt;mso-wrap-distance-bottom:0pt;margin-top:4.2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20" w:before="84" w:after="0"/>
        <w:ind w:left="11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Recoupment of incentive payments in the event of a required accounting restatement.</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53340" distB="0" distL="0" distR="0" simplePos="0" locked="0" layoutInCell="1" allowOverlap="1" relativeHeight="703">
                <wp:simplePos x="0" y="0"/>
                <wp:positionH relativeFrom="column">
                  <wp:align>left</wp:align>
                </wp:positionH>
                <wp:positionV relativeFrom="line">
                  <wp:align>top</wp:align>
                </wp:positionV>
                <wp:extent cx="127000" cy="350520"/>
                <wp:effectExtent l="0" t="0" r="0" b="0"/>
                <wp:wrapSquare wrapText="right"/>
                <wp:docPr id="804" name="Frame4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4.2pt;mso-wrap-distance-bottom:0pt;margin-top:4.2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Accordingly, although a significant portion of our executives’ compensation is performance-based and “at-risk,” we believe our executive compensation programs are appropriately structured and do not pose a material risk to the Company.</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60" w:before="240" w:after="283"/>
        <w:jc w:val="left"/>
        <w:rPr>
          <w:rFonts w:ascii="Arial;Helvetica;sans-serif" w:hAnsi="Arial;Helvetica;sans-serif"/>
          <w:b/>
          <w:i w:val="false"/>
          <w:caps w:val="false"/>
          <w:smallCaps w:val="false"/>
          <w:color w:val="83AD40"/>
          <w:sz w:val="22"/>
        </w:rPr>
      </w:pPr>
      <w:r>
        <w:rPr>
          <w:rFonts w:ascii="Arial;Helvetica;sans-serif" w:hAnsi="Arial;Helvetica;sans-serif"/>
          <w:b/>
          <w:i w:val="false"/>
          <w:caps w:val="false"/>
          <w:smallCaps w:val="false"/>
          <w:color w:val="83AD40"/>
          <w:spacing w:val="-2"/>
          <w:sz w:val="22"/>
        </w:rPr>
        <w:t>Executive and Director Equity Ownership Guidelines</w:t>
      </w:r>
      <w:r>
        <w:rPr>
          <w:rFonts w:ascii="Arial;Helvetica;sans-serif" w:hAnsi="Arial;Helvetica;sans-serif"/>
          <w:b/>
          <w:i w:val="false"/>
          <w:caps w:val="false"/>
          <w:smallCaps w:val="false"/>
          <w:color w:val="000000"/>
          <w:spacing w:val="4"/>
          <w:sz w:val="22"/>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In furtherance of the Committee’s ongoing efforts to foster an ownership culture among our senior leadership team, we adopted equity ownership guidelines for our named executive officers and non-employee directors, as set forth below:</w:t>
      </w:r>
      <w:r>
        <w:rPr>
          <w:rFonts w:ascii="Arial;Helvetica;sans-serif" w:hAnsi="Arial;Helvetica;sans-serif"/>
          <w:b w:val="false"/>
          <w:i w:val="false"/>
          <w:caps w:val="false"/>
          <w:smallCaps w:val="false"/>
          <w:color w:val="000000"/>
          <w:spacing w:val="4"/>
          <w:sz w:val="18"/>
        </w:rPr>
        <w:t xml:space="preserve"> </w:t>
      </w:r>
    </w:p>
    <w:tbl>
      <w:tblPr>
        <w:tblW w:w="6246" w:type="dxa"/>
        <w:jc w:val="left"/>
        <w:tblInd w:w="900" w:type="dxa"/>
        <w:tblLayout w:type="fixed"/>
        <w:tblCellMar>
          <w:top w:w="0" w:type="dxa"/>
          <w:left w:w="0" w:type="dxa"/>
          <w:bottom w:w="63" w:type="dxa"/>
          <w:right w:w="0" w:type="dxa"/>
        </w:tblCellMar>
      </w:tblPr>
      <w:tblGrid>
        <w:gridCol w:w="3255"/>
        <w:gridCol w:w="109"/>
        <w:gridCol w:w="109"/>
        <w:gridCol w:w="422"/>
        <w:gridCol w:w="422"/>
        <w:gridCol w:w="1347"/>
        <w:gridCol w:w="428"/>
        <w:gridCol w:w="154"/>
      </w:tblGrid>
      <w:tr>
        <w:trPr/>
        <w:tc>
          <w:tcPr>
            <w:tcW w:w="3255" w:type="dxa"/>
            <w:tcBorders>
              <w:bottom w:val="single" w:sz="2" w:space="0" w:color="1F2668"/>
            </w:tcBorders>
            <w:vAlign w:val="center"/>
          </w:tcPr>
          <w:p>
            <w:pPr>
              <w:pStyle w:val="TableContents"/>
              <w:bidi w:val="0"/>
              <w:spacing w:before="0" w:after="283"/>
              <w:jc w:val="left"/>
              <w:rPr>
                <w:spacing w:val="-2"/>
              </w:rPr>
            </w:pPr>
            <w:r>
              <w:rPr>
                <w:spacing w:val="-2"/>
              </w:rPr>
              <w:t xml:space="preserve">Named Executive Officers and </w:t>
              <w:br/>
              <w:t xml:space="preserve">Non-Employee Directors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619" w:type="dxa"/>
            <w:gridSpan w:val="4"/>
            <w:tcBorders>
              <w:bottom w:val="single" w:sz="2" w:space="0" w:color="1F2668"/>
            </w:tcBorders>
            <w:vAlign w:val="center"/>
          </w:tcPr>
          <w:p>
            <w:pPr>
              <w:pStyle w:val="TableContents"/>
              <w:bidi w:val="0"/>
              <w:spacing w:before="0" w:after="0"/>
              <w:jc w:val="right"/>
              <w:rPr/>
            </w:pPr>
            <w:r>
              <w:rPr>
                <w:spacing w:val="-2"/>
              </w:rPr>
              <w:t xml:space="preserve">Multiple of Base Salary or </w:t>
              <w:br/>
              <w:t>Annual Cash Retainer</w:t>
            </w:r>
            <w:r>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255" w:type="dxa"/>
            <w:tcBorders>
              <w:bottom w:val="single" w:sz="2" w:space="0" w:color="4B5088"/>
            </w:tcBorders>
            <w:tcMar>
              <w:bottom w:w="70" w:type="dxa"/>
            </w:tcMar>
            <w:vAlign w:val="center"/>
          </w:tcPr>
          <w:p>
            <w:pPr>
              <w:pStyle w:val="TableContents"/>
              <w:bidi w:val="0"/>
              <w:spacing w:before="0" w:after="283"/>
              <w:jc w:val="left"/>
              <w:rPr>
                <w:spacing w:val="-2"/>
              </w:rPr>
            </w:pPr>
            <w:r>
              <w:rPr>
                <w:spacing w:val="-2"/>
              </w:rPr>
              <w:t xml:space="preserve">Chief Executive Officer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422" w:type="dxa"/>
            <w:tcBorders>
              <w:bottom w:val="single" w:sz="2" w:space="0" w:color="4B5088"/>
            </w:tcBorders>
            <w:tcMar>
              <w:bottom w:w="28" w:type="dxa"/>
            </w:tcMar>
            <w:vAlign w:val="center"/>
          </w:tcPr>
          <w:p>
            <w:pPr>
              <w:pStyle w:val="TableContents"/>
              <w:bidi w:val="0"/>
              <w:spacing w:before="0" w:after="283"/>
              <w:jc w:val="left"/>
              <w:rPr/>
            </w:pPr>
            <w:r>
              <w:rPr/>
              <w:t>​</w:t>
            </w:r>
          </w:p>
        </w:tc>
        <w:tc>
          <w:tcPr>
            <w:tcW w:w="422" w:type="dxa"/>
            <w:tcBorders>
              <w:bottom w:val="single" w:sz="2" w:space="0" w:color="4B5088"/>
            </w:tcBorders>
            <w:tcMar>
              <w:bottom w:w="70" w:type="dxa"/>
            </w:tcMar>
            <w:vAlign w:val="center"/>
          </w:tcPr>
          <w:p>
            <w:pPr>
              <w:pStyle w:val="TableContents"/>
              <w:bidi w:val="0"/>
              <w:spacing w:before="0" w:after="283"/>
              <w:jc w:val="right"/>
              <w:rPr/>
            </w:pPr>
            <w:r>
              <w:rPr/>
              <w:t>​</w:t>
            </w:r>
          </w:p>
        </w:tc>
        <w:tc>
          <w:tcPr>
            <w:tcW w:w="1347" w:type="dxa"/>
            <w:tcBorders>
              <w:bottom w:val="single" w:sz="2" w:space="0" w:color="4B5088"/>
            </w:tcBorders>
            <w:tcMar>
              <w:bottom w:w="70" w:type="dxa"/>
            </w:tcMar>
            <w:vAlign w:val="center"/>
          </w:tcPr>
          <w:p>
            <w:pPr>
              <w:pStyle w:val="TableContents"/>
              <w:bidi w:val="0"/>
              <w:spacing w:before="0" w:after="283"/>
              <w:jc w:val="right"/>
              <w:rPr/>
            </w:pPr>
            <w:r>
              <w:rPr/>
              <w:t>8x</w:t>
            </w:r>
          </w:p>
        </w:tc>
        <w:tc>
          <w:tcPr>
            <w:tcW w:w="428"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255" w:type="dxa"/>
            <w:tcBorders>
              <w:bottom w:val="single" w:sz="2" w:space="0" w:color="4B5088"/>
            </w:tcBorders>
            <w:tcMar>
              <w:bottom w:w="70" w:type="dxa"/>
            </w:tcMar>
            <w:vAlign w:val="center"/>
          </w:tcPr>
          <w:p>
            <w:pPr>
              <w:pStyle w:val="TableContents"/>
              <w:bidi w:val="0"/>
              <w:spacing w:before="0" w:after="283"/>
              <w:jc w:val="left"/>
              <w:rPr>
                <w:spacing w:val="-2"/>
              </w:rPr>
            </w:pPr>
            <w:r>
              <w:rPr>
                <w:spacing w:val="-2"/>
              </w:rPr>
              <w:t xml:space="preserve">Other Named Executive Officers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422" w:type="dxa"/>
            <w:tcBorders>
              <w:bottom w:val="single" w:sz="2" w:space="0" w:color="4B5088"/>
            </w:tcBorders>
            <w:tcMar>
              <w:bottom w:w="28" w:type="dxa"/>
            </w:tcMar>
            <w:vAlign w:val="center"/>
          </w:tcPr>
          <w:p>
            <w:pPr>
              <w:pStyle w:val="TableContents"/>
              <w:bidi w:val="0"/>
              <w:spacing w:before="0" w:after="283"/>
              <w:jc w:val="left"/>
              <w:rPr/>
            </w:pPr>
            <w:r>
              <w:rPr/>
              <w:t>​</w:t>
            </w:r>
          </w:p>
        </w:tc>
        <w:tc>
          <w:tcPr>
            <w:tcW w:w="422" w:type="dxa"/>
            <w:tcBorders>
              <w:bottom w:val="single" w:sz="2" w:space="0" w:color="4B5088"/>
            </w:tcBorders>
            <w:tcMar>
              <w:bottom w:w="70" w:type="dxa"/>
            </w:tcMar>
            <w:vAlign w:val="center"/>
          </w:tcPr>
          <w:p>
            <w:pPr>
              <w:pStyle w:val="TableContents"/>
              <w:bidi w:val="0"/>
              <w:spacing w:before="0" w:after="283"/>
              <w:jc w:val="right"/>
              <w:rPr/>
            </w:pPr>
            <w:r>
              <w:rPr/>
              <w:t>​</w:t>
            </w:r>
          </w:p>
        </w:tc>
        <w:tc>
          <w:tcPr>
            <w:tcW w:w="1347" w:type="dxa"/>
            <w:tcBorders>
              <w:bottom w:val="single" w:sz="2" w:space="0" w:color="4B5088"/>
            </w:tcBorders>
            <w:tcMar>
              <w:bottom w:w="70" w:type="dxa"/>
            </w:tcMar>
            <w:vAlign w:val="center"/>
          </w:tcPr>
          <w:p>
            <w:pPr>
              <w:pStyle w:val="TableContents"/>
              <w:bidi w:val="0"/>
              <w:spacing w:before="0" w:after="283"/>
              <w:jc w:val="right"/>
              <w:rPr/>
            </w:pPr>
            <w:r>
              <w:rPr/>
              <w:t>6x</w:t>
            </w:r>
          </w:p>
        </w:tc>
        <w:tc>
          <w:tcPr>
            <w:tcW w:w="428"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255" w:type="dxa"/>
            <w:tcBorders>
              <w:bottom w:val="single" w:sz="2" w:space="0" w:color="1F2668"/>
            </w:tcBorders>
            <w:tcMar>
              <w:bottom w:w="70" w:type="dxa"/>
            </w:tcMar>
            <w:vAlign w:val="center"/>
          </w:tcPr>
          <w:p>
            <w:pPr>
              <w:pStyle w:val="TableContents"/>
              <w:bidi w:val="0"/>
              <w:spacing w:before="0" w:after="283"/>
              <w:jc w:val="left"/>
              <w:rPr>
                <w:spacing w:val="-2"/>
              </w:rPr>
            </w:pPr>
            <w:r>
              <w:rPr>
                <w:spacing w:val="-2"/>
              </w:rPr>
              <w:t xml:space="preserve">Non-Employee Directors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422" w:type="dxa"/>
            <w:tcBorders>
              <w:bottom w:val="single" w:sz="2" w:space="0" w:color="1F2668"/>
            </w:tcBorders>
            <w:tcMar>
              <w:bottom w:w="28" w:type="dxa"/>
            </w:tcMar>
            <w:vAlign w:val="center"/>
          </w:tcPr>
          <w:p>
            <w:pPr>
              <w:pStyle w:val="TableContents"/>
              <w:bidi w:val="0"/>
              <w:spacing w:before="0" w:after="283"/>
              <w:jc w:val="left"/>
              <w:rPr/>
            </w:pPr>
            <w:r>
              <w:rPr/>
              <w:t>​</w:t>
            </w:r>
          </w:p>
        </w:tc>
        <w:tc>
          <w:tcPr>
            <w:tcW w:w="422" w:type="dxa"/>
            <w:tcBorders>
              <w:bottom w:val="single" w:sz="2" w:space="0" w:color="1F2668"/>
            </w:tcBorders>
            <w:tcMar>
              <w:bottom w:w="70" w:type="dxa"/>
            </w:tcMar>
            <w:vAlign w:val="center"/>
          </w:tcPr>
          <w:p>
            <w:pPr>
              <w:pStyle w:val="TableContents"/>
              <w:bidi w:val="0"/>
              <w:spacing w:before="0" w:after="283"/>
              <w:jc w:val="right"/>
              <w:rPr/>
            </w:pPr>
            <w:r>
              <w:rPr/>
              <w:t>​</w:t>
            </w:r>
          </w:p>
        </w:tc>
        <w:tc>
          <w:tcPr>
            <w:tcW w:w="1347" w:type="dxa"/>
            <w:tcBorders>
              <w:bottom w:val="single" w:sz="2" w:space="0" w:color="1F2668"/>
            </w:tcBorders>
            <w:tcMar>
              <w:bottom w:w="70" w:type="dxa"/>
            </w:tcMar>
            <w:vAlign w:val="center"/>
          </w:tcPr>
          <w:p>
            <w:pPr>
              <w:pStyle w:val="TableContents"/>
              <w:bidi w:val="0"/>
              <w:spacing w:before="0" w:after="283"/>
              <w:jc w:val="right"/>
              <w:rPr/>
            </w:pPr>
            <w:r>
              <w:rPr/>
              <w:t>5x</w:t>
            </w:r>
          </w:p>
        </w:tc>
        <w:tc>
          <w:tcPr>
            <w:tcW w:w="428" w:type="dxa"/>
            <w:tcBorders>
              <w:bottom w:val="single" w:sz="2" w:space="0" w:color="1F266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324" w:after="283"/>
        <w:ind w:left="9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All of our named executive officers hold a significant amount of equity in our Company and are highly incentivized to create sustainable, long-term stockholder value.</w:t>
      </w:r>
      <w:r>
        <w:rPr>
          <w:rFonts w:ascii="Arial;Helvetica;sans-serif" w:hAnsi="Arial;Helvetica;sans-serif"/>
          <w:b w:val="false"/>
          <w:i w:val="false"/>
          <w:caps w:val="false"/>
          <w:smallCaps w:val="false"/>
          <w:color w:val="000000"/>
          <w:spacing w:val="4"/>
          <w:sz w:val="18"/>
        </w:rPr>
        <w:t xml:space="preserve"> </w:t>
      </w:r>
    </w:p>
    <w:tbl>
      <w:tblPr>
        <w:tblW w:w="5833" w:type="dxa"/>
        <w:jc w:val="left"/>
        <w:tblInd w:w="900" w:type="dxa"/>
        <w:tblLayout w:type="fixed"/>
        <w:tblCellMar>
          <w:top w:w="0" w:type="dxa"/>
          <w:left w:w="0" w:type="dxa"/>
          <w:bottom w:w="63" w:type="dxa"/>
          <w:right w:w="0" w:type="dxa"/>
        </w:tblCellMar>
      </w:tblPr>
      <w:tblGrid>
        <w:gridCol w:w="2663"/>
        <w:gridCol w:w="109"/>
        <w:gridCol w:w="109"/>
        <w:gridCol w:w="383"/>
        <w:gridCol w:w="383"/>
        <w:gridCol w:w="1643"/>
        <w:gridCol w:w="389"/>
        <w:gridCol w:w="154"/>
      </w:tblGrid>
      <w:tr>
        <w:trPr/>
        <w:tc>
          <w:tcPr>
            <w:tcW w:w="2663" w:type="dxa"/>
            <w:tcBorders>
              <w:bottom w:val="single" w:sz="2" w:space="0" w:color="1F2668"/>
            </w:tcBorders>
            <w:vAlign w:val="center"/>
          </w:tcPr>
          <w:p>
            <w:pPr>
              <w:pStyle w:val="TableContents"/>
              <w:bidi w:val="0"/>
              <w:spacing w:before="0" w:after="0"/>
              <w:jc w:val="left"/>
              <w:rPr>
                <w:spacing w:val="-2"/>
              </w:rPr>
            </w:pPr>
            <w:r>
              <w:rPr>
                <w:spacing w:val="-2"/>
              </w:rPr>
              <w:t xml:space="preserve">Named Executive Officers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798" w:type="dxa"/>
            <w:gridSpan w:val="4"/>
            <w:tcBorders>
              <w:bottom w:val="single" w:sz="2" w:space="0" w:color="1F2668"/>
            </w:tcBorders>
            <w:vAlign w:val="center"/>
          </w:tcPr>
          <w:p>
            <w:pPr>
              <w:pStyle w:val="TableContents"/>
              <w:bidi w:val="0"/>
              <w:spacing w:lineRule="atLeast" w:line="142" w:before="0" w:after="0"/>
              <w:jc w:val="right"/>
              <w:rPr/>
            </w:pPr>
            <w:r>
              <w:rPr>
                <w:spacing w:val="-2"/>
              </w:rPr>
              <w:t xml:space="preserve">Actual Equity Ownership— </w:t>
              <w:br/>
              <w:t>Multiple of Base Salary</w:t>
            </w:r>
            <w:r>
              <w:rPr>
                <w:b/>
                <w:spacing w:val="-1"/>
                <w:sz w:val="10"/>
              </w:rPr>
              <w:t>(1)</w:t>
            </w:r>
            <w:r>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663" w:type="dxa"/>
            <w:tcBorders>
              <w:bottom w:val="single" w:sz="2" w:space="0" w:color="4B5088"/>
            </w:tcBorders>
            <w:tcMar>
              <w:bottom w:w="70" w:type="dxa"/>
            </w:tcMar>
            <w:vAlign w:val="center"/>
          </w:tcPr>
          <w:p>
            <w:pPr>
              <w:pStyle w:val="TableContents"/>
              <w:bidi w:val="0"/>
              <w:spacing w:before="0" w:after="0"/>
              <w:jc w:val="left"/>
              <w:rPr>
                <w:b/>
              </w:rPr>
            </w:pPr>
            <w:r>
              <w:rPr>
                <w:b/>
                <w:spacing w:val="-2"/>
              </w:rPr>
              <w:t>Marc Holliday</w:t>
            </w:r>
            <w:r>
              <w:rPr>
                <w:b/>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83" w:type="dxa"/>
            <w:tcBorders>
              <w:bottom w:val="single" w:sz="2" w:space="0" w:color="4B5088"/>
            </w:tcBorders>
            <w:tcMar>
              <w:bottom w:w="28" w:type="dxa"/>
            </w:tcMar>
            <w:vAlign w:val="center"/>
          </w:tcPr>
          <w:p>
            <w:pPr>
              <w:pStyle w:val="TableContents"/>
              <w:bidi w:val="0"/>
              <w:spacing w:before="0" w:after="283"/>
              <w:jc w:val="left"/>
              <w:rPr/>
            </w:pPr>
            <w:r>
              <w:rPr/>
              <w:t>​</w:t>
            </w:r>
          </w:p>
        </w:tc>
        <w:tc>
          <w:tcPr>
            <w:tcW w:w="383" w:type="dxa"/>
            <w:tcBorders>
              <w:bottom w:val="single" w:sz="2" w:space="0" w:color="4B5088"/>
            </w:tcBorders>
            <w:tcMar>
              <w:bottom w:w="70" w:type="dxa"/>
            </w:tcMar>
            <w:vAlign w:val="center"/>
          </w:tcPr>
          <w:p>
            <w:pPr>
              <w:pStyle w:val="TableContents"/>
              <w:bidi w:val="0"/>
              <w:spacing w:before="0" w:after="283"/>
              <w:jc w:val="right"/>
              <w:rPr/>
            </w:pPr>
            <w:r>
              <w:rPr/>
              <w:t>​</w:t>
            </w:r>
          </w:p>
        </w:tc>
        <w:tc>
          <w:tcPr>
            <w:tcW w:w="1643" w:type="dxa"/>
            <w:tcBorders>
              <w:bottom w:val="single" w:sz="2" w:space="0" w:color="4B5088"/>
            </w:tcBorders>
            <w:tcMar>
              <w:bottom w:w="70" w:type="dxa"/>
            </w:tcMar>
            <w:vAlign w:val="center"/>
          </w:tcPr>
          <w:p>
            <w:pPr>
              <w:pStyle w:val="TableContents"/>
              <w:bidi w:val="0"/>
              <w:spacing w:before="0" w:after="283"/>
              <w:jc w:val="right"/>
              <w:rPr/>
            </w:pPr>
            <w:r>
              <w:rPr/>
              <w:t>42x</w:t>
            </w:r>
          </w:p>
        </w:tc>
        <w:tc>
          <w:tcPr>
            <w:tcW w:w="389"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663" w:type="dxa"/>
            <w:tcBorders>
              <w:bottom w:val="single" w:sz="2" w:space="0" w:color="4B5088"/>
            </w:tcBorders>
            <w:tcMar>
              <w:bottom w:w="70" w:type="dxa"/>
            </w:tcMar>
            <w:vAlign w:val="center"/>
          </w:tcPr>
          <w:p>
            <w:pPr>
              <w:pStyle w:val="TableContents"/>
              <w:bidi w:val="0"/>
              <w:spacing w:before="0" w:after="0"/>
              <w:jc w:val="left"/>
              <w:rPr>
                <w:b/>
              </w:rPr>
            </w:pPr>
            <w:r>
              <w:rPr>
                <w:b/>
                <w:spacing w:val="-2"/>
              </w:rPr>
              <w:t>Matthew J. DiLiberto</w:t>
            </w:r>
            <w:r>
              <w:rPr>
                <w:b/>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83" w:type="dxa"/>
            <w:tcBorders>
              <w:bottom w:val="single" w:sz="2" w:space="0" w:color="4B5088"/>
            </w:tcBorders>
            <w:tcMar>
              <w:bottom w:w="28" w:type="dxa"/>
            </w:tcMar>
            <w:vAlign w:val="center"/>
          </w:tcPr>
          <w:p>
            <w:pPr>
              <w:pStyle w:val="TableContents"/>
              <w:bidi w:val="0"/>
              <w:spacing w:before="0" w:after="283"/>
              <w:jc w:val="left"/>
              <w:rPr/>
            </w:pPr>
            <w:r>
              <w:rPr/>
              <w:t>​</w:t>
            </w:r>
          </w:p>
        </w:tc>
        <w:tc>
          <w:tcPr>
            <w:tcW w:w="383" w:type="dxa"/>
            <w:tcBorders>
              <w:bottom w:val="single" w:sz="2" w:space="0" w:color="4B5088"/>
            </w:tcBorders>
            <w:tcMar>
              <w:bottom w:w="70" w:type="dxa"/>
            </w:tcMar>
            <w:vAlign w:val="center"/>
          </w:tcPr>
          <w:p>
            <w:pPr>
              <w:pStyle w:val="TableContents"/>
              <w:bidi w:val="0"/>
              <w:spacing w:before="0" w:after="283"/>
              <w:jc w:val="right"/>
              <w:rPr/>
            </w:pPr>
            <w:r>
              <w:rPr/>
              <w:t>​</w:t>
            </w:r>
          </w:p>
        </w:tc>
        <w:tc>
          <w:tcPr>
            <w:tcW w:w="1643" w:type="dxa"/>
            <w:tcBorders>
              <w:bottom w:val="single" w:sz="2" w:space="0" w:color="4B5088"/>
            </w:tcBorders>
            <w:tcMar>
              <w:bottom w:w="70" w:type="dxa"/>
            </w:tcMar>
            <w:vAlign w:val="center"/>
          </w:tcPr>
          <w:p>
            <w:pPr>
              <w:pStyle w:val="TableContents"/>
              <w:bidi w:val="0"/>
              <w:spacing w:before="0" w:after="283"/>
              <w:jc w:val="right"/>
              <w:rPr/>
            </w:pPr>
            <w:r>
              <w:rPr/>
              <w:t>20x</w:t>
            </w:r>
          </w:p>
        </w:tc>
        <w:tc>
          <w:tcPr>
            <w:tcW w:w="389"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663" w:type="dxa"/>
            <w:tcBorders>
              <w:bottom w:val="single" w:sz="2" w:space="0" w:color="1F2668"/>
            </w:tcBorders>
            <w:tcMar>
              <w:bottom w:w="70" w:type="dxa"/>
            </w:tcMar>
            <w:vAlign w:val="center"/>
          </w:tcPr>
          <w:p>
            <w:pPr>
              <w:pStyle w:val="TableContents"/>
              <w:bidi w:val="0"/>
              <w:spacing w:before="0" w:after="0"/>
              <w:jc w:val="left"/>
              <w:rPr>
                <w:b/>
              </w:rPr>
            </w:pPr>
            <w:r>
              <w:rPr>
                <w:b/>
                <w:spacing w:val="-2"/>
              </w:rPr>
              <w:t>Andrew S. Levine</w:t>
            </w:r>
            <w:r>
              <w:rPr>
                <w:b/>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83" w:type="dxa"/>
            <w:tcBorders>
              <w:bottom w:val="single" w:sz="2" w:space="0" w:color="1F2668"/>
            </w:tcBorders>
            <w:tcMar>
              <w:bottom w:w="28" w:type="dxa"/>
            </w:tcMar>
            <w:vAlign w:val="center"/>
          </w:tcPr>
          <w:p>
            <w:pPr>
              <w:pStyle w:val="TableContents"/>
              <w:bidi w:val="0"/>
              <w:spacing w:before="0" w:after="283"/>
              <w:jc w:val="left"/>
              <w:rPr/>
            </w:pPr>
            <w:r>
              <w:rPr/>
              <w:t>​</w:t>
            </w:r>
          </w:p>
        </w:tc>
        <w:tc>
          <w:tcPr>
            <w:tcW w:w="383" w:type="dxa"/>
            <w:tcBorders>
              <w:bottom w:val="single" w:sz="2" w:space="0" w:color="1F2668"/>
            </w:tcBorders>
            <w:tcMar>
              <w:bottom w:w="70" w:type="dxa"/>
            </w:tcMar>
            <w:vAlign w:val="center"/>
          </w:tcPr>
          <w:p>
            <w:pPr>
              <w:pStyle w:val="TableContents"/>
              <w:bidi w:val="0"/>
              <w:spacing w:before="0" w:after="283"/>
              <w:jc w:val="right"/>
              <w:rPr/>
            </w:pPr>
            <w:r>
              <w:rPr/>
              <w:t>​</w:t>
            </w:r>
          </w:p>
        </w:tc>
        <w:tc>
          <w:tcPr>
            <w:tcW w:w="1643" w:type="dxa"/>
            <w:tcBorders>
              <w:bottom w:val="single" w:sz="2" w:space="0" w:color="1F2668"/>
            </w:tcBorders>
            <w:tcMar>
              <w:bottom w:w="70" w:type="dxa"/>
            </w:tcMar>
            <w:vAlign w:val="center"/>
          </w:tcPr>
          <w:p>
            <w:pPr>
              <w:pStyle w:val="TableContents"/>
              <w:bidi w:val="0"/>
              <w:spacing w:before="0" w:after="283"/>
              <w:jc w:val="right"/>
              <w:rPr/>
            </w:pPr>
            <w:r>
              <w:rPr/>
              <w:t>18x</w:t>
            </w:r>
          </w:p>
        </w:tc>
        <w:tc>
          <w:tcPr>
            <w:tcW w:w="389" w:type="dxa"/>
            <w:tcBorders>
              <w:bottom w:val="single" w:sz="2" w:space="0" w:color="1F266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254"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As of March 31, 2026. Includes unvested time-based equity awards and earned but unvested performance-based awards. Does not include unearned performance-based awards that are still subject to performance-based conditions.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61290" distB="0" distL="0" distR="0" simplePos="0" locked="0" layoutInCell="1" allowOverlap="1" relativeHeight="704">
                <wp:simplePos x="0" y="0"/>
                <wp:positionH relativeFrom="column">
                  <wp:align>left</wp:align>
                </wp:positionH>
                <wp:positionV relativeFrom="line">
                  <wp:align>top</wp:align>
                </wp:positionV>
                <wp:extent cx="254000" cy="254000"/>
                <wp:effectExtent l="0" t="0" r="0" b="0"/>
                <wp:wrapSquare wrapText="right"/>
                <wp:docPr id="805" name="Frame455"/>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2"/>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12.7pt;mso-wrap-distance-bottom:0pt;margin-top:12.7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2"/>
                          <w:sz w:val="16"/>
                        </w:rPr>
                        <w:t>(1)</w:t>
                      </w:r>
                      <w:r>
                        <w:rPr>
                          <w:sz w:val="16"/>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60" w:before="240" w:after="283"/>
        <w:jc w:val="left"/>
        <w:rPr>
          <w:rFonts w:ascii="Arial;Helvetica;sans-serif" w:hAnsi="Arial;Helvetica;sans-serif"/>
          <w:b/>
          <w:i w:val="false"/>
          <w:caps w:val="false"/>
          <w:smallCaps w:val="false"/>
          <w:color w:val="83AD40"/>
          <w:sz w:val="22"/>
        </w:rPr>
      </w:pPr>
      <w:r>
        <w:rPr>
          <w:rFonts w:ascii="Arial;Helvetica;sans-serif" w:hAnsi="Arial;Helvetica;sans-serif"/>
          <w:b/>
          <w:i w:val="false"/>
          <w:caps w:val="false"/>
          <w:smallCaps w:val="false"/>
          <w:color w:val="83AD40"/>
          <w:spacing w:val="-2"/>
          <w:sz w:val="22"/>
        </w:rPr>
        <w:t>Annual Equity Award Performance Summary (2023-2025)</w:t>
      </w:r>
      <w:r>
        <w:rPr>
          <w:rFonts w:ascii="Arial;Helvetica;sans-serif" w:hAnsi="Arial;Helvetica;sans-serif"/>
          <w:b/>
          <w:i w:val="false"/>
          <w:caps w:val="false"/>
          <w:smallCaps w:val="false"/>
          <w:color w:val="000000"/>
          <w:spacing w:val="4"/>
          <w:sz w:val="22"/>
        </w:rPr>
        <w:t xml:space="preserve"> </w:t>
      </w:r>
    </w:p>
    <w:tbl>
      <w:tblPr>
        <w:tblW w:w="9305" w:type="dxa"/>
        <w:jc w:val="left"/>
        <w:tblInd w:w="900" w:type="dxa"/>
        <w:tblLayout w:type="fixed"/>
        <w:tblCellMar>
          <w:top w:w="0" w:type="dxa"/>
          <w:left w:w="0" w:type="dxa"/>
          <w:bottom w:w="63" w:type="dxa"/>
          <w:right w:w="0" w:type="dxa"/>
        </w:tblCellMar>
      </w:tblPr>
      <w:tblGrid>
        <w:gridCol w:w="3543"/>
        <w:gridCol w:w="109"/>
        <w:gridCol w:w="109"/>
        <w:gridCol w:w="2222"/>
        <w:gridCol w:w="109"/>
        <w:gridCol w:w="109"/>
        <w:gridCol w:w="2949"/>
        <w:gridCol w:w="155"/>
      </w:tblGrid>
      <w:tr>
        <w:trPr/>
        <w:tc>
          <w:tcPr>
            <w:tcW w:w="3543" w:type="dxa"/>
            <w:tcBorders>
              <w:bottom w:val="single" w:sz="2" w:space="0" w:color="1F2668"/>
            </w:tcBorders>
            <w:vAlign w:val="center"/>
          </w:tcPr>
          <w:p>
            <w:pPr>
              <w:pStyle w:val="TableContents"/>
              <w:bidi w:val="0"/>
              <w:spacing w:before="0" w:after="0"/>
              <w:jc w:val="left"/>
              <w:rPr>
                <w:spacing w:val="-2"/>
              </w:rPr>
            </w:pPr>
            <w:r>
              <w:rPr>
                <w:spacing w:val="-2"/>
              </w:rPr>
              <w:t xml:space="preserve">Operational Awards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22" w:type="dxa"/>
            <w:tcBorders>
              <w:bottom w:val="single" w:sz="2" w:space="0" w:color="1F2668"/>
            </w:tcBorders>
            <w:vAlign w:val="center"/>
          </w:tcPr>
          <w:p>
            <w:pPr>
              <w:pStyle w:val="TableContents"/>
              <w:bidi w:val="0"/>
              <w:spacing w:before="0" w:after="0"/>
              <w:jc w:val="right"/>
              <w:rPr/>
            </w:pPr>
            <w:r>
              <w:rPr>
                <w:spacing w:val="-2"/>
              </w:rPr>
              <w:t xml:space="preserve">Actual / Projected Percentage </w:t>
              <w:br/>
              <w:t>Earned as of 12/31/2025</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949" w:type="dxa"/>
            <w:tcBorders>
              <w:bottom w:val="single" w:sz="2" w:space="0" w:color="1F2668"/>
            </w:tcBorders>
            <w:vAlign w:val="center"/>
          </w:tcPr>
          <w:p>
            <w:pPr>
              <w:pStyle w:val="TableContents"/>
              <w:bidi w:val="0"/>
              <w:spacing w:before="0" w:after="0"/>
              <w:jc w:val="right"/>
              <w:rPr/>
            </w:pPr>
            <w:r>
              <w:rPr>
                <w:spacing w:val="-2"/>
              </w:rPr>
              <w:t xml:space="preserve">Actual / Projected Absolute TSR Modifier </w:t>
              <w:br/>
              <w:t>as of 12/31/2025</w:t>
            </w:r>
            <w:r>
              <w:rPr/>
              <w:t xml:space="preserve">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543" w:type="dxa"/>
            <w:tcBorders>
              <w:bottom w:val="single" w:sz="2" w:space="0" w:color="4B5088"/>
            </w:tcBorders>
            <w:tcMar>
              <w:bottom w:w="70" w:type="dxa"/>
            </w:tcMar>
            <w:vAlign w:val="center"/>
          </w:tcPr>
          <w:p>
            <w:pPr>
              <w:pStyle w:val="TableContents"/>
              <w:bidi w:val="0"/>
              <w:spacing w:before="0" w:after="283"/>
              <w:jc w:val="left"/>
              <w:rPr>
                <w:spacing w:val="-2"/>
              </w:rPr>
            </w:pPr>
            <w:r>
              <w:rPr>
                <w:spacing w:val="-2"/>
              </w:rPr>
              <w:t xml:space="preserve">2025 Outperformance Modifier (CEO)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22" w:type="dxa"/>
            <w:tcBorders>
              <w:bottom w:val="single" w:sz="2" w:space="0" w:color="4B5088"/>
            </w:tcBorders>
            <w:tcMar>
              <w:bottom w:w="70" w:type="dxa"/>
            </w:tcMar>
            <w:vAlign w:val="center"/>
          </w:tcPr>
          <w:p>
            <w:pPr>
              <w:pStyle w:val="TableContents"/>
              <w:bidi w:val="0"/>
              <w:spacing w:before="0" w:after="0"/>
              <w:jc w:val="right"/>
              <w:rPr/>
            </w:pPr>
            <w:r>
              <w:rPr>
                <w:spacing w:val="-2"/>
              </w:rPr>
              <w:t>112.04% (Projected)</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949" w:type="dxa"/>
            <w:tcBorders>
              <w:bottom w:val="single" w:sz="2" w:space="0" w:color="4B5088"/>
            </w:tcBorders>
            <w:tcMar>
              <w:bottom w:w="70" w:type="dxa"/>
            </w:tcMar>
            <w:vAlign w:val="center"/>
          </w:tcPr>
          <w:p>
            <w:pPr>
              <w:pStyle w:val="TableContents"/>
              <w:bidi w:val="0"/>
              <w:spacing w:before="0" w:after="0"/>
              <w:jc w:val="right"/>
              <w:rPr/>
            </w:pPr>
            <w:r>
              <w:rPr>
                <w:spacing w:val="-2"/>
              </w:rPr>
              <w:t>N/A</w:t>
            </w:r>
            <w:r>
              <w:rPr/>
              <w:t xml:space="preserve">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543" w:type="dxa"/>
            <w:tcBorders>
              <w:bottom w:val="single" w:sz="2" w:space="0" w:color="4B5088"/>
            </w:tcBorders>
            <w:tcMar>
              <w:bottom w:w="70" w:type="dxa"/>
            </w:tcMar>
            <w:vAlign w:val="center"/>
          </w:tcPr>
          <w:p>
            <w:pPr>
              <w:pStyle w:val="TableContents"/>
              <w:bidi w:val="0"/>
              <w:spacing w:before="0" w:after="283"/>
              <w:jc w:val="left"/>
              <w:rPr>
                <w:spacing w:val="-2"/>
              </w:rPr>
            </w:pPr>
            <w:r>
              <w:rPr>
                <w:spacing w:val="-2"/>
              </w:rPr>
              <w:t xml:space="preserve">2025 Operational Component (CFO)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22" w:type="dxa"/>
            <w:tcBorders>
              <w:bottom w:val="single" w:sz="2" w:space="0" w:color="4B5088"/>
            </w:tcBorders>
            <w:tcMar>
              <w:bottom w:w="70" w:type="dxa"/>
            </w:tcMar>
            <w:vAlign w:val="center"/>
          </w:tcPr>
          <w:p>
            <w:pPr>
              <w:pStyle w:val="TableContents"/>
              <w:bidi w:val="0"/>
              <w:spacing w:before="0" w:after="0"/>
              <w:jc w:val="right"/>
              <w:rPr/>
            </w:pPr>
            <w:r>
              <w:rPr>
                <w:spacing w:val="-2"/>
              </w:rPr>
              <w:t>125.00% (Actual)</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949" w:type="dxa"/>
            <w:tcBorders>
              <w:bottom w:val="single" w:sz="2" w:space="0" w:color="4B5088"/>
            </w:tcBorders>
            <w:tcMar>
              <w:bottom w:w="70" w:type="dxa"/>
            </w:tcMar>
            <w:vAlign w:val="center"/>
          </w:tcPr>
          <w:p>
            <w:pPr>
              <w:pStyle w:val="TableContents"/>
              <w:bidi w:val="0"/>
              <w:spacing w:before="0" w:after="0"/>
              <w:jc w:val="right"/>
              <w:rPr/>
            </w:pPr>
            <w:r>
              <w:rPr>
                <w:spacing w:val="-2"/>
              </w:rPr>
              <w:t>-12.5% (Projected)</w:t>
            </w:r>
            <w:r>
              <w:rPr/>
              <w:t xml:space="preserve">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543" w:type="dxa"/>
            <w:tcBorders>
              <w:bottom w:val="single" w:sz="2" w:space="0" w:color="4B5088"/>
            </w:tcBorders>
            <w:tcMar>
              <w:bottom w:w="70" w:type="dxa"/>
            </w:tcMar>
            <w:vAlign w:val="center"/>
          </w:tcPr>
          <w:p>
            <w:pPr>
              <w:pStyle w:val="TableContents"/>
              <w:bidi w:val="0"/>
              <w:spacing w:before="0" w:after="283"/>
              <w:jc w:val="left"/>
              <w:rPr>
                <w:spacing w:val="-2"/>
              </w:rPr>
            </w:pPr>
            <w:r>
              <w:rPr>
                <w:spacing w:val="-2"/>
              </w:rPr>
              <w:t xml:space="preserve">2025 Operational Component (General Counsel)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22" w:type="dxa"/>
            <w:tcBorders>
              <w:bottom w:val="single" w:sz="2" w:space="0" w:color="4B5088"/>
            </w:tcBorders>
            <w:tcMar>
              <w:bottom w:w="70" w:type="dxa"/>
            </w:tcMar>
            <w:vAlign w:val="center"/>
          </w:tcPr>
          <w:p>
            <w:pPr>
              <w:pStyle w:val="TableContents"/>
              <w:bidi w:val="0"/>
              <w:spacing w:before="0" w:after="0"/>
              <w:jc w:val="right"/>
              <w:rPr/>
            </w:pPr>
            <w:r>
              <w:rPr>
                <w:spacing w:val="-2"/>
              </w:rPr>
              <w:t>112.04% (Projected)</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949" w:type="dxa"/>
            <w:tcBorders>
              <w:bottom w:val="single" w:sz="2" w:space="0" w:color="4B5088"/>
            </w:tcBorders>
            <w:tcMar>
              <w:bottom w:w="70" w:type="dxa"/>
            </w:tcMar>
            <w:vAlign w:val="center"/>
          </w:tcPr>
          <w:p>
            <w:pPr>
              <w:pStyle w:val="TableContents"/>
              <w:bidi w:val="0"/>
              <w:spacing w:before="0" w:after="0"/>
              <w:jc w:val="right"/>
              <w:rPr/>
            </w:pPr>
            <w:r>
              <w:rPr>
                <w:spacing w:val="-2"/>
              </w:rPr>
              <w:t>-12.5% (Projected)</w:t>
            </w:r>
            <w:r>
              <w:rPr/>
              <w:t xml:space="preserve">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543" w:type="dxa"/>
            <w:tcBorders>
              <w:bottom w:val="single" w:sz="2" w:space="0" w:color="4B5088"/>
            </w:tcBorders>
            <w:tcMar>
              <w:bottom w:w="70" w:type="dxa"/>
            </w:tcMar>
            <w:vAlign w:val="center"/>
          </w:tcPr>
          <w:p>
            <w:pPr>
              <w:pStyle w:val="TableContents"/>
              <w:bidi w:val="0"/>
              <w:spacing w:before="0" w:after="283"/>
              <w:jc w:val="left"/>
              <w:rPr>
                <w:spacing w:val="-2"/>
              </w:rPr>
            </w:pPr>
            <w:r>
              <w:rPr>
                <w:spacing w:val="-2"/>
              </w:rPr>
              <w:t xml:space="preserve">2024 Operational Component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22" w:type="dxa"/>
            <w:tcBorders>
              <w:bottom w:val="single" w:sz="2" w:space="0" w:color="4B5088"/>
            </w:tcBorders>
            <w:tcMar>
              <w:bottom w:w="70" w:type="dxa"/>
            </w:tcMar>
            <w:vAlign w:val="center"/>
          </w:tcPr>
          <w:p>
            <w:pPr>
              <w:pStyle w:val="TableContents"/>
              <w:bidi w:val="0"/>
              <w:spacing w:before="0" w:after="0"/>
              <w:jc w:val="right"/>
              <w:rPr/>
            </w:pPr>
            <w:r>
              <w:rPr>
                <w:spacing w:val="-2"/>
              </w:rPr>
              <w:t>160.00% (Actual)</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949" w:type="dxa"/>
            <w:tcBorders>
              <w:bottom w:val="single" w:sz="2" w:space="0" w:color="4B5088"/>
            </w:tcBorders>
            <w:tcMar>
              <w:bottom w:w="70" w:type="dxa"/>
            </w:tcMar>
            <w:vAlign w:val="center"/>
          </w:tcPr>
          <w:p>
            <w:pPr>
              <w:pStyle w:val="TableContents"/>
              <w:bidi w:val="0"/>
              <w:spacing w:before="0" w:after="0"/>
              <w:jc w:val="right"/>
              <w:rPr/>
            </w:pPr>
            <w:r>
              <w:rPr>
                <w:spacing w:val="-2"/>
              </w:rPr>
              <w:t>-4.21% (Projected)</w:t>
            </w:r>
            <w:r>
              <w:rPr/>
              <w:t xml:space="preserve">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543" w:type="dxa"/>
            <w:tcBorders>
              <w:bottom w:val="single" w:sz="2" w:space="0" w:color="1F2668"/>
            </w:tcBorders>
            <w:tcMar>
              <w:bottom w:w="70" w:type="dxa"/>
            </w:tcMar>
            <w:vAlign w:val="center"/>
          </w:tcPr>
          <w:p>
            <w:pPr>
              <w:pStyle w:val="TableContents"/>
              <w:bidi w:val="0"/>
              <w:spacing w:before="0" w:after="283"/>
              <w:jc w:val="left"/>
              <w:rPr>
                <w:spacing w:val="-2"/>
              </w:rPr>
            </w:pPr>
            <w:r>
              <w:rPr>
                <w:spacing w:val="-2"/>
              </w:rPr>
              <w:t xml:space="preserve">2023 Operational Component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22" w:type="dxa"/>
            <w:tcBorders>
              <w:bottom w:val="single" w:sz="2" w:space="0" w:color="1F2668"/>
            </w:tcBorders>
            <w:tcMar>
              <w:bottom w:w="70" w:type="dxa"/>
            </w:tcMar>
            <w:vAlign w:val="center"/>
          </w:tcPr>
          <w:p>
            <w:pPr>
              <w:pStyle w:val="TableContents"/>
              <w:bidi w:val="0"/>
              <w:spacing w:before="0" w:after="0"/>
              <w:jc w:val="right"/>
              <w:rPr/>
            </w:pPr>
            <w:r>
              <w:rPr>
                <w:spacing w:val="-2"/>
              </w:rPr>
              <w:t>88.00% (Actual)</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949" w:type="dxa"/>
            <w:tcBorders>
              <w:bottom w:val="single" w:sz="2" w:space="0" w:color="1F2668"/>
            </w:tcBorders>
            <w:tcMar>
              <w:bottom w:w="70" w:type="dxa"/>
            </w:tcMar>
            <w:vAlign w:val="center"/>
          </w:tcPr>
          <w:p>
            <w:pPr>
              <w:pStyle w:val="TableContents"/>
              <w:bidi w:val="0"/>
              <w:spacing w:before="0" w:after="0"/>
              <w:jc w:val="right"/>
              <w:rPr/>
            </w:pPr>
            <w:r>
              <w:rPr>
                <w:spacing w:val="-2"/>
              </w:rPr>
              <w:t>+12.5% (Actual)</w:t>
            </w:r>
            <w:r>
              <w:rPr/>
              <w:t xml:space="preserve">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4330" w:type="dxa"/>
        <w:jc w:val="left"/>
        <w:tblInd w:w="900" w:type="dxa"/>
        <w:tblLayout w:type="fixed"/>
        <w:tblCellMar>
          <w:top w:w="0" w:type="dxa"/>
          <w:left w:w="0" w:type="dxa"/>
          <w:bottom w:w="0" w:type="dxa"/>
          <w:right w:w="0" w:type="dxa"/>
        </w:tblCellMar>
      </w:tblPr>
      <w:tblGrid>
        <w:gridCol w:w="124"/>
        <w:gridCol w:w="3488"/>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3488" w:type="dxa"/>
            <w:tcBorders/>
            <w:vAlign w:val="center"/>
          </w:tcPr>
          <w:p>
            <w:pPr>
              <w:pStyle w:val="TableContents"/>
              <w:bidi w:val="0"/>
              <w:spacing w:lineRule="atLeast" w:line="200" w:before="0" w:after="0"/>
              <w:jc w:val="left"/>
              <w:rPr/>
            </w:pPr>
            <w:r>
              <w:rPr>
                <w:spacing w:val="-2"/>
              </w:rPr>
              <w:t>EXECUTIVE COMPENSATION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color w:val="1F2668"/>
                <w:sz w:val="24"/>
              </w:rPr>
            </w:pPr>
            <w:r>
              <w:rPr>
                <w:color w:val="1F2668"/>
                <w:sz w:val="24"/>
              </w:rPr>
              <w:t>63</w:t>
            </w:r>
          </w:p>
        </w:tc>
        <w:tc>
          <w:tcPr>
            <w:tcW w:w="154" w:type="dxa"/>
            <w:tcBorders/>
            <w:vAlign w:val="center"/>
          </w:tcPr>
          <w:p>
            <w:pPr>
              <w:pStyle w:val="TableContents"/>
              <w:bidi w:val="0"/>
              <w:spacing w:before="0" w:after="283"/>
              <w:jc w:val="left"/>
              <w:rPr/>
            </w:pPr>
            <w:r>
              <w:rPr/>
              <w:t>​</w:t>
            </w:r>
          </w:p>
        </w:tc>
      </w:tr>
    </w:tbl>
    <w:tbl>
      <w:tblPr>
        <w:tblW w:w="9305" w:type="dxa"/>
        <w:jc w:val="left"/>
        <w:tblInd w:w="900" w:type="dxa"/>
        <w:tblLayout w:type="fixed"/>
        <w:tblCellMar>
          <w:top w:w="0" w:type="dxa"/>
          <w:left w:w="0" w:type="dxa"/>
          <w:bottom w:w="63" w:type="dxa"/>
          <w:right w:w="0" w:type="dxa"/>
        </w:tblCellMar>
      </w:tblPr>
      <w:tblGrid>
        <w:gridCol w:w="2360"/>
        <w:gridCol w:w="109"/>
        <w:gridCol w:w="109"/>
        <w:gridCol w:w="2128"/>
        <w:gridCol w:w="109"/>
        <w:gridCol w:w="109"/>
        <w:gridCol w:w="1937"/>
        <w:gridCol w:w="109"/>
        <w:gridCol w:w="109"/>
        <w:gridCol w:w="2070"/>
        <w:gridCol w:w="156"/>
      </w:tblGrid>
      <w:tr>
        <w:trPr/>
        <w:tc>
          <w:tcPr>
            <w:tcW w:w="2360" w:type="dxa"/>
            <w:tcBorders>
              <w:bottom w:val="single" w:sz="2" w:space="0" w:color="1F2668"/>
            </w:tcBorders>
            <w:vAlign w:val="center"/>
          </w:tcPr>
          <w:p>
            <w:pPr>
              <w:pStyle w:val="TableContents"/>
              <w:bidi w:val="0"/>
              <w:spacing w:before="0" w:after="0"/>
              <w:jc w:val="left"/>
              <w:rPr>
                <w:spacing w:val="-2"/>
              </w:rPr>
            </w:pPr>
            <w:r>
              <w:rPr>
                <w:spacing w:val="-2"/>
              </w:rPr>
              <w:t xml:space="preserve">Relative Awards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128" w:type="dxa"/>
            <w:tcBorders>
              <w:bottom w:val="single" w:sz="2" w:space="0" w:color="1F2668"/>
            </w:tcBorders>
            <w:vAlign w:val="center"/>
          </w:tcPr>
          <w:p>
            <w:pPr>
              <w:pStyle w:val="TableContents"/>
              <w:bidi w:val="0"/>
              <w:spacing w:before="0" w:after="0"/>
              <w:jc w:val="right"/>
              <w:rPr/>
            </w:pPr>
            <w:r>
              <w:rPr>
                <w:spacing w:val="-2"/>
              </w:rPr>
              <w:t xml:space="preserve">Actual / Projected Percentile Rank </w:t>
              <w:br/>
              <w:t>as of 12/31/2025</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37" w:type="dxa"/>
            <w:tcBorders>
              <w:bottom w:val="single" w:sz="2" w:space="0" w:color="1F2668"/>
            </w:tcBorders>
            <w:vAlign w:val="center"/>
          </w:tcPr>
          <w:p>
            <w:pPr>
              <w:pStyle w:val="TableContents"/>
              <w:bidi w:val="0"/>
              <w:spacing w:before="0" w:after="0"/>
              <w:jc w:val="right"/>
              <w:rPr/>
            </w:pPr>
            <w:r>
              <w:rPr>
                <w:spacing w:val="-2"/>
              </w:rPr>
              <w:t xml:space="preserve">Actual / Projected Percentage </w:t>
              <w:br/>
              <w:t>Earned as of 12/31/2025</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070" w:type="dxa"/>
            <w:tcBorders>
              <w:bottom w:val="single" w:sz="2" w:space="0" w:color="1F2668"/>
            </w:tcBorders>
            <w:vAlign w:val="center"/>
          </w:tcPr>
          <w:p>
            <w:pPr>
              <w:pStyle w:val="TableContents"/>
              <w:bidi w:val="0"/>
              <w:spacing w:lineRule="atLeast" w:line="142" w:before="0" w:after="0"/>
              <w:jc w:val="right"/>
              <w:rPr/>
            </w:pPr>
            <w:r>
              <w:rPr>
                <w:spacing w:val="-2"/>
              </w:rPr>
              <w:t xml:space="preserve">Actual / Projected Absolute TSR </w:t>
              <w:br/>
              <w:t>Modifier as of 12/31/2025</w:t>
            </w:r>
            <w:r>
              <w:rPr>
                <w:spacing w:val="-1"/>
                <w:sz w:val="10"/>
              </w:rPr>
              <w:t>(1)</w:t>
            </w:r>
            <w:r>
              <w:rPr/>
              <w:t xml:space="preserve">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360" w:type="dxa"/>
            <w:tcBorders>
              <w:bottom w:val="single" w:sz="2" w:space="0" w:color="4B5088"/>
            </w:tcBorders>
            <w:vAlign w:val="center"/>
          </w:tcPr>
          <w:p>
            <w:pPr>
              <w:pStyle w:val="TableContents"/>
              <w:bidi w:val="0"/>
              <w:spacing w:before="0" w:after="283"/>
              <w:jc w:val="left"/>
              <w:rPr>
                <w:spacing w:val="-2"/>
              </w:rPr>
            </w:pPr>
            <w:r>
              <w:rPr>
                <w:spacing w:val="-2"/>
              </w:rPr>
              <w:t xml:space="preserve">2025 Relative TSR vs. Office REIT Peers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128" w:type="dxa"/>
            <w:tcBorders>
              <w:bottom w:val="single" w:sz="2" w:space="0" w:color="4B5088"/>
            </w:tcBorders>
            <w:vAlign w:val="center"/>
          </w:tcPr>
          <w:p>
            <w:pPr>
              <w:pStyle w:val="TableContents"/>
              <w:bidi w:val="0"/>
              <w:spacing w:before="0" w:after="0"/>
              <w:jc w:val="right"/>
              <w:rPr/>
            </w:pPr>
            <w:r>
              <w:rPr>
                <w:spacing w:val="-2"/>
              </w:rPr>
              <w:t>38th Percentile (Projected)</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37" w:type="dxa"/>
            <w:tcBorders>
              <w:bottom w:val="single" w:sz="2" w:space="0" w:color="4B5088"/>
            </w:tcBorders>
            <w:vAlign w:val="center"/>
          </w:tcPr>
          <w:p>
            <w:pPr>
              <w:pStyle w:val="TableContents"/>
              <w:bidi w:val="0"/>
              <w:spacing w:before="0" w:after="0"/>
              <w:jc w:val="right"/>
              <w:rPr/>
            </w:pPr>
            <w:r>
              <w:rPr>
                <w:spacing w:val="-2"/>
              </w:rPr>
              <w:t>66.92% (Projected)</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070" w:type="dxa"/>
            <w:tcBorders>
              <w:bottom w:val="single" w:sz="2" w:space="0" w:color="4B5088"/>
            </w:tcBorders>
            <w:vAlign w:val="center"/>
          </w:tcPr>
          <w:p>
            <w:pPr>
              <w:pStyle w:val="TableContents"/>
              <w:bidi w:val="0"/>
              <w:spacing w:before="0" w:after="0"/>
              <w:jc w:val="right"/>
              <w:rPr/>
            </w:pPr>
            <w:r>
              <w:rPr>
                <w:spacing w:val="-2"/>
              </w:rPr>
              <w:t>- 25.0% (Projected)</w:t>
            </w:r>
            <w:r>
              <w:rPr/>
              <w:t xml:space="preserve">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360" w:type="dxa"/>
            <w:tcBorders>
              <w:bottom w:val="single" w:sz="2" w:space="0" w:color="4B5088"/>
            </w:tcBorders>
            <w:vAlign w:val="center"/>
          </w:tcPr>
          <w:p>
            <w:pPr>
              <w:pStyle w:val="TableContents"/>
              <w:bidi w:val="0"/>
              <w:spacing w:before="0" w:after="283"/>
              <w:jc w:val="left"/>
              <w:rPr>
                <w:spacing w:val="-2"/>
              </w:rPr>
            </w:pPr>
            <w:r>
              <w:rPr>
                <w:spacing w:val="-2"/>
              </w:rPr>
              <w:t xml:space="preserve">2025 Relative TSR vs. NYC REIT Peers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128" w:type="dxa"/>
            <w:tcBorders>
              <w:bottom w:val="single" w:sz="2" w:space="0" w:color="4B5088"/>
            </w:tcBorders>
            <w:vAlign w:val="center"/>
          </w:tcPr>
          <w:p>
            <w:pPr>
              <w:pStyle w:val="TableContents"/>
              <w:bidi w:val="0"/>
              <w:spacing w:before="0" w:after="0"/>
              <w:jc w:val="right"/>
              <w:rPr/>
            </w:pPr>
            <w:r>
              <w:rPr>
                <w:spacing w:val="-2"/>
              </w:rPr>
              <w:t>25th Percentile (Projected)</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37" w:type="dxa"/>
            <w:tcBorders>
              <w:bottom w:val="single" w:sz="2" w:space="0" w:color="4B5088"/>
            </w:tcBorders>
            <w:vAlign w:val="center"/>
          </w:tcPr>
          <w:p>
            <w:pPr>
              <w:pStyle w:val="TableContents"/>
              <w:bidi w:val="0"/>
              <w:spacing w:before="0" w:after="0"/>
              <w:jc w:val="right"/>
              <w:rPr/>
            </w:pPr>
            <w:r>
              <w:rPr>
                <w:spacing w:val="-2"/>
              </w:rPr>
              <w:t>0.00% (Projected)</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070" w:type="dxa"/>
            <w:tcBorders>
              <w:bottom w:val="single" w:sz="2" w:space="0" w:color="4B5088"/>
            </w:tcBorders>
            <w:vAlign w:val="center"/>
          </w:tcPr>
          <w:p>
            <w:pPr>
              <w:pStyle w:val="TableContents"/>
              <w:bidi w:val="0"/>
              <w:spacing w:before="0" w:after="0"/>
              <w:jc w:val="right"/>
              <w:rPr/>
            </w:pPr>
            <w:r>
              <w:rPr>
                <w:spacing w:val="-2"/>
              </w:rPr>
              <w:t>- 25.0% (Projected)</w:t>
            </w:r>
            <w:r>
              <w:rPr/>
              <w:t xml:space="preserve">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360" w:type="dxa"/>
            <w:tcBorders>
              <w:bottom w:val="single" w:sz="2" w:space="0" w:color="4B5088"/>
            </w:tcBorders>
            <w:vAlign w:val="center"/>
          </w:tcPr>
          <w:p>
            <w:pPr>
              <w:pStyle w:val="TableContents"/>
              <w:bidi w:val="0"/>
              <w:spacing w:before="0" w:after="283"/>
              <w:jc w:val="left"/>
              <w:rPr>
                <w:spacing w:val="-2"/>
              </w:rPr>
            </w:pPr>
            <w:r>
              <w:rPr>
                <w:spacing w:val="-2"/>
              </w:rPr>
              <w:t xml:space="preserve">2024 Relative TSR vs. Office REIT Peers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128" w:type="dxa"/>
            <w:tcBorders>
              <w:bottom w:val="single" w:sz="2" w:space="0" w:color="4B5088"/>
            </w:tcBorders>
            <w:vAlign w:val="center"/>
          </w:tcPr>
          <w:p>
            <w:pPr>
              <w:pStyle w:val="TableContents"/>
              <w:bidi w:val="0"/>
              <w:spacing w:before="0" w:after="0"/>
              <w:jc w:val="right"/>
              <w:rPr/>
            </w:pPr>
            <w:r>
              <w:rPr>
                <w:spacing w:val="-2"/>
              </w:rPr>
              <w:t>62nd Percentile (Projected)</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37" w:type="dxa"/>
            <w:tcBorders>
              <w:bottom w:val="single" w:sz="2" w:space="0" w:color="4B5088"/>
            </w:tcBorders>
            <w:vAlign w:val="center"/>
          </w:tcPr>
          <w:p>
            <w:pPr>
              <w:pStyle w:val="TableContents"/>
              <w:bidi w:val="0"/>
              <w:spacing w:before="0" w:after="0"/>
              <w:jc w:val="right"/>
              <w:rPr/>
            </w:pPr>
            <w:r>
              <w:rPr>
                <w:spacing w:val="-2"/>
              </w:rPr>
              <w:t>184.84% (Projected)</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070" w:type="dxa"/>
            <w:tcBorders>
              <w:bottom w:val="single" w:sz="2" w:space="0" w:color="4B5088"/>
            </w:tcBorders>
            <w:vAlign w:val="center"/>
          </w:tcPr>
          <w:p>
            <w:pPr>
              <w:pStyle w:val="TableContents"/>
              <w:bidi w:val="0"/>
              <w:spacing w:before="0" w:after="0"/>
              <w:jc w:val="right"/>
              <w:rPr/>
            </w:pPr>
            <w:r>
              <w:rPr>
                <w:spacing w:val="-2"/>
              </w:rPr>
              <w:t>N/A</w:t>
            </w:r>
            <w:r>
              <w:rPr/>
              <w:t xml:space="preserve">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360" w:type="dxa"/>
            <w:tcBorders>
              <w:bottom w:val="single" w:sz="2" w:space="0" w:color="4B5088"/>
            </w:tcBorders>
            <w:vAlign w:val="center"/>
          </w:tcPr>
          <w:p>
            <w:pPr>
              <w:pStyle w:val="TableContents"/>
              <w:bidi w:val="0"/>
              <w:spacing w:before="0" w:after="283"/>
              <w:jc w:val="left"/>
              <w:rPr>
                <w:spacing w:val="-2"/>
              </w:rPr>
            </w:pPr>
            <w:r>
              <w:rPr>
                <w:spacing w:val="-2"/>
              </w:rPr>
              <w:t xml:space="preserve">2024 Relative TSR vs. NYC REIT Peers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128" w:type="dxa"/>
            <w:tcBorders>
              <w:bottom w:val="single" w:sz="2" w:space="0" w:color="4B5088"/>
            </w:tcBorders>
            <w:vAlign w:val="center"/>
          </w:tcPr>
          <w:p>
            <w:pPr>
              <w:pStyle w:val="TableContents"/>
              <w:bidi w:val="0"/>
              <w:spacing w:before="0" w:after="0"/>
              <w:jc w:val="right"/>
              <w:rPr/>
            </w:pPr>
            <w:r>
              <w:rPr>
                <w:spacing w:val="-2"/>
              </w:rPr>
              <w:t>40th Percentile (Projected)</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37" w:type="dxa"/>
            <w:tcBorders>
              <w:bottom w:val="single" w:sz="2" w:space="0" w:color="4B5088"/>
            </w:tcBorders>
            <w:vAlign w:val="center"/>
          </w:tcPr>
          <w:p>
            <w:pPr>
              <w:pStyle w:val="TableContents"/>
              <w:bidi w:val="0"/>
              <w:spacing w:before="0" w:after="0"/>
              <w:jc w:val="right"/>
              <w:rPr/>
            </w:pPr>
            <w:r>
              <w:rPr>
                <w:spacing w:val="-2"/>
              </w:rPr>
              <w:t>70.59% (Projected)</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070" w:type="dxa"/>
            <w:tcBorders>
              <w:bottom w:val="single" w:sz="2" w:space="0" w:color="4B5088"/>
            </w:tcBorders>
            <w:vAlign w:val="center"/>
          </w:tcPr>
          <w:p>
            <w:pPr>
              <w:pStyle w:val="TableContents"/>
              <w:bidi w:val="0"/>
              <w:spacing w:before="0" w:after="0"/>
              <w:jc w:val="right"/>
              <w:rPr/>
            </w:pPr>
            <w:r>
              <w:rPr>
                <w:spacing w:val="-2"/>
              </w:rPr>
              <w:t>N/A</w:t>
            </w:r>
            <w:r>
              <w:rPr/>
              <w:t xml:space="preserve">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360" w:type="dxa"/>
            <w:tcBorders>
              <w:bottom w:val="single" w:sz="2" w:space="0" w:color="4B5088"/>
            </w:tcBorders>
            <w:vAlign w:val="center"/>
          </w:tcPr>
          <w:p>
            <w:pPr>
              <w:pStyle w:val="TableContents"/>
              <w:bidi w:val="0"/>
              <w:spacing w:before="0" w:after="283"/>
              <w:jc w:val="left"/>
              <w:rPr>
                <w:spacing w:val="-2"/>
              </w:rPr>
            </w:pPr>
            <w:r>
              <w:rPr>
                <w:spacing w:val="-2"/>
              </w:rPr>
              <w:t xml:space="preserve">2023 Relative TSR vs. Office REIT Peers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128" w:type="dxa"/>
            <w:tcBorders>
              <w:bottom w:val="single" w:sz="2" w:space="0" w:color="4B5088"/>
            </w:tcBorders>
            <w:vAlign w:val="center"/>
          </w:tcPr>
          <w:p>
            <w:pPr>
              <w:pStyle w:val="TableContents"/>
              <w:bidi w:val="0"/>
              <w:spacing w:before="0" w:after="0"/>
              <w:jc w:val="right"/>
              <w:rPr/>
            </w:pPr>
            <w:r>
              <w:rPr>
                <w:spacing w:val="-2"/>
              </w:rPr>
              <w:t>100th Percentile (Actual)</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37" w:type="dxa"/>
            <w:tcBorders>
              <w:bottom w:val="single" w:sz="2" w:space="0" w:color="4B5088"/>
            </w:tcBorders>
            <w:vAlign w:val="center"/>
          </w:tcPr>
          <w:p>
            <w:pPr>
              <w:pStyle w:val="TableContents"/>
              <w:bidi w:val="0"/>
              <w:spacing w:before="0" w:after="0"/>
              <w:jc w:val="right"/>
              <w:rPr/>
            </w:pPr>
            <w:r>
              <w:rPr>
                <w:spacing w:val="-2"/>
              </w:rPr>
              <w:t>225.00% (Actual)</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070" w:type="dxa"/>
            <w:tcBorders>
              <w:bottom w:val="single" w:sz="2" w:space="0" w:color="4B5088"/>
            </w:tcBorders>
            <w:vAlign w:val="center"/>
          </w:tcPr>
          <w:p>
            <w:pPr>
              <w:pStyle w:val="TableContents"/>
              <w:bidi w:val="0"/>
              <w:spacing w:before="0" w:after="0"/>
              <w:jc w:val="right"/>
              <w:rPr/>
            </w:pPr>
            <w:r>
              <w:rPr>
                <w:spacing w:val="-2"/>
              </w:rPr>
              <w:t>N/A</w:t>
            </w:r>
            <w:r>
              <w:rPr/>
              <w:t xml:space="preserve">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360" w:type="dxa"/>
            <w:tcBorders>
              <w:bottom w:val="single" w:sz="2" w:space="0" w:color="1F2668"/>
            </w:tcBorders>
            <w:vAlign w:val="center"/>
          </w:tcPr>
          <w:p>
            <w:pPr>
              <w:pStyle w:val="TableContents"/>
              <w:bidi w:val="0"/>
              <w:spacing w:before="0" w:after="283"/>
              <w:jc w:val="left"/>
              <w:rPr>
                <w:spacing w:val="-2"/>
              </w:rPr>
            </w:pPr>
            <w:r>
              <w:rPr>
                <w:spacing w:val="-2"/>
              </w:rPr>
              <w:t xml:space="preserve">2023 Relative TSR vs. NYC REIT Peers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128" w:type="dxa"/>
            <w:tcBorders>
              <w:bottom w:val="single" w:sz="2" w:space="0" w:color="1F2668"/>
            </w:tcBorders>
            <w:vAlign w:val="center"/>
          </w:tcPr>
          <w:p>
            <w:pPr>
              <w:pStyle w:val="TableContents"/>
              <w:bidi w:val="0"/>
              <w:spacing w:before="0" w:after="0"/>
              <w:jc w:val="right"/>
              <w:rPr/>
            </w:pPr>
            <w:r>
              <w:rPr>
                <w:spacing w:val="-2"/>
              </w:rPr>
              <w:t>100th Percentile (Actual)</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37" w:type="dxa"/>
            <w:tcBorders>
              <w:bottom w:val="single" w:sz="2" w:space="0" w:color="1F2668"/>
            </w:tcBorders>
            <w:vAlign w:val="center"/>
          </w:tcPr>
          <w:p>
            <w:pPr>
              <w:pStyle w:val="TableContents"/>
              <w:bidi w:val="0"/>
              <w:spacing w:before="0" w:after="0"/>
              <w:jc w:val="right"/>
              <w:rPr/>
            </w:pPr>
            <w:r>
              <w:rPr>
                <w:spacing w:val="-2"/>
              </w:rPr>
              <w:t>225.00% (Actual)</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070" w:type="dxa"/>
            <w:tcBorders>
              <w:bottom w:val="single" w:sz="2" w:space="0" w:color="1F2668"/>
            </w:tcBorders>
            <w:vAlign w:val="center"/>
          </w:tcPr>
          <w:p>
            <w:pPr>
              <w:pStyle w:val="TableContents"/>
              <w:bidi w:val="0"/>
              <w:spacing w:before="0" w:after="0"/>
              <w:jc w:val="right"/>
              <w:rPr/>
            </w:pPr>
            <w:r>
              <w:rPr>
                <w:spacing w:val="-2"/>
              </w:rPr>
              <w:t>N/A</w:t>
            </w:r>
            <w:r>
              <w:rPr/>
              <w:t xml:space="preserve">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240"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With respect to the CFO for 2025, and for all NEOs for 2024 and 2023, vesting is capped at target if three-year absolute TSR is negative.</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52400" distB="0" distL="0" distR="0" simplePos="0" locked="0" layoutInCell="1" allowOverlap="1" relativeHeight="705">
                <wp:simplePos x="0" y="0"/>
                <wp:positionH relativeFrom="column">
                  <wp:align>left</wp:align>
                </wp:positionH>
                <wp:positionV relativeFrom="line">
                  <wp:align>top</wp:align>
                </wp:positionV>
                <wp:extent cx="254000" cy="254000"/>
                <wp:effectExtent l="0" t="0" r="0" b="0"/>
                <wp:wrapSquare wrapText="right"/>
                <wp:docPr id="806" name="Frame456"/>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2"/>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2"/>
                          <w:sz w:val="16"/>
                        </w:rPr>
                        <w:t>(1)</w:t>
                      </w:r>
                      <w:r>
                        <w:rPr>
                          <w:sz w:val="16"/>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In 2025, certain elements of our performance-based equity awards were redesigned in connection with the new employment agreements we entered into with Mr. Holliday and Mr. Levine, including (i) replacing all annual performance goals with three-year performance goals and (ii) subjecting Mr. Holliday’s time-based equity incentive awards to an Outperformance Modifier based on Company performance against three-year operational or financial goals. The Outperformance Modifier may only be earned to the extent the underlying time-based award becomes fully vested and the performance metrics are achieved.</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Additionally, we entered into a new employment agreement with our CFO in 2026. In connection with his new agreement, beginning in 2026, the operational component of Mr. DiLiberto’s performance-based awards will also be subject to three-year performance goals. See “—Compensation Discussion and Analysis—Our 2025 Executive Compensation Program—Structure of 2025 Performance-Based Equity Awards” for a more detailed description of structure of the performance-based awards for each of Mr. Holliday, Mr. DiLiberto and Mr. Levine.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The 2024 and 2023 performance-based awards while substantially similar to each other are structurally different from the 2025 awards as noted above. The 2024 and 2023 awards are described in full in our proxy statements relating to our 2024 and 2023 fiscal years.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For additional information regarding the number of LTIP units relating to each of our outstanding annual performance-based equity awards held by each of our named executive officers, see “—Executive Compensation Tables-Outstanding Equity Awards at Fiscal Year End 2025.”</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60" w:before="240" w:after="283"/>
        <w:jc w:val="left"/>
        <w:rPr>
          <w:rFonts w:ascii="Arial;Helvetica;sans-serif" w:hAnsi="Arial;Helvetica;sans-serif"/>
          <w:b/>
          <w:i w:val="false"/>
          <w:caps w:val="false"/>
          <w:smallCaps w:val="false"/>
          <w:color w:val="83AD40"/>
          <w:sz w:val="22"/>
        </w:rPr>
      </w:pPr>
      <w:r>
        <w:rPr>
          <w:rFonts w:ascii="Arial;Helvetica;sans-serif" w:hAnsi="Arial;Helvetica;sans-serif"/>
          <w:b/>
          <w:i w:val="false"/>
          <w:caps w:val="false"/>
          <w:smallCaps w:val="false"/>
          <w:color w:val="83AD40"/>
          <w:spacing w:val="-2"/>
          <w:sz w:val="22"/>
        </w:rPr>
        <w:t>Perquisites and Other Personal Benefits</w:t>
      </w:r>
      <w:r>
        <w:rPr>
          <w:rFonts w:ascii="Arial;Helvetica;sans-serif" w:hAnsi="Arial;Helvetica;sans-serif"/>
          <w:b/>
          <w:i w:val="false"/>
          <w:caps w:val="false"/>
          <w:smallCaps w:val="false"/>
          <w:color w:val="000000"/>
          <w:spacing w:val="4"/>
          <w:sz w:val="22"/>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Our Chief Executive Officer receives certain life insurance benefits and, beginning in 2025, will also be eligible to receive certain home security services and other personal security services related to carrying out his duties in line with similar benefits provided to other chief executive officers. We do not provide any other significant perquisites or personal benefits to our named executive officers. Effective January 1, 2023, we discontinued all automobile perquisites for our named executive officers. The costs of these benefits constituted less than one percent of the applicable executive’s compensation.</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60" w:before="240" w:after="283"/>
        <w:jc w:val="left"/>
        <w:rPr>
          <w:rFonts w:ascii="Arial;Helvetica;sans-serif" w:hAnsi="Arial;Helvetica;sans-serif"/>
          <w:b/>
          <w:i w:val="false"/>
          <w:caps w:val="false"/>
          <w:smallCaps w:val="false"/>
          <w:color w:val="83AD40"/>
          <w:sz w:val="22"/>
        </w:rPr>
      </w:pPr>
      <w:r>
        <w:rPr>
          <w:rFonts w:ascii="Arial;Helvetica;sans-serif" w:hAnsi="Arial;Helvetica;sans-serif"/>
          <w:b/>
          <w:i w:val="false"/>
          <w:caps w:val="false"/>
          <w:smallCaps w:val="false"/>
          <w:color w:val="83AD40"/>
          <w:spacing w:val="-2"/>
          <w:sz w:val="22"/>
        </w:rPr>
        <w:t>Employment Agreements</w:t>
      </w:r>
      <w:r>
        <w:rPr>
          <w:rFonts w:ascii="Arial;Helvetica;sans-serif" w:hAnsi="Arial;Helvetica;sans-serif"/>
          <w:b/>
          <w:i w:val="false"/>
          <w:caps w:val="false"/>
          <w:smallCaps w:val="false"/>
          <w:color w:val="000000"/>
          <w:spacing w:val="4"/>
          <w:sz w:val="22"/>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pacing w:val="-2"/>
          <w:sz w:val="18"/>
        </w:rPr>
      </w:pPr>
      <w:r>
        <w:rPr>
          <w:rFonts w:ascii="Arial;Helvetica;sans-serif" w:hAnsi="Arial;Helvetica;sans-serif"/>
          <w:b w:val="false"/>
          <w:i w:val="false"/>
          <w:caps w:val="false"/>
          <w:smallCaps w:val="false"/>
          <w:color w:val="000000"/>
          <w:spacing w:val="-2"/>
          <w:sz w:val="18"/>
        </w:rPr>
        <w:t xml:space="preserve">As noted above, we had employment agreements with each of our named executive officers during 2025. Each of the employment agreements with our named executive officers provide for, among other things, severance payments and benefits and acceleration of equity awards in connection with certain qualified terminations. In return, each of our named executive officers has agreed to non-compete, non-solicitation, non-interference and confidentiality provisions. For each of our executives, we believe that, because the severance level is negotiated up front, it makes it easier for us to terminate these executives without the need for protracted negotiations over severance. We also believe that providing pre-negotiated severance benefits for all of our executives in the event they are terminated without cause or terminate their employment for good reason following a change in control helps to further align the interests of our executives and our stockholders in the event of a potentially attractive proposed change-in-control transaction following which one or more of our executives may be expected to be terminated. In recent employment agreement negotiations, the Compensation Committee eliminated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225" w:type="dxa"/>
        <w:jc w:val="left"/>
        <w:tblInd w:w="900" w:type="dxa"/>
        <w:tblLayout w:type="fixed"/>
        <w:tblCellMar>
          <w:top w:w="0" w:type="dxa"/>
          <w:left w:w="0" w:type="dxa"/>
          <w:bottom w:w="0" w:type="dxa"/>
          <w:right w:w="0" w:type="dxa"/>
        </w:tblCellMar>
      </w:tblPr>
      <w:tblGrid>
        <w:gridCol w:w="124"/>
        <w:gridCol w:w="346"/>
        <w:gridCol w:w="109"/>
        <w:gridCol w:w="109"/>
        <w:gridCol w:w="4383"/>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64</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383" w:type="dxa"/>
            <w:tcBorders/>
            <w:vAlign w:val="center"/>
          </w:tcPr>
          <w:p>
            <w:pPr>
              <w:pStyle w:val="TableContents"/>
              <w:bidi w:val="0"/>
              <w:spacing w:lineRule="atLeast" w:line="200" w:before="0" w:after="0"/>
              <w:jc w:val="left"/>
              <w:rPr/>
            </w:pPr>
            <w:r>
              <w:rPr>
                <w:spacing w:val="-2"/>
              </w:rPr>
              <w:t>    </w:t>
            </w:r>
            <w:r>
              <w:rPr>
                <w:spacing w:val="-2"/>
                <w:sz w:val="16"/>
              </w:rPr>
              <w:t>SL GREEN REALTY CORP. 2026 PROXY STATEMENT</w:t>
            </w:r>
            <w:r>
              <w:rPr>
                <w:sz w:val="16"/>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560" w:after="154"/>
        <w:ind w:left="9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the maximum bonus from severance calculations. The inclusion of equity in severance calculations is a critical component given that equity continues to be over 85% of total direct compensation. See “—Executive Compensation Tables—Potential Payments Upon Termination or Change in Control” for a summary of the employment agreements with our named executive officers.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60" w:after="283"/>
        <w:jc w:val="left"/>
        <w:rPr>
          <w:rFonts w:ascii="Arial;Helvetica;sans-serif" w:hAnsi="Arial;Helvetica;sans-serif"/>
          <w:b w:val="false"/>
          <w:i/>
          <w:caps w:val="false"/>
          <w:smallCaps w:val="false"/>
          <w:color w:val="000000"/>
          <w:sz w:val="18"/>
        </w:rPr>
      </w:pPr>
      <w:r>
        <w:rPr>
          <w:rFonts w:ascii="Arial;Helvetica;sans-serif" w:hAnsi="Arial;Helvetica;sans-serif"/>
          <w:b w:val="false"/>
          <w:i/>
          <w:caps w:val="false"/>
          <w:smallCaps w:val="false"/>
          <w:color w:val="000000"/>
          <w:sz w:val="18"/>
        </w:rPr>
        <w:t>Amendment to Mr. Holliday’s Employment Agreement</w:t>
      </w:r>
      <w:r>
        <w:rPr>
          <w:rFonts w:ascii="Arial;Helvetica;sans-serif" w:hAnsi="Arial;Helvetica;sans-serif"/>
          <w:b w:val="false"/>
          <w:i/>
          <w:caps w:val="false"/>
          <w:smallCaps w:val="false"/>
          <w:color w:val="000000"/>
          <w:spacing w:val="4"/>
          <w:sz w:val="18"/>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On June 24, 2025, we entered into an amendment with Mr. Holliday to his employment agreement to, among other things: (i) more closely align the description of the $5,000,000 annual time-based award with Mr. Holliday’s prior contract to clarify that the amount of such award is not guaranteed, with the ultimate value to be determined by the Compensation Committee of the Board of Directors of the Company based on performance during the prior year, (ii) clarify that the payment to Mr. Holliday in connection with the property at 1515 Broadway, New York, New York, aligns with the conversion of such property and its projected profitability and (iii) eliminate provisions that provide for formulaic cash payments following a change in control in lieu of existing base salary, annual bonus and equity award entitlements, with corresponding updates to clarify that a diminution in Mr. Holliday’s compensation following a change-in-control would constitute “good reason” under the employment agreement. As New York State did not approve our gaming license application, this incentive is no longer applicable.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60" w:after="283"/>
        <w:jc w:val="left"/>
        <w:rPr>
          <w:rFonts w:ascii="Arial;Helvetica;sans-serif" w:hAnsi="Arial;Helvetica;sans-serif"/>
          <w:b w:val="false"/>
          <w:i/>
          <w:caps w:val="false"/>
          <w:smallCaps w:val="false"/>
          <w:color w:val="000000"/>
          <w:sz w:val="18"/>
        </w:rPr>
      </w:pPr>
      <w:r>
        <w:rPr>
          <w:rFonts w:ascii="Arial;Helvetica;sans-serif" w:hAnsi="Arial;Helvetica;sans-serif"/>
          <w:b w:val="false"/>
          <w:i/>
          <w:caps w:val="false"/>
          <w:smallCaps w:val="false"/>
          <w:color w:val="000000"/>
          <w:sz w:val="18"/>
        </w:rPr>
        <w:t>New Employment Agreement with Mr. Levine</w:t>
      </w:r>
      <w:r>
        <w:rPr>
          <w:rFonts w:ascii="Arial;Helvetica;sans-serif" w:hAnsi="Arial;Helvetica;sans-serif"/>
          <w:b w:val="false"/>
          <w:i/>
          <w:caps w:val="false"/>
          <w:smallCaps w:val="false"/>
          <w:color w:val="000000"/>
          <w:spacing w:val="4"/>
          <w:sz w:val="18"/>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During 2025, we entered into a new employment agreement with our General Counsel, Mr. Levine. Material changes to Mr. Levine’s employment agreement are discussed below under “Executive Compensation Tables—Potential Payments Upon Termination or Change in Control—Employment Agreement.”</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60" w:after="283"/>
        <w:jc w:val="left"/>
        <w:rPr>
          <w:rFonts w:ascii="Arial;Helvetica;sans-serif" w:hAnsi="Arial;Helvetica;sans-serif"/>
          <w:b w:val="false"/>
          <w:i/>
          <w:caps w:val="false"/>
          <w:smallCaps w:val="false"/>
          <w:color w:val="000000"/>
          <w:sz w:val="18"/>
        </w:rPr>
      </w:pPr>
      <w:r>
        <w:rPr>
          <w:rFonts w:ascii="Arial;Helvetica;sans-serif" w:hAnsi="Arial;Helvetica;sans-serif"/>
          <w:b w:val="false"/>
          <w:i/>
          <w:caps w:val="false"/>
          <w:smallCaps w:val="false"/>
          <w:color w:val="000000"/>
          <w:sz w:val="18"/>
        </w:rPr>
        <w:t>New Employment Agreement with Mr. DiLiberto</w:t>
      </w:r>
      <w:r>
        <w:rPr>
          <w:rFonts w:ascii="Arial;Helvetica;sans-serif" w:hAnsi="Arial;Helvetica;sans-serif"/>
          <w:b w:val="false"/>
          <w:i/>
          <w:caps w:val="false"/>
          <w:smallCaps w:val="false"/>
          <w:color w:val="000000"/>
          <w:spacing w:val="4"/>
          <w:sz w:val="18"/>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On February 27, 2026, we entered into a new employment agreement with Mr. DiLiberto, extending his term as CFO to January 1, 2029. Material changes to Mr. DiLiberto’s employment agreement are discussed below under “Executive Compensation Tables—Potential Payments Upon Termination or Change in Control—Employment Agreement.” In connection with his new employment agreement, Mr. DiLiberto also received a grant of 100,000 Class O LTIP Units on February 12, 2026. These Class O LTIP Units will vest ratably on January 1, 2027, January 1, 2028 and January 1, 2029, subject to Mr. DiLiberto’s continued employment through each such date. See below “Other Matters—LTIP Units and Class O LTIP Units” for a description of our Class O LTIP Units.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60" w:after="283"/>
        <w:jc w:val="left"/>
        <w:rPr>
          <w:rFonts w:ascii="Arial;Helvetica;sans-serif" w:hAnsi="Arial;Helvetica;sans-serif"/>
          <w:b w:val="false"/>
          <w:i/>
          <w:caps w:val="false"/>
          <w:smallCaps w:val="false"/>
          <w:color w:val="000000"/>
          <w:sz w:val="18"/>
        </w:rPr>
      </w:pPr>
      <w:r>
        <w:rPr>
          <w:rFonts w:ascii="Arial;Helvetica;sans-serif" w:hAnsi="Arial;Helvetica;sans-serif"/>
          <w:b w:val="false"/>
          <w:i/>
          <w:caps w:val="false"/>
          <w:smallCaps w:val="false"/>
          <w:color w:val="000000"/>
          <w:sz w:val="18"/>
        </w:rPr>
        <w:t>Promotion of Mr. Sitomer to President and Chief Investment Officer</w:t>
      </w:r>
      <w:r>
        <w:rPr>
          <w:rFonts w:ascii="Arial;Helvetica;sans-serif" w:hAnsi="Arial;Helvetica;sans-serif"/>
          <w:b w:val="false"/>
          <w:i/>
          <w:caps w:val="false"/>
          <w:smallCaps w:val="false"/>
          <w:color w:val="000000"/>
          <w:spacing w:val="4"/>
          <w:sz w:val="18"/>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On February 27, 2026, we appointed Harrison Sitomer to serve as our President and entered into an employment agreement with Mr. Sitomer in connection with his appointment. Mr. Sitomer will also continue to serve as our Chief Investment Officer. For a discussion of the material terms of Mr. Sitomer’s employment agreement, see “ Executive Compensation Tables—</w:t>
      </w:r>
      <w:r>
        <w:rPr>
          <w:rFonts w:ascii="Arial;Helvetica;sans-serif" w:hAnsi="Arial;Helvetica;sans-serif"/>
          <w:b w:val="false"/>
          <w:i w:val="false"/>
          <w:caps w:val="false"/>
          <w:smallCaps w:val="false"/>
          <w:color w:val="000000"/>
          <w:sz w:val="18"/>
        </w:rPr>
        <w:t>​</w:t>
      </w:r>
      <w:r>
        <w:rPr>
          <w:rFonts w:ascii="Arial;Helvetica;sans-serif" w:hAnsi="Arial;Helvetica;sans-serif"/>
          <w:b w:val="false"/>
          <w:i w:val="false"/>
          <w:caps w:val="false"/>
          <w:smallCaps w:val="false"/>
          <w:color w:val="000000"/>
          <w:spacing w:val="-2"/>
          <w:sz w:val="18"/>
        </w:rPr>
        <w:t>Potential Payments Upon Termination or Change in Control—Employment Agreements.”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60" w:before="240" w:after="283"/>
        <w:jc w:val="left"/>
        <w:rPr>
          <w:rFonts w:ascii="Arial;Helvetica;sans-serif" w:hAnsi="Arial;Helvetica;sans-serif"/>
          <w:b/>
          <w:i w:val="false"/>
          <w:caps w:val="false"/>
          <w:smallCaps w:val="false"/>
          <w:color w:val="83AD40"/>
          <w:sz w:val="22"/>
        </w:rPr>
      </w:pPr>
      <w:r>
        <w:rPr>
          <w:rFonts w:ascii="Arial;Helvetica;sans-serif" w:hAnsi="Arial;Helvetica;sans-serif"/>
          <w:b/>
          <w:i w:val="false"/>
          <w:caps w:val="false"/>
          <w:smallCaps w:val="false"/>
          <w:color w:val="83AD40"/>
          <w:spacing w:val="-2"/>
          <w:sz w:val="22"/>
        </w:rPr>
        <w:t>Compensation Recovery Policy</w:t>
      </w:r>
      <w:r>
        <w:rPr>
          <w:rFonts w:ascii="Arial;Helvetica;sans-serif" w:hAnsi="Arial;Helvetica;sans-serif"/>
          <w:b/>
          <w:i w:val="false"/>
          <w:caps w:val="false"/>
          <w:smallCaps w:val="false"/>
          <w:color w:val="000000"/>
          <w:spacing w:val="4"/>
          <w:sz w:val="22"/>
        </w:rPr>
        <w:t xml:space="preserve"> </w:t>
      </w:r>
    </w:p>
    <w:p>
      <w:pPr>
        <w:pStyle w:val="TextBody"/>
        <w:bidi w:val="0"/>
        <w:spacing w:lineRule="atLeast" w:line="23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In 2023 the Board adopted a clawback policy, referred to as the Compensation Recovery Policy, that complies with Rule 10D-1 under the Exchange Act, adopted by the SEC in October 2022. The Compensation Recovery Policy, effective as of October 2, 2023, requires recovery from executive officers of incentive-based compensation that is earned, granted or vested based on the achievement of a financial reporting measure in the event of a required restatement of previously issued financial statements. The recoverable compensation includes any compensation received after the effective date of the Compensation Recovery Policy and in the three-year fiscal period preceding the date the Company was required to prepare the restatement that is in excess of the amount that would have been received had it been calculated based on the restated financial statements. Recovery is required regardless of fault or a covered officer’s role in the financial reporting process. The Compensation Recovery Policy is incorporated by reference as an exhibit to our Annual Report on Form 10-K for the fiscal year ended December 31, 2025.</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60" w:before="240" w:after="283"/>
        <w:jc w:val="left"/>
        <w:rPr>
          <w:rFonts w:ascii="Arial;Helvetica;sans-serif" w:hAnsi="Arial;Helvetica;sans-serif"/>
          <w:b/>
          <w:i w:val="false"/>
          <w:caps w:val="false"/>
          <w:smallCaps w:val="false"/>
          <w:color w:val="83AD40"/>
          <w:sz w:val="22"/>
        </w:rPr>
      </w:pPr>
      <w:r>
        <w:rPr>
          <w:rFonts w:ascii="Arial;Helvetica;sans-serif" w:hAnsi="Arial;Helvetica;sans-serif"/>
          <w:b/>
          <w:i w:val="false"/>
          <w:caps w:val="false"/>
          <w:smallCaps w:val="false"/>
          <w:color w:val="83AD40"/>
          <w:spacing w:val="-2"/>
          <w:sz w:val="22"/>
        </w:rPr>
        <w:t>Insider Trading Policy; Anti-hedging Policy</w:t>
      </w:r>
      <w:r>
        <w:rPr>
          <w:rFonts w:ascii="Arial;Helvetica;sans-serif" w:hAnsi="Arial;Helvetica;sans-serif"/>
          <w:b/>
          <w:i w:val="false"/>
          <w:caps w:val="false"/>
          <w:smallCaps w:val="false"/>
          <w:color w:val="000000"/>
          <w:spacing w:val="4"/>
          <w:sz w:val="22"/>
        </w:rPr>
        <w:t xml:space="preserve"> </w:t>
      </w:r>
    </w:p>
    <w:p>
      <w:pPr>
        <w:pStyle w:val="TextBody"/>
        <w:bidi w:val="0"/>
        <w:spacing w:lineRule="atLeast" w:line="23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The Board has adopted an insider trading policy governing the purchase, sale and other dispositions of our securities that applies to all of our directors, officers, employees and other covered persons. We believe that our insider trading policy is reasonably designed to promote compliance with insider trading laws, rules and regulations and listing standards applicable to us. It is also Company policy to comply with applicable securities laws concerning trading on the Company’s behalf in our securities. A copy of our insider trading policy is filed as an exhibit to our Annual Report on Form 10-K for the fiscal year ended December 31, 2025.</w:t>
      </w:r>
      <w:r>
        <w:rPr>
          <w:rFonts w:ascii="Arial;Helvetica;sans-serif" w:hAnsi="Arial;Helvetica;sans-serif"/>
          <w:b w:val="false"/>
          <w:i w:val="false"/>
          <w:caps w:val="false"/>
          <w:smallCaps w:val="false"/>
          <w:color w:val="000000"/>
          <w:spacing w:val="4"/>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4330" w:type="dxa"/>
        <w:jc w:val="left"/>
        <w:tblInd w:w="900" w:type="dxa"/>
        <w:tblLayout w:type="fixed"/>
        <w:tblCellMar>
          <w:top w:w="0" w:type="dxa"/>
          <w:left w:w="0" w:type="dxa"/>
          <w:bottom w:w="0" w:type="dxa"/>
          <w:right w:w="0" w:type="dxa"/>
        </w:tblCellMar>
      </w:tblPr>
      <w:tblGrid>
        <w:gridCol w:w="124"/>
        <w:gridCol w:w="3488"/>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3488" w:type="dxa"/>
            <w:tcBorders/>
            <w:vAlign w:val="center"/>
          </w:tcPr>
          <w:p>
            <w:pPr>
              <w:pStyle w:val="TableContents"/>
              <w:bidi w:val="0"/>
              <w:spacing w:lineRule="atLeast" w:line="200" w:before="0" w:after="0"/>
              <w:jc w:val="left"/>
              <w:rPr/>
            </w:pPr>
            <w:r>
              <w:rPr>
                <w:spacing w:val="-2"/>
              </w:rPr>
              <w:t>EXECUTIVE COMPENSATION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color w:val="1F2668"/>
                <w:sz w:val="24"/>
              </w:rPr>
            </w:pPr>
            <w:r>
              <w:rPr>
                <w:color w:val="1F2668"/>
                <w:sz w:val="24"/>
              </w:rPr>
              <w:t>65</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560" w:after="154"/>
        <w:ind w:left="9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The insider trading policy prohibits the individuals subject to the policy, including our employees, officers and directors from engaging (directly or indirectly) in hedging transactions, or otherwise engaging in transactions that hedge or offset, or are designed to hedge or offset, any decrease in the market value of Company securities. Hedging transactions include (but are not limited to) collars, equity swaps, exchange funds and prepaid variable forward sale contracts.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60" w:before="240" w:after="283"/>
        <w:jc w:val="left"/>
        <w:rPr>
          <w:rFonts w:ascii="Arial;Helvetica;sans-serif" w:hAnsi="Arial;Helvetica;sans-serif"/>
          <w:b/>
          <w:i w:val="false"/>
          <w:caps w:val="false"/>
          <w:smallCaps w:val="false"/>
          <w:color w:val="83AD40"/>
          <w:sz w:val="22"/>
        </w:rPr>
      </w:pPr>
      <w:r>
        <w:rPr>
          <w:rFonts w:ascii="Arial;Helvetica;sans-serif" w:hAnsi="Arial;Helvetica;sans-serif"/>
          <w:b/>
          <w:i w:val="false"/>
          <w:caps w:val="false"/>
          <w:smallCaps w:val="false"/>
          <w:color w:val="83AD40"/>
          <w:spacing w:val="-2"/>
          <w:sz w:val="22"/>
        </w:rPr>
        <w:t>Other Matters—LTIP Units and Class O LTIP Units</w:t>
      </w:r>
      <w:r>
        <w:rPr>
          <w:rFonts w:ascii="Arial;Helvetica;sans-serif" w:hAnsi="Arial;Helvetica;sans-serif"/>
          <w:b/>
          <w:i w:val="false"/>
          <w:caps w:val="false"/>
          <w:smallCaps w:val="false"/>
          <w:color w:val="000000"/>
          <w:spacing w:val="4"/>
          <w:sz w:val="22"/>
        </w:rPr>
        <w:t xml:space="preserve"> </w:t>
      </w:r>
    </w:p>
    <w:p>
      <w:pPr>
        <w:pStyle w:val="TextBody"/>
        <w:bidi w:val="0"/>
        <w:spacing w:lineRule="atLeast" w:line="23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We issued a separate class of units of limited partnership interest in our operating partnership, which we refer to as LTIP units, for the equity bonuses that we granted to our named executive officers for 2025 and as equity awards granted in connection with new or extended employment agreements or the provisions of such agreements. LTIP units are similar to common units in our operating partnership, which generally are economically equivalent to shares of our common stock, except that the LTIP units are structured as “profits interests” for U.S. federal income tax purposes under current federal income tax law. As profits interests, LTIP units generally only have value, other than with respect to the right to receive distributions, if the value of the assets of our operating partnership increases between the issuance of LTIP units and the date of a book-up event for partnership tax purposes. If the value of the assets of our operating partnership increases sufficiently, the LTIP units can achieve full parity with common units in our operating partnership. If such parity is achieved, LTIP units may be converted, subject to the satisfaction of applicable vesting conditions, on a one-for-one basis into common units, which in turn are redeemable by the holder for cash or, at our election, on a one-for-one basis into shares of our common stock. LTIP units are not entitled to distributions prior to being earned based on achievement against the performance-based hurdles contained in these plans. Once earned, these LTIP units, whether vested or unvested, entitle the holder to receive distributions per unit from our operating partnership that are equivalent to the dividends paid per share on our common stock.</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In addition to the LTIP units described above that we issued in lieu of shares of restricted stock, we also have issued another class of units of limited partnership interest in our operating partnership that are intended to be similar to stock options from an economic perspective, which we refer to as Class O LTIP units. Class O LTIP units are also intended to qualify as “profits interests” for U.S. federal income tax purposes. We did not issue any performance-based Class O LTIP units in 2025. In 2026, we issued performance-based Class O LTIP units in connection with our CFO’s new employment agreement.</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Like stock options, Class O LTIP units operate in a manner that generally permits holders to realize the benefit of any increase in the per share value of our common stock above the value at the time the Class O LTIP units are granted. At the time of the grant of Class O LTIP units, the operating partnership establishes a conversion threshold, the vesting terms and the mandatory conversion date, if any, for the Class O LTIP units. The conversion threshold corresponds to the exercise price of a stock option while the mandatory conversion date corresponds to the expiration date of a stock option. Similar to the exercise price for stock options, the conversion threshold will equal the per unit value of the common units of our operating partnership on the grant date. Class O LTIP units will receive 10% distributions relating to periods between grant and vesting upon vesting, and will receive 10% distributions from vesting to their conversion as opposed to holders of non-qualified stock options who will not receive any distributions relating to periods between grant and exercise.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Once Class O LTIP units have vested, they may be converted into common units of our operating partnership by the holder at any time prior to their mandatory conversion date in a manner that is similar to a net exercise of stock options. Upon exercise of this conversion right, the Class O LTIP units will convert into a number of common units of the operating partnership that have an aggregate value equal to the aggregate spread of the Class O LTIP units that are converted. The “spread” for each Class O LTIP unit will equal the excess, if any, of the value of our operating partnership’s assets per common unit on the conversion date above the per unit value at the time the Class O LTIP unit was granted (i.e., the conversion threshold). Any Class O LTIP units that have not been voluntarily converted prior to the mandatory conversion date established at the time the Class O LTIP units were granted will automatically convert into common units on such mandatory conversion date, or be forfeited if the value of our operating partnership’s assets per common unit is less than the conversion threshold for the Class O LTIP units.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pacing w:val="-2"/>
          <w:sz w:val="18"/>
        </w:rPr>
      </w:pPr>
      <w:r>
        <w:rPr>
          <w:rFonts w:ascii="Arial;Helvetica;sans-serif" w:hAnsi="Arial;Helvetica;sans-serif"/>
          <w:b w:val="false"/>
          <w:i w:val="false"/>
          <w:caps w:val="false"/>
          <w:smallCaps w:val="false"/>
          <w:color w:val="000000"/>
          <w:spacing w:val="-2"/>
          <w:sz w:val="18"/>
        </w:rPr>
        <w:t xml:space="preserve">LTIP units and Class O LTIP units are intended to offer executives substantially the same long-term incentive as shares of restricted stock and stock options, respectively, with more favorable U.S. federal income tax treatment available for “profits interests” under current federal income tax law. More specifically, one key disadvantage of restricted stock is that executives are generally taxed on the full market value of a grant at the time of vesting, even if they choose to hold the stock. Similarly, holders of non-qualified stock options are taxed upon exercise. Conversely, under current federal income tax law, an executive would generally not be subject to tax at the time of issuance or vesting of an LTIP unit or Class O LTIP unit or conversion into common units but only when he or she chooses to liquidate the common units into which his or her LTIP units or Class O LTIP units convert. Therefore, an executive who wishes to hold his or her equity awards for the long term can generally do so in a more tax-efficient manner with LTIP units or Class O LTIP units. In light of the increased tax efficiency, we have chosen to use LTIP units and Class O LTIP units for grants to our executives. We believe that the use of LTIP units and Class O LTIP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 w:name="tCCR"/>
      <w:bookmarkEnd w:id="19"/>
      <w:r>
        <w:rPr>
          <w:rFonts w:ascii="calibri;arial;sans-serif" w:hAnsi="calibri;arial;sans-serif"/>
          <w:b w:val="false"/>
          <w:i w:val="false"/>
          <w:caps w:val="false"/>
          <w:smallCaps w:val="false"/>
          <w:color w:val="000000"/>
          <w:sz w:val="16"/>
        </w:rPr>
        <w:t xml:space="preserve">​ </w:t>
      </w:r>
    </w:p>
    <w:tbl>
      <w:tblPr>
        <w:tblW w:w="5225" w:type="dxa"/>
        <w:jc w:val="left"/>
        <w:tblInd w:w="900" w:type="dxa"/>
        <w:tblLayout w:type="fixed"/>
        <w:tblCellMar>
          <w:top w:w="0" w:type="dxa"/>
          <w:left w:w="0" w:type="dxa"/>
          <w:bottom w:w="0" w:type="dxa"/>
          <w:right w:w="0" w:type="dxa"/>
        </w:tblCellMar>
      </w:tblPr>
      <w:tblGrid>
        <w:gridCol w:w="124"/>
        <w:gridCol w:w="346"/>
        <w:gridCol w:w="109"/>
        <w:gridCol w:w="109"/>
        <w:gridCol w:w="4383"/>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66</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383" w:type="dxa"/>
            <w:tcBorders/>
            <w:vAlign w:val="center"/>
          </w:tcPr>
          <w:p>
            <w:pPr>
              <w:pStyle w:val="TableContents"/>
              <w:bidi w:val="0"/>
              <w:spacing w:lineRule="atLeast" w:line="200" w:before="0" w:after="0"/>
              <w:jc w:val="left"/>
              <w:rPr/>
            </w:pPr>
            <w:r>
              <w:rPr>
                <w:spacing w:val="-2"/>
              </w:rPr>
              <w:t>    </w:t>
            </w:r>
            <w:r>
              <w:rPr>
                <w:spacing w:val="-2"/>
                <w:sz w:val="16"/>
              </w:rPr>
              <w:t>SL GREEN REALTY CORP. 2026 PROXY STATEMENT</w:t>
            </w:r>
            <w:r>
              <w:rPr>
                <w:sz w:val="16"/>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560" w:after="154"/>
        <w:ind w:left="9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units has (i) enhanced our equity-based compensation package overall, (ii) advanced the goal of promoting long-term equity ownership by executives, (iii) not adversely impacted dilution as compared to restricted stock, and (iv) further aligned the interests of our executives with the interests of our stockholders.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360" w:before="400" w:after="283"/>
        <w:jc w:val="left"/>
        <w:rPr>
          <w:rFonts w:ascii="Arial;Helvetica;sans-serif" w:hAnsi="Arial;Helvetica;sans-serif"/>
          <w:b/>
          <w:i w:val="false"/>
          <w:caps w:val="false"/>
          <w:smallCaps w:val="false"/>
          <w:color w:val="83AD40"/>
          <w:sz w:val="32"/>
        </w:rPr>
      </w:pPr>
      <w:r>
        <w:rPr>
          <w:rFonts w:ascii="Arial;Helvetica;sans-serif" w:hAnsi="Arial;Helvetica;sans-serif"/>
          <w:b/>
          <w:i w:val="false"/>
          <w:caps/>
          <w:color w:val="83AD40"/>
          <w:spacing w:val="-3"/>
          <w:sz w:val="32"/>
        </w:rPr>
        <w:t>COMPENSATION COMMITTEE REPORT</w:t>
      </w:r>
      <w:r>
        <w:rPr>
          <w:rFonts w:ascii="Arial;Helvetica;sans-serif" w:hAnsi="Arial;Helvetica;sans-serif"/>
          <w:b/>
          <w:i w:val="false"/>
          <w:caps w:val="false"/>
          <w:smallCaps w:val="false"/>
          <w:color w:val="000000"/>
          <w:spacing w:val="6"/>
          <w:sz w:val="32"/>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The Compensation Committee of the Board of Directors of SL Green Realty Corp. has reviewed and discussed the Compensation Discussion and Analysis required by Item 402(b) of Regulation S-K with management and, based on such review and discussions, our Compensation Committee recommended to the Board that the Compensation Discussion and Analysis be included in this annual proxy statement and incorporated by reference in the Company’s Annual Report on Form 10-K for the year ended December 31, 2025.</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Submitted by our Compensation Committee</w:t>
      </w:r>
      <w:r>
        <w:rPr>
          <w:rFonts w:ascii="Arial;Helvetica;sans-serif" w:hAnsi="Arial;Helvetica;sans-serif"/>
          <w:b w:val="false"/>
          <w:i w:val="false"/>
          <w:caps w:val="false"/>
          <w:smallCaps w:val="false"/>
          <w:color w:val="000000"/>
          <w:spacing w:val="4"/>
          <w:sz w:val="18"/>
        </w:rPr>
        <w:t xml:space="preserve"> </w:t>
      </w:r>
    </w:p>
    <w:tbl>
      <w:tblPr>
        <w:tblW w:w="5770" w:type="dxa"/>
        <w:jc w:val="left"/>
        <w:tblInd w:w="900" w:type="dxa"/>
        <w:tblLayout w:type="fixed"/>
        <w:tblCellMar>
          <w:top w:w="0" w:type="dxa"/>
          <w:left w:w="0" w:type="dxa"/>
          <w:bottom w:w="0" w:type="dxa"/>
          <w:right w:w="0" w:type="dxa"/>
        </w:tblCellMar>
      </w:tblPr>
      <w:tblGrid>
        <w:gridCol w:w="124"/>
        <w:gridCol w:w="1367"/>
        <w:gridCol w:w="109"/>
        <w:gridCol w:w="109"/>
        <w:gridCol w:w="1867"/>
        <w:gridCol w:w="109"/>
        <w:gridCol w:w="109"/>
        <w:gridCol w:w="1822"/>
        <w:gridCol w:w="154"/>
      </w:tblGrid>
      <w:tr>
        <w:trPr/>
        <w:tc>
          <w:tcPr>
            <w:tcW w:w="124" w:type="dxa"/>
            <w:tcBorders/>
            <w:vAlign w:val="center"/>
          </w:tcPr>
          <w:p>
            <w:pPr>
              <w:pStyle w:val="TableContents"/>
              <w:bidi w:val="0"/>
              <w:spacing w:before="0" w:after="283"/>
              <w:jc w:val="left"/>
              <w:rPr/>
            </w:pPr>
            <w:r>
              <w:rPr/>
              <w:t>​</w:t>
            </w:r>
          </w:p>
        </w:tc>
        <w:tc>
          <w:tcPr>
            <w:tcW w:w="1367" w:type="dxa"/>
            <w:tcBorders/>
            <w:vAlign w:val="center"/>
          </w:tcPr>
          <w:p>
            <w:pPr>
              <w:pStyle w:val="TableContents"/>
              <w:bidi w:val="0"/>
              <w:spacing w:before="0" w:after="283"/>
              <w:jc w:val="left"/>
              <w:rPr/>
            </w:pPr>
            <w:r>
              <w:rPr>
                <w:spacing w:val="-2"/>
              </w:rPr>
              <w:t xml:space="preserve">Peggy Lamb </w:t>
              <w:br/>
              <w:t>(Chair)</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67" w:type="dxa"/>
            <w:tcBorders/>
            <w:vAlign w:val="center"/>
          </w:tcPr>
          <w:p>
            <w:pPr>
              <w:pStyle w:val="TableContents"/>
              <w:bidi w:val="0"/>
              <w:spacing w:before="0" w:after="283"/>
              <w:jc w:val="left"/>
              <w:rPr/>
            </w:pPr>
            <w:r>
              <w:rPr>
                <w:spacing w:val="-2"/>
              </w:rPr>
              <w:t>John H. Alschuler</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22" w:type="dxa"/>
            <w:tcBorders/>
            <w:vAlign w:val="center"/>
          </w:tcPr>
          <w:p>
            <w:pPr>
              <w:pStyle w:val="TableContents"/>
              <w:bidi w:val="0"/>
              <w:spacing w:before="0" w:after="283"/>
              <w:jc w:val="left"/>
              <w:rPr/>
            </w:pPr>
            <w:r>
              <w:rPr>
                <w:spacing w:val="-2"/>
              </w:rPr>
              <w:t>Lauren B. Dillard</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 w:name="tECT"/>
      <w:bookmarkEnd w:id="20"/>
      <w:r>
        <w:rPr>
          <w:rFonts w:ascii="calibri;arial;sans-serif" w:hAnsi="calibri;arial;sans-serif"/>
          <w:b w:val="false"/>
          <w:i w:val="false"/>
          <w:caps w:val="false"/>
          <w:smallCaps w:val="false"/>
          <w:color w:val="000000"/>
          <w:sz w:val="16"/>
        </w:rPr>
        <w:t xml:space="preserve">​ </w:t>
      </w:r>
    </w:p>
    <w:tbl>
      <w:tblPr>
        <w:tblW w:w="4330" w:type="dxa"/>
        <w:jc w:val="left"/>
        <w:tblInd w:w="900" w:type="dxa"/>
        <w:tblLayout w:type="fixed"/>
        <w:tblCellMar>
          <w:top w:w="0" w:type="dxa"/>
          <w:left w:w="0" w:type="dxa"/>
          <w:bottom w:w="0" w:type="dxa"/>
          <w:right w:w="0" w:type="dxa"/>
        </w:tblCellMar>
      </w:tblPr>
      <w:tblGrid>
        <w:gridCol w:w="124"/>
        <w:gridCol w:w="3488"/>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3488" w:type="dxa"/>
            <w:tcBorders/>
            <w:vAlign w:val="center"/>
          </w:tcPr>
          <w:p>
            <w:pPr>
              <w:pStyle w:val="TableContents"/>
              <w:bidi w:val="0"/>
              <w:spacing w:lineRule="atLeast" w:line="200" w:before="0" w:after="0"/>
              <w:jc w:val="left"/>
              <w:rPr/>
            </w:pPr>
            <w:r>
              <w:rPr>
                <w:spacing w:val="-2"/>
              </w:rPr>
              <w:t>EXECUTIVE COMPENSATION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color w:val="1F2668"/>
                <w:sz w:val="24"/>
              </w:rPr>
            </w:pPr>
            <w:r>
              <w:rPr>
                <w:color w:val="1F2668"/>
                <w:sz w:val="24"/>
              </w:rPr>
              <w:t>67</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360" w:before="560" w:after="154"/>
        <w:ind w:left="900" w:right="0" w:hanging="0"/>
        <w:jc w:val="left"/>
        <w:rPr>
          <w:rFonts w:ascii="Arial;Helvetica;sans-serif" w:hAnsi="Arial;Helvetica;sans-serif"/>
          <w:b/>
          <w:i w:val="false"/>
          <w:caps w:val="false"/>
          <w:smallCaps w:val="false"/>
          <w:color w:val="83AD40"/>
          <w:sz w:val="32"/>
        </w:rPr>
      </w:pPr>
      <w:r>
        <w:rPr>
          <w:rFonts w:ascii="Arial;Helvetica;sans-serif" w:hAnsi="Arial;Helvetica;sans-serif"/>
          <w:b/>
          <w:i w:val="false"/>
          <w:caps/>
          <w:color w:val="83AD40"/>
          <w:spacing w:val="-3"/>
          <w:sz w:val="32"/>
        </w:rPr>
        <w:t>EXECUTIVE COMPENSATION TABLES</w:t>
      </w:r>
      <w:r>
        <w:rPr>
          <w:rFonts w:ascii="Arial;Helvetica;sans-serif" w:hAnsi="Arial;Helvetica;sans-serif"/>
          <w:b/>
          <w:i w:val="false"/>
          <w:caps w:val="false"/>
          <w:smallCaps w:val="false"/>
          <w:color w:val="83AD40"/>
          <w:sz w:val="32"/>
        </w:rPr>
        <w:t xml:space="preserve"> </w:t>
      </w:r>
    </w:p>
    <w:p>
      <w:pPr>
        <w:pStyle w:val="TextBody"/>
        <w:bidi w:val="0"/>
        <w:spacing w:lineRule="atLeast" w:line="300" w:before="320" w:after="283"/>
        <w:jc w:val="left"/>
        <w:rPr>
          <w:rFonts w:ascii="Arial;Helvetica;sans-serif" w:hAnsi="Arial;Helvetica;sans-serif"/>
          <w:b/>
          <w:i w:val="false"/>
          <w:caps w:val="false"/>
          <w:smallCaps w:val="false"/>
          <w:color w:val="1F2668"/>
          <w:sz w:val="26"/>
        </w:rPr>
      </w:pPr>
      <w:r>
        <w:rPr>
          <w:rFonts w:ascii="Arial;Helvetica;sans-serif" w:hAnsi="Arial;Helvetica;sans-serif"/>
          <w:b/>
          <w:i w:val="false"/>
          <w:caps w:val="false"/>
          <w:smallCaps w:val="false"/>
          <w:color w:val="1F2668"/>
          <w:spacing w:val="-3"/>
          <w:sz w:val="26"/>
        </w:rPr>
        <w:t>Summary Compensation Table</w:t>
      </w:r>
      <w:r>
        <w:rPr>
          <w:rFonts w:ascii="Arial;Helvetica;sans-serif" w:hAnsi="Arial;Helvetica;sans-serif"/>
          <w:b/>
          <w:i w:val="false"/>
          <w:caps w:val="false"/>
          <w:smallCaps w:val="false"/>
          <w:color w:val="000000"/>
          <w:spacing w:val="5"/>
          <w:sz w:val="26"/>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The following table sets forth information regarding the compensation paid to the individuals who served as our Chief Executive Officer and Chief Financial Officer during our 2025 fiscal year and one of our most highly compensated executive officers, other than our Chief Executive Officer and Chief Financial Officer, whose total compensation exceeded $100,000 during the fiscal year ended December 31, 2025, or collectively, the “named executive officers.”</w:t>
      </w:r>
      <w:r>
        <w:rPr>
          <w:rFonts w:ascii="Arial;Helvetica;sans-serif" w:hAnsi="Arial;Helvetica;sans-serif"/>
          <w:b w:val="false"/>
          <w:i w:val="false"/>
          <w:caps w:val="false"/>
          <w:smallCaps w:val="false"/>
          <w:color w:val="000000"/>
          <w:spacing w:val="4"/>
          <w:sz w:val="18"/>
        </w:rPr>
        <w:t xml:space="preserve"> </w:t>
      </w:r>
    </w:p>
    <w:tbl>
      <w:tblPr>
        <w:tblW w:w="14027" w:type="dxa"/>
        <w:jc w:val="left"/>
        <w:tblInd w:w="900" w:type="dxa"/>
        <w:tblLayout w:type="fixed"/>
        <w:tblCellMar>
          <w:top w:w="0" w:type="dxa"/>
          <w:left w:w="0" w:type="dxa"/>
          <w:bottom w:w="73" w:type="dxa"/>
          <w:right w:w="0" w:type="dxa"/>
        </w:tblCellMar>
      </w:tblPr>
      <w:tblGrid>
        <w:gridCol w:w="1110"/>
        <w:gridCol w:w="109"/>
        <w:gridCol w:w="109"/>
        <w:gridCol w:w="109"/>
        <w:gridCol w:w="109"/>
        <w:gridCol w:w="109"/>
        <w:gridCol w:w="586"/>
        <w:gridCol w:w="109"/>
        <w:gridCol w:w="109"/>
        <w:gridCol w:w="109"/>
        <w:gridCol w:w="109"/>
        <w:gridCol w:w="226"/>
        <w:gridCol w:w="1066"/>
        <w:gridCol w:w="109"/>
        <w:gridCol w:w="109"/>
        <w:gridCol w:w="109"/>
        <w:gridCol w:w="116"/>
        <w:gridCol w:w="116"/>
        <w:gridCol w:w="368"/>
        <w:gridCol w:w="117"/>
        <w:gridCol w:w="109"/>
        <w:gridCol w:w="109"/>
        <w:gridCol w:w="109"/>
        <w:gridCol w:w="226"/>
        <w:gridCol w:w="1186"/>
        <w:gridCol w:w="109"/>
        <w:gridCol w:w="109"/>
        <w:gridCol w:w="109"/>
        <w:gridCol w:w="109"/>
        <w:gridCol w:w="226"/>
        <w:gridCol w:w="1066"/>
        <w:gridCol w:w="109"/>
        <w:gridCol w:w="109"/>
        <w:gridCol w:w="109"/>
        <w:gridCol w:w="109"/>
        <w:gridCol w:w="226"/>
        <w:gridCol w:w="1066"/>
        <w:gridCol w:w="109"/>
        <w:gridCol w:w="109"/>
        <w:gridCol w:w="109"/>
        <w:gridCol w:w="134"/>
        <w:gridCol w:w="278"/>
        <w:gridCol w:w="943"/>
        <w:gridCol w:w="135"/>
        <w:gridCol w:w="109"/>
        <w:gridCol w:w="109"/>
        <w:gridCol w:w="109"/>
        <w:gridCol w:w="226"/>
        <w:gridCol w:w="1186"/>
        <w:gridCol w:w="109"/>
        <w:gridCol w:w="154"/>
      </w:tblGrid>
      <w:tr>
        <w:trPr/>
        <w:tc>
          <w:tcPr>
            <w:tcW w:w="1110" w:type="dxa"/>
            <w:tcBorders>
              <w:bottom w:val="single" w:sz="2" w:space="0" w:color="1F2668"/>
            </w:tcBorders>
            <w:vAlign w:val="center"/>
          </w:tcPr>
          <w:p>
            <w:pPr>
              <w:pStyle w:val="TableContents"/>
              <w:bidi w:val="0"/>
              <w:spacing w:lineRule="atLeast" w:line="157" w:before="0" w:after="0"/>
              <w:jc w:val="left"/>
              <w:rPr>
                <w:spacing w:val="-1"/>
              </w:rPr>
            </w:pPr>
            <w:r>
              <w:rPr>
                <w:spacing w:val="-1"/>
              </w:rPr>
              <w:t xml:space="preserve">Name and Principal </w:t>
              <w:br/>
              <w:t xml:space="preserve">Position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13" w:type="dxa"/>
            <w:gridSpan w:val="4"/>
            <w:tcBorders>
              <w:bottom w:val="single" w:sz="2" w:space="0" w:color="1F2668"/>
            </w:tcBorders>
            <w:vAlign w:val="center"/>
          </w:tcPr>
          <w:p>
            <w:pPr>
              <w:pStyle w:val="TableContents"/>
              <w:bidi w:val="0"/>
              <w:spacing w:before="0" w:after="0"/>
              <w:jc w:val="right"/>
              <w:rPr/>
            </w:pPr>
            <w:r>
              <w:rPr>
                <w:spacing w:val="-1"/>
              </w:rPr>
              <w:t>Year</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1F2668"/>
            </w:tcBorders>
            <w:vAlign w:val="center"/>
          </w:tcPr>
          <w:p>
            <w:pPr>
              <w:pStyle w:val="TableContents"/>
              <w:bidi w:val="0"/>
              <w:spacing w:lineRule="atLeast" w:line="157" w:before="0" w:after="0"/>
              <w:jc w:val="right"/>
              <w:rPr/>
            </w:pPr>
            <w:r>
              <w:rPr>
                <w:spacing w:val="-1"/>
              </w:rPr>
              <w:t xml:space="preserve">Salary </w:t>
              <w:br/>
              <w:t>($)</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717" w:type="dxa"/>
            <w:gridSpan w:val="4"/>
            <w:tcBorders>
              <w:bottom w:val="single" w:sz="2" w:space="0" w:color="1F2668"/>
            </w:tcBorders>
            <w:vAlign w:val="center"/>
          </w:tcPr>
          <w:p>
            <w:pPr>
              <w:pStyle w:val="TableContents"/>
              <w:bidi w:val="0"/>
              <w:spacing w:lineRule="atLeast" w:line="157" w:before="0" w:after="0"/>
              <w:jc w:val="right"/>
              <w:rPr/>
            </w:pPr>
            <w:r>
              <w:rPr>
                <w:spacing w:val="-1"/>
              </w:rPr>
              <w:t xml:space="preserve">Bonus </w:t>
              <w:br/>
              <w:t>($)</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30" w:type="dxa"/>
            <w:gridSpan w:val="4"/>
            <w:tcBorders>
              <w:bottom w:val="single" w:sz="2" w:space="0" w:color="1F2668"/>
            </w:tcBorders>
            <w:vAlign w:val="center"/>
          </w:tcPr>
          <w:p>
            <w:pPr>
              <w:pStyle w:val="TableContents"/>
              <w:bidi w:val="0"/>
              <w:spacing w:lineRule="atLeast" w:line="142" w:before="0" w:after="0"/>
              <w:jc w:val="right"/>
              <w:rPr/>
            </w:pPr>
            <w:r>
              <w:rPr>
                <w:spacing w:val="-1"/>
              </w:rPr>
              <w:t>Stock Awards</w:t>
            </w:r>
            <w:r>
              <w:rPr>
                <w:spacing w:val="-1"/>
                <w:sz w:val="9"/>
              </w:rPr>
              <w:t>(1)</w:t>
            </w:r>
            <w:r>
              <w:rPr/>
              <w:t xml:space="preserve"> </w:t>
              <w:br/>
            </w:r>
            <w:r>
              <w:rPr>
                <w:spacing w:val="-1"/>
              </w:rPr>
              <w:t>($)</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1F2668"/>
            </w:tcBorders>
            <w:vAlign w:val="center"/>
          </w:tcPr>
          <w:p>
            <w:pPr>
              <w:pStyle w:val="TableContents"/>
              <w:bidi w:val="0"/>
              <w:spacing w:lineRule="atLeast" w:line="157" w:before="0" w:after="0"/>
              <w:jc w:val="right"/>
              <w:rPr/>
            </w:pPr>
            <w:r>
              <w:rPr>
                <w:spacing w:val="-1"/>
              </w:rPr>
              <w:t xml:space="preserve">Option </w:t>
              <w:br/>
              <w:t xml:space="preserve">Awards </w:t>
              <w:br/>
              <w:t>($)</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1F2668"/>
            </w:tcBorders>
            <w:vAlign w:val="center"/>
          </w:tcPr>
          <w:p>
            <w:pPr>
              <w:pStyle w:val="TableContents"/>
              <w:bidi w:val="0"/>
              <w:spacing w:before="0" w:after="0"/>
              <w:jc w:val="right"/>
              <w:rPr/>
            </w:pPr>
            <w:r>
              <w:rPr>
                <w:spacing w:val="-1"/>
              </w:rPr>
              <w:t xml:space="preserve">Non-Equity </w:t>
              <w:br/>
              <w:t xml:space="preserve">Incentive Plan </w:t>
              <w:br/>
              <w:t xml:space="preserve">Compensation </w:t>
              <w:br/>
              <w:t>($)</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90" w:type="dxa"/>
            <w:gridSpan w:val="4"/>
            <w:tcBorders>
              <w:bottom w:val="single" w:sz="2" w:space="0" w:color="1F2668"/>
            </w:tcBorders>
            <w:vAlign w:val="center"/>
          </w:tcPr>
          <w:p>
            <w:pPr>
              <w:pStyle w:val="TableContents"/>
              <w:bidi w:val="0"/>
              <w:spacing w:lineRule="atLeast" w:line="142" w:before="0" w:after="0"/>
              <w:jc w:val="right"/>
              <w:rPr/>
            </w:pPr>
            <w:r>
              <w:rPr>
                <w:spacing w:val="-1"/>
              </w:rPr>
              <w:t xml:space="preserve">All Other </w:t>
              <w:br/>
              <w:t>Compensation</w:t>
            </w:r>
            <w:r>
              <w:rPr>
                <w:spacing w:val="-1"/>
                <w:sz w:val="9"/>
              </w:rPr>
              <w:t>(2)</w:t>
            </w:r>
            <w:r>
              <w:rPr/>
              <w:t xml:space="preserve"> </w:t>
              <w:br/>
            </w:r>
            <w:r>
              <w:rPr>
                <w:spacing w:val="-1"/>
              </w:rPr>
              <w:t>($)</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30" w:type="dxa"/>
            <w:gridSpan w:val="4"/>
            <w:tcBorders>
              <w:bottom w:val="single" w:sz="2" w:space="0" w:color="1F2668"/>
            </w:tcBorders>
            <w:vAlign w:val="center"/>
          </w:tcPr>
          <w:p>
            <w:pPr>
              <w:pStyle w:val="TableContents"/>
              <w:bidi w:val="0"/>
              <w:spacing w:lineRule="atLeast" w:line="157" w:before="0" w:after="0"/>
              <w:jc w:val="right"/>
              <w:rPr/>
            </w:pPr>
            <w:r>
              <w:rPr>
                <w:spacing w:val="-1"/>
              </w:rPr>
              <w:t xml:space="preserve">Total </w:t>
              <w:br/>
              <w:t>($)</w:t>
            </w:r>
            <w:r>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110" w:type="dxa"/>
            <w:vMerge w:val="restart"/>
            <w:tcBorders>
              <w:bottom w:val="single" w:sz="2" w:space="0" w:color="4B5088"/>
            </w:tcBorders>
            <w:tcMar>
              <w:bottom w:w="46" w:type="dxa"/>
            </w:tcMar>
            <w:vAlign w:val="center"/>
          </w:tcPr>
          <w:p>
            <w:pPr>
              <w:pStyle w:val="TableContents"/>
              <w:bidi w:val="0"/>
              <w:spacing w:lineRule="atLeast" w:line="177" w:before="0" w:after="0"/>
              <w:jc w:val="left"/>
              <w:rPr/>
            </w:pPr>
            <w:r>
              <w:rPr>
                <w:b/>
                <w:color w:val="1F2668"/>
                <w:spacing w:val="-2"/>
              </w:rPr>
              <w:t>Marc Holliday</w:t>
            </w:r>
            <w:r>
              <w:rPr>
                <w:spacing w:val="-2"/>
              </w:rPr>
              <w:t xml:space="preserve"> </w:t>
              <w:br/>
              <w:t xml:space="preserve">Chief Executive </w:t>
              <w:br/>
              <w:t xml:space="preserve">Officer, Chairman of the Board*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46" w:type="dxa"/>
            </w:tcMar>
            <w:vAlign w:val="center"/>
          </w:tcPr>
          <w:p>
            <w:pPr>
              <w:pStyle w:val="TableContents"/>
              <w:bidi w:val="0"/>
              <w:spacing w:lineRule="atLeast" w:line="177" w:before="0" w:after="283"/>
              <w:jc w:val="right"/>
              <w:rPr/>
            </w:pPr>
            <w:r>
              <w:rPr/>
              <w:t>​</w:t>
            </w:r>
          </w:p>
        </w:tc>
        <w:tc>
          <w:tcPr>
            <w:tcW w:w="586" w:type="dxa"/>
            <w:tcBorders>
              <w:bottom w:val="single" w:sz="2" w:space="0" w:color="4B5088"/>
            </w:tcBorders>
            <w:shd w:fill="E9F9D8" w:val="clear"/>
            <w:tcMar>
              <w:bottom w:w="46" w:type="dxa"/>
            </w:tcMar>
            <w:vAlign w:val="center"/>
          </w:tcPr>
          <w:p>
            <w:pPr>
              <w:pStyle w:val="TableContents"/>
              <w:bidi w:val="0"/>
              <w:spacing w:lineRule="atLeast" w:line="177" w:before="0" w:after="283"/>
              <w:jc w:val="right"/>
              <w:rPr/>
            </w:pPr>
            <w:r>
              <w:rPr/>
              <w:t>2025</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shd w:fill="E9F9D8" w:val="clear"/>
            <w:tcMar>
              <w:bottom w:w="46" w:type="dxa"/>
            </w:tcMar>
            <w:vAlign w:val="center"/>
          </w:tcPr>
          <w:p>
            <w:pPr>
              <w:pStyle w:val="TableContents"/>
              <w:bidi w:val="0"/>
              <w:spacing w:lineRule="atLeast" w:line="177" w:before="0" w:after="283"/>
              <w:jc w:val="right"/>
              <w:rPr/>
            </w:pPr>
            <w:r>
              <w:rPr/>
              <w:t>$</w:t>
            </w:r>
          </w:p>
        </w:tc>
        <w:tc>
          <w:tcPr>
            <w:tcW w:w="1066" w:type="dxa"/>
            <w:tcBorders>
              <w:bottom w:val="single" w:sz="2" w:space="0" w:color="4B5088"/>
            </w:tcBorders>
            <w:shd w:fill="E9F9D8" w:val="clear"/>
            <w:tcMar>
              <w:bottom w:w="46" w:type="dxa"/>
            </w:tcMar>
            <w:vAlign w:val="center"/>
          </w:tcPr>
          <w:p>
            <w:pPr>
              <w:pStyle w:val="TableContents"/>
              <w:bidi w:val="0"/>
              <w:spacing w:lineRule="atLeast" w:line="177" w:before="0" w:after="283"/>
              <w:jc w:val="right"/>
              <w:rPr/>
            </w:pPr>
            <w:r>
              <w:rPr/>
              <w:t>1,400,000</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16"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16" w:type="dxa"/>
            <w:tcBorders>
              <w:bottom w:val="single" w:sz="2" w:space="0" w:color="4B5088"/>
            </w:tcBorders>
            <w:shd w:fill="E9F9D8" w:val="clear"/>
            <w:tcMar>
              <w:bottom w:w="46" w:type="dxa"/>
            </w:tcMar>
            <w:vAlign w:val="center"/>
          </w:tcPr>
          <w:p>
            <w:pPr>
              <w:pStyle w:val="TableContents"/>
              <w:bidi w:val="0"/>
              <w:spacing w:lineRule="atLeast" w:line="177" w:before="0" w:after="283"/>
              <w:jc w:val="right"/>
              <w:rPr/>
            </w:pPr>
            <w:r>
              <w:rPr/>
              <w:t>​</w:t>
            </w:r>
          </w:p>
        </w:tc>
        <w:tc>
          <w:tcPr>
            <w:tcW w:w="368" w:type="dxa"/>
            <w:tcBorders>
              <w:bottom w:val="single" w:sz="2" w:space="0" w:color="4B5088"/>
            </w:tcBorders>
            <w:shd w:fill="E9F9D8" w:val="clear"/>
            <w:tcMar>
              <w:bottom w:w="46" w:type="dxa"/>
            </w:tcMar>
            <w:vAlign w:val="center"/>
          </w:tcPr>
          <w:p>
            <w:pPr>
              <w:pStyle w:val="TableContents"/>
              <w:bidi w:val="0"/>
              <w:spacing w:lineRule="atLeast" w:line="177" w:before="0" w:after="283"/>
              <w:jc w:val="right"/>
              <w:rPr/>
            </w:pPr>
            <w:r>
              <w:rPr/>
              <w:t>—</w:t>
            </w:r>
          </w:p>
        </w:tc>
        <w:tc>
          <w:tcPr>
            <w:tcW w:w="117"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shd w:fill="E9F9D8" w:val="clear"/>
            <w:tcMar>
              <w:bottom w:w="46" w:type="dxa"/>
            </w:tcMar>
            <w:vAlign w:val="center"/>
          </w:tcPr>
          <w:p>
            <w:pPr>
              <w:pStyle w:val="TableContents"/>
              <w:bidi w:val="0"/>
              <w:spacing w:lineRule="atLeast" w:line="177" w:before="0" w:after="283"/>
              <w:jc w:val="right"/>
              <w:rPr/>
            </w:pPr>
            <w:r>
              <w:rPr/>
              <w:t>$</w:t>
            </w:r>
          </w:p>
        </w:tc>
        <w:tc>
          <w:tcPr>
            <w:tcW w:w="1186" w:type="dxa"/>
            <w:tcBorders>
              <w:bottom w:val="single" w:sz="2" w:space="0" w:color="4B5088"/>
            </w:tcBorders>
            <w:shd w:fill="E9F9D8" w:val="clear"/>
            <w:tcMar>
              <w:bottom w:w="46" w:type="dxa"/>
            </w:tcMar>
            <w:vAlign w:val="center"/>
          </w:tcPr>
          <w:p>
            <w:pPr>
              <w:pStyle w:val="TableContents"/>
              <w:bidi w:val="0"/>
              <w:spacing w:lineRule="atLeast" w:line="177" w:before="0" w:after="283"/>
              <w:jc w:val="right"/>
              <w:rPr/>
            </w:pPr>
            <w:r>
              <w:rPr/>
              <w:t>14,271,656</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shd w:fill="E9F9D8" w:val="clear"/>
            <w:tcMar>
              <w:bottom w:w="46" w:type="dxa"/>
            </w:tcMar>
            <w:vAlign w:val="center"/>
          </w:tcPr>
          <w:p>
            <w:pPr>
              <w:pStyle w:val="TableContents"/>
              <w:bidi w:val="0"/>
              <w:spacing w:lineRule="atLeast" w:line="177" w:before="0" w:after="283"/>
              <w:jc w:val="right"/>
              <w:rPr/>
            </w:pPr>
            <w:r>
              <w:rPr/>
              <w:t>​</w:t>
            </w:r>
          </w:p>
        </w:tc>
        <w:tc>
          <w:tcPr>
            <w:tcW w:w="1066" w:type="dxa"/>
            <w:tcBorders>
              <w:bottom w:val="single" w:sz="2" w:space="0" w:color="4B5088"/>
            </w:tcBorders>
            <w:shd w:fill="E9F9D8" w:val="clear"/>
            <w:tcMar>
              <w:bottom w:w="46" w:type="dxa"/>
            </w:tcMar>
            <w:vAlign w:val="center"/>
          </w:tcPr>
          <w:p>
            <w:pPr>
              <w:pStyle w:val="TableContents"/>
              <w:bidi w:val="0"/>
              <w:spacing w:lineRule="atLeast" w:line="177" w:before="0" w:after="283"/>
              <w:jc w:val="righ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shd w:fill="E9F9D8" w:val="clear"/>
            <w:tcMar>
              <w:bottom w:w="46" w:type="dxa"/>
            </w:tcMar>
            <w:vAlign w:val="center"/>
          </w:tcPr>
          <w:p>
            <w:pPr>
              <w:pStyle w:val="TableContents"/>
              <w:bidi w:val="0"/>
              <w:spacing w:lineRule="atLeast" w:line="177" w:before="0" w:after="283"/>
              <w:jc w:val="right"/>
              <w:rPr/>
            </w:pPr>
            <w:r>
              <w:rPr/>
              <w:t>$</w:t>
            </w:r>
          </w:p>
        </w:tc>
        <w:tc>
          <w:tcPr>
            <w:tcW w:w="1066" w:type="dxa"/>
            <w:tcBorders>
              <w:bottom w:val="single" w:sz="2" w:space="0" w:color="4B5088"/>
            </w:tcBorders>
            <w:shd w:fill="E9F9D8" w:val="clear"/>
            <w:tcMar>
              <w:bottom w:w="46" w:type="dxa"/>
            </w:tcMar>
            <w:vAlign w:val="center"/>
          </w:tcPr>
          <w:p>
            <w:pPr>
              <w:pStyle w:val="TableContents"/>
              <w:bidi w:val="0"/>
              <w:spacing w:lineRule="atLeast" w:line="177" w:before="0" w:after="283"/>
              <w:jc w:val="right"/>
              <w:rPr/>
            </w:pPr>
            <w:r>
              <w:rPr/>
              <w:t>1,639,390</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34"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278" w:type="dxa"/>
            <w:tcBorders>
              <w:bottom w:val="single" w:sz="2" w:space="0" w:color="4B5088"/>
            </w:tcBorders>
            <w:shd w:fill="E9F9D8" w:val="clear"/>
            <w:tcMar>
              <w:bottom w:w="46" w:type="dxa"/>
            </w:tcMar>
            <w:vAlign w:val="center"/>
          </w:tcPr>
          <w:p>
            <w:pPr>
              <w:pStyle w:val="TableContents"/>
              <w:bidi w:val="0"/>
              <w:spacing w:lineRule="atLeast" w:line="177" w:before="0" w:after="283"/>
              <w:jc w:val="right"/>
              <w:rPr/>
            </w:pPr>
            <w:r>
              <w:rPr/>
              <w:t>$</w:t>
            </w:r>
          </w:p>
        </w:tc>
        <w:tc>
          <w:tcPr>
            <w:tcW w:w="943" w:type="dxa"/>
            <w:tcBorders>
              <w:bottom w:val="single" w:sz="2" w:space="0" w:color="4B5088"/>
            </w:tcBorders>
            <w:shd w:fill="E9F9D8" w:val="clear"/>
            <w:tcMar>
              <w:bottom w:w="46" w:type="dxa"/>
            </w:tcMar>
            <w:vAlign w:val="center"/>
          </w:tcPr>
          <w:p>
            <w:pPr>
              <w:pStyle w:val="TableContents"/>
              <w:bidi w:val="0"/>
              <w:spacing w:lineRule="atLeast" w:line="177" w:before="0" w:after="283"/>
              <w:jc w:val="right"/>
              <w:rPr/>
            </w:pPr>
            <w:r>
              <w:rPr/>
              <w:t>45,780</w:t>
            </w:r>
          </w:p>
        </w:tc>
        <w:tc>
          <w:tcPr>
            <w:tcW w:w="135"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shd w:fill="E9F9D8" w:val="clear"/>
            <w:tcMar>
              <w:bottom w:w="46" w:type="dxa"/>
            </w:tcMar>
            <w:vAlign w:val="center"/>
          </w:tcPr>
          <w:p>
            <w:pPr>
              <w:pStyle w:val="TableContents"/>
              <w:bidi w:val="0"/>
              <w:spacing w:lineRule="atLeast" w:line="177" w:before="0" w:after="283"/>
              <w:jc w:val="right"/>
              <w:rPr/>
            </w:pPr>
            <w:r>
              <w:rPr/>
              <w:t>$</w:t>
            </w:r>
          </w:p>
        </w:tc>
        <w:tc>
          <w:tcPr>
            <w:tcW w:w="1186" w:type="dxa"/>
            <w:tcBorders>
              <w:bottom w:val="single" w:sz="2" w:space="0" w:color="4B5088"/>
            </w:tcBorders>
            <w:shd w:fill="E9F9D8" w:val="clear"/>
            <w:tcMar>
              <w:bottom w:w="46" w:type="dxa"/>
            </w:tcMar>
            <w:vAlign w:val="center"/>
          </w:tcPr>
          <w:p>
            <w:pPr>
              <w:pStyle w:val="TableContents"/>
              <w:bidi w:val="0"/>
              <w:spacing w:lineRule="atLeast" w:line="177" w:before="0" w:after="283"/>
              <w:jc w:val="right"/>
              <w:rPr/>
            </w:pPr>
            <w:r>
              <w:rPr/>
              <w:t>17,356,826</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110" w:type="dxa"/>
            <w:vMerge w:val="continue"/>
            <w:tcBorders>
              <w:bottom w:val="single" w:sz="2" w:space="0" w:color="4B5088"/>
            </w:tcBorders>
            <w:tcMar>
              <w:bottom w:w="46" w:type="dxa"/>
            </w:tcMar>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vMerge w:val="continue"/>
            <w:tcBorders>
              <w:bottom w:val="single" w:sz="2" w:space="0" w:color="FFFFFF"/>
            </w:tcBorders>
            <w:shd w:fill="FFFFFF" w:val="clear"/>
            <w:tcMar>
              <w:bottom w:w="28" w:type="dxa"/>
            </w:tcMar>
            <w:vAlign w:val="center"/>
          </w:tcPr>
          <w:p>
            <w:pPr>
              <w:pStyle w:val="Normal"/>
              <w:bidi w:val="0"/>
              <w:jc w:val="left"/>
              <w:rPr/>
            </w:pPr>
            <w:r>
              <w:rPr/>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46" w:type="dxa"/>
            </w:tcMar>
            <w:vAlign w:val="center"/>
          </w:tcPr>
          <w:p>
            <w:pPr>
              <w:pStyle w:val="TableContents"/>
              <w:bidi w:val="0"/>
              <w:spacing w:before="0" w:after="283"/>
              <w:jc w:val="right"/>
              <w:rPr/>
            </w:pPr>
            <w:r>
              <w:rPr/>
              <w:t>​</w:t>
            </w:r>
          </w:p>
        </w:tc>
        <w:tc>
          <w:tcPr>
            <w:tcW w:w="586" w:type="dxa"/>
            <w:tcBorders>
              <w:bottom w:val="single" w:sz="2" w:space="0" w:color="4B5088"/>
            </w:tcBorders>
            <w:tcMar>
              <w:bottom w:w="46" w:type="dxa"/>
            </w:tcMar>
            <w:vAlign w:val="center"/>
          </w:tcPr>
          <w:p>
            <w:pPr>
              <w:pStyle w:val="TableContents"/>
              <w:bidi w:val="0"/>
              <w:spacing w:before="0" w:after="283"/>
              <w:jc w:val="right"/>
              <w:rPr/>
            </w:pPr>
            <w:r>
              <w:rPr/>
              <w:t>2024</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46" w:type="dxa"/>
            </w:tcMar>
            <w:vAlign w:val="center"/>
          </w:tcPr>
          <w:p>
            <w:pPr>
              <w:pStyle w:val="TableContents"/>
              <w:bidi w:val="0"/>
              <w:spacing w:before="0" w:after="283"/>
              <w:jc w:val="right"/>
              <w:rPr/>
            </w:pPr>
            <w:r>
              <w:rPr/>
              <w:t>$</w:t>
            </w:r>
          </w:p>
        </w:tc>
        <w:tc>
          <w:tcPr>
            <w:tcW w:w="1066" w:type="dxa"/>
            <w:tcBorders>
              <w:bottom w:val="single" w:sz="2" w:space="0" w:color="4B5088"/>
            </w:tcBorders>
            <w:tcMar>
              <w:bottom w:w="46" w:type="dxa"/>
            </w:tcMar>
            <w:vAlign w:val="center"/>
          </w:tcPr>
          <w:p>
            <w:pPr>
              <w:pStyle w:val="TableContents"/>
              <w:bidi w:val="0"/>
              <w:spacing w:before="0" w:after="283"/>
              <w:jc w:val="right"/>
              <w:rPr/>
            </w:pPr>
            <w:r>
              <w:rPr/>
              <w:t>1,250,000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6" w:type="dxa"/>
            <w:tcBorders>
              <w:bottom w:val="single" w:sz="2" w:space="0" w:color="4B5088"/>
            </w:tcBorders>
            <w:tcMar>
              <w:bottom w:w="28" w:type="dxa"/>
            </w:tcMar>
            <w:vAlign w:val="center"/>
          </w:tcPr>
          <w:p>
            <w:pPr>
              <w:pStyle w:val="TableContents"/>
              <w:bidi w:val="0"/>
              <w:spacing w:before="0" w:after="283"/>
              <w:jc w:val="left"/>
              <w:rPr/>
            </w:pPr>
            <w:r>
              <w:rPr/>
              <w:t>​</w:t>
            </w:r>
          </w:p>
        </w:tc>
        <w:tc>
          <w:tcPr>
            <w:tcW w:w="116" w:type="dxa"/>
            <w:tcBorders>
              <w:bottom w:val="single" w:sz="2" w:space="0" w:color="4B5088"/>
            </w:tcBorders>
            <w:tcMar>
              <w:bottom w:w="46" w:type="dxa"/>
            </w:tcMar>
            <w:vAlign w:val="center"/>
          </w:tcPr>
          <w:p>
            <w:pPr>
              <w:pStyle w:val="TableContents"/>
              <w:bidi w:val="0"/>
              <w:spacing w:before="0" w:after="283"/>
              <w:jc w:val="right"/>
              <w:rPr/>
            </w:pPr>
            <w:r>
              <w:rPr/>
              <w:t>​</w:t>
            </w:r>
          </w:p>
        </w:tc>
        <w:tc>
          <w:tcPr>
            <w:tcW w:w="368" w:type="dxa"/>
            <w:tcBorders>
              <w:bottom w:val="single" w:sz="2" w:space="0" w:color="4B5088"/>
            </w:tcBorders>
            <w:tcMar>
              <w:bottom w:w="46" w:type="dxa"/>
            </w:tcMar>
            <w:vAlign w:val="center"/>
          </w:tcPr>
          <w:p>
            <w:pPr>
              <w:pStyle w:val="TableContents"/>
              <w:bidi w:val="0"/>
              <w:spacing w:before="0" w:after="283"/>
              <w:jc w:val="right"/>
              <w:rPr/>
            </w:pPr>
            <w:r>
              <w:rPr/>
              <w:t>—</w:t>
            </w:r>
          </w:p>
        </w:tc>
        <w:tc>
          <w:tcPr>
            <w:tcW w:w="117"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46" w:type="dxa"/>
            </w:tcMar>
            <w:vAlign w:val="center"/>
          </w:tcPr>
          <w:p>
            <w:pPr>
              <w:pStyle w:val="TableContents"/>
              <w:bidi w:val="0"/>
              <w:spacing w:before="0" w:after="283"/>
              <w:jc w:val="right"/>
              <w:rPr/>
            </w:pPr>
            <w:r>
              <w:rPr/>
              <w:t>$</w:t>
            </w:r>
          </w:p>
        </w:tc>
        <w:tc>
          <w:tcPr>
            <w:tcW w:w="1186" w:type="dxa"/>
            <w:tcBorders>
              <w:bottom w:val="single" w:sz="2" w:space="0" w:color="4B5088"/>
            </w:tcBorders>
            <w:tcMar>
              <w:bottom w:w="46" w:type="dxa"/>
            </w:tcMar>
            <w:vAlign w:val="center"/>
          </w:tcPr>
          <w:p>
            <w:pPr>
              <w:pStyle w:val="TableContents"/>
              <w:bidi w:val="0"/>
              <w:spacing w:before="0" w:after="283"/>
              <w:jc w:val="right"/>
              <w:rPr/>
            </w:pPr>
            <w:r>
              <w:rPr/>
              <w:t>14,894,830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46" w:type="dxa"/>
            </w:tcMar>
            <w:vAlign w:val="center"/>
          </w:tcPr>
          <w:p>
            <w:pPr>
              <w:pStyle w:val="TableContents"/>
              <w:bidi w:val="0"/>
              <w:spacing w:before="0" w:after="283"/>
              <w:jc w:val="right"/>
              <w:rPr/>
            </w:pPr>
            <w:r>
              <w:rPr/>
              <w:t>$</w:t>
            </w:r>
          </w:p>
        </w:tc>
        <w:tc>
          <w:tcPr>
            <w:tcW w:w="1066" w:type="dxa"/>
            <w:tcBorders>
              <w:bottom w:val="single" w:sz="2" w:space="0" w:color="4B5088"/>
            </w:tcBorders>
            <w:tcMar>
              <w:bottom w:w="46" w:type="dxa"/>
            </w:tcMar>
            <w:vAlign w:val="center"/>
          </w:tcPr>
          <w:p>
            <w:pPr>
              <w:pStyle w:val="TableContents"/>
              <w:bidi w:val="0"/>
              <w:spacing w:before="0" w:after="283"/>
              <w:jc w:val="right"/>
              <w:rPr/>
            </w:pPr>
            <w:r>
              <w:rPr/>
              <w:t>4,499,986</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46" w:type="dxa"/>
            </w:tcMar>
            <w:vAlign w:val="center"/>
          </w:tcPr>
          <w:p>
            <w:pPr>
              <w:pStyle w:val="TableContents"/>
              <w:bidi w:val="0"/>
              <w:spacing w:before="0" w:after="283"/>
              <w:jc w:val="right"/>
              <w:rPr/>
            </w:pPr>
            <w:r>
              <w:rPr/>
              <w:t>​</w:t>
            </w:r>
          </w:p>
        </w:tc>
        <w:tc>
          <w:tcPr>
            <w:tcW w:w="1066" w:type="dxa"/>
            <w:tcBorders>
              <w:bottom w:val="single" w:sz="2" w:space="0" w:color="4B5088"/>
            </w:tcBorders>
            <w:tcMar>
              <w:bottom w:w="46"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4" w:type="dxa"/>
            <w:tcBorders>
              <w:bottom w:val="single" w:sz="2" w:space="0" w:color="4B5088"/>
            </w:tcBorders>
            <w:tcMar>
              <w:bottom w:w="28" w:type="dxa"/>
            </w:tcMar>
            <w:vAlign w:val="center"/>
          </w:tcPr>
          <w:p>
            <w:pPr>
              <w:pStyle w:val="TableContents"/>
              <w:bidi w:val="0"/>
              <w:spacing w:before="0" w:after="283"/>
              <w:jc w:val="left"/>
              <w:rPr/>
            </w:pPr>
            <w:r>
              <w:rPr/>
              <w:t>​</w:t>
            </w:r>
          </w:p>
        </w:tc>
        <w:tc>
          <w:tcPr>
            <w:tcW w:w="278" w:type="dxa"/>
            <w:tcBorders>
              <w:bottom w:val="single" w:sz="2" w:space="0" w:color="4B5088"/>
            </w:tcBorders>
            <w:tcMar>
              <w:bottom w:w="46" w:type="dxa"/>
            </w:tcMar>
            <w:vAlign w:val="center"/>
          </w:tcPr>
          <w:p>
            <w:pPr>
              <w:pStyle w:val="TableContents"/>
              <w:bidi w:val="0"/>
              <w:spacing w:before="0" w:after="283"/>
              <w:jc w:val="right"/>
              <w:rPr/>
            </w:pPr>
            <w:r>
              <w:rPr/>
              <w:t>$</w:t>
            </w:r>
          </w:p>
        </w:tc>
        <w:tc>
          <w:tcPr>
            <w:tcW w:w="943" w:type="dxa"/>
            <w:tcBorders>
              <w:bottom w:val="single" w:sz="2" w:space="0" w:color="4B5088"/>
            </w:tcBorders>
            <w:tcMar>
              <w:bottom w:w="46" w:type="dxa"/>
            </w:tcMar>
            <w:vAlign w:val="center"/>
          </w:tcPr>
          <w:p>
            <w:pPr>
              <w:pStyle w:val="TableContents"/>
              <w:bidi w:val="0"/>
              <w:spacing w:before="0" w:after="283"/>
              <w:jc w:val="right"/>
              <w:rPr/>
            </w:pPr>
            <w:r>
              <w:rPr/>
              <w:t>40,940</w:t>
            </w:r>
          </w:p>
        </w:tc>
        <w:tc>
          <w:tcPr>
            <w:tcW w:w="135"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46" w:type="dxa"/>
            </w:tcMar>
            <w:vAlign w:val="center"/>
          </w:tcPr>
          <w:p>
            <w:pPr>
              <w:pStyle w:val="TableContents"/>
              <w:bidi w:val="0"/>
              <w:spacing w:before="0" w:after="283"/>
              <w:jc w:val="right"/>
              <w:rPr/>
            </w:pPr>
            <w:r>
              <w:rPr/>
              <w:t>$</w:t>
            </w:r>
          </w:p>
        </w:tc>
        <w:tc>
          <w:tcPr>
            <w:tcW w:w="1186" w:type="dxa"/>
            <w:tcBorders>
              <w:bottom w:val="single" w:sz="2" w:space="0" w:color="4B5088"/>
            </w:tcBorders>
            <w:tcMar>
              <w:bottom w:w="46" w:type="dxa"/>
            </w:tcMar>
            <w:vAlign w:val="center"/>
          </w:tcPr>
          <w:p>
            <w:pPr>
              <w:pStyle w:val="TableContents"/>
              <w:bidi w:val="0"/>
              <w:spacing w:before="0" w:after="283"/>
              <w:jc w:val="right"/>
              <w:rPr/>
            </w:pPr>
            <w:r>
              <w:rPr/>
              <w:t>20,685,756</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110" w:type="dxa"/>
            <w:vMerge w:val="continue"/>
            <w:tcBorders>
              <w:bottom w:val="single" w:sz="2" w:space="0" w:color="4B5088"/>
            </w:tcBorders>
            <w:tcMar>
              <w:bottom w:w="46" w:type="dxa"/>
            </w:tcMar>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vMerge w:val="continue"/>
            <w:tcBorders>
              <w:bottom w:val="single" w:sz="2" w:space="0" w:color="FFFFFF"/>
            </w:tcBorders>
            <w:shd w:fill="FFFFFF" w:val="clear"/>
            <w:tcMar>
              <w:bottom w:w="28" w:type="dxa"/>
            </w:tcMar>
            <w:vAlign w:val="center"/>
          </w:tcPr>
          <w:p>
            <w:pPr>
              <w:pStyle w:val="Normal"/>
              <w:bidi w:val="0"/>
              <w:jc w:val="left"/>
              <w:rPr/>
            </w:pPr>
            <w:r>
              <w:rPr/>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46" w:type="dxa"/>
            </w:tcMar>
            <w:vAlign w:val="center"/>
          </w:tcPr>
          <w:p>
            <w:pPr>
              <w:pStyle w:val="TableContents"/>
              <w:bidi w:val="0"/>
              <w:spacing w:before="0" w:after="283"/>
              <w:jc w:val="right"/>
              <w:rPr/>
            </w:pPr>
            <w:r>
              <w:rPr/>
              <w:t>​</w:t>
            </w:r>
          </w:p>
        </w:tc>
        <w:tc>
          <w:tcPr>
            <w:tcW w:w="586" w:type="dxa"/>
            <w:tcBorders>
              <w:bottom w:val="single" w:sz="2" w:space="0" w:color="4B5088"/>
            </w:tcBorders>
            <w:tcMar>
              <w:bottom w:w="46" w:type="dxa"/>
            </w:tcMar>
            <w:vAlign w:val="center"/>
          </w:tcPr>
          <w:p>
            <w:pPr>
              <w:pStyle w:val="TableContents"/>
              <w:bidi w:val="0"/>
              <w:spacing w:before="0" w:after="283"/>
              <w:jc w:val="right"/>
              <w:rPr/>
            </w:pPr>
            <w:r>
              <w:rPr/>
              <w:t>2023</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46" w:type="dxa"/>
            </w:tcMar>
            <w:vAlign w:val="center"/>
          </w:tcPr>
          <w:p>
            <w:pPr>
              <w:pStyle w:val="TableContents"/>
              <w:bidi w:val="0"/>
              <w:spacing w:before="0" w:after="283"/>
              <w:jc w:val="right"/>
              <w:rPr/>
            </w:pPr>
            <w:r>
              <w:rPr/>
              <w:t>$</w:t>
            </w:r>
          </w:p>
        </w:tc>
        <w:tc>
          <w:tcPr>
            <w:tcW w:w="1066" w:type="dxa"/>
            <w:tcBorders>
              <w:bottom w:val="single" w:sz="2" w:space="0" w:color="4B5088"/>
            </w:tcBorders>
            <w:tcMar>
              <w:bottom w:w="46" w:type="dxa"/>
            </w:tcMar>
            <w:vAlign w:val="center"/>
          </w:tcPr>
          <w:p>
            <w:pPr>
              <w:pStyle w:val="TableContents"/>
              <w:bidi w:val="0"/>
              <w:spacing w:before="0" w:after="283"/>
              <w:jc w:val="right"/>
              <w:rPr/>
            </w:pPr>
            <w:r>
              <w:rPr/>
              <w:t>1,250,000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6" w:type="dxa"/>
            <w:tcBorders>
              <w:bottom w:val="single" w:sz="2" w:space="0" w:color="4B5088"/>
            </w:tcBorders>
            <w:tcMar>
              <w:bottom w:w="28" w:type="dxa"/>
            </w:tcMar>
            <w:vAlign w:val="center"/>
          </w:tcPr>
          <w:p>
            <w:pPr>
              <w:pStyle w:val="TableContents"/>
              <w:bidi w:val="0"/>
              <w:spacing w:before="0" w:after="283"/>
              <w:jc w:val="left"/>
              <w:rPr/>
            </w:pPr>
            <w:r>
              <w:rPr/>
              <w:t>​</w:t>
            </w:r>
          </w:p>
        </w:tc>
        <w:tc>
          <w:tcPr>
            <w:tcW w:w="116" w:type="dxa"/>
            <w:tcBorders>
              <w:bottom w:val="single" w:sz="2" w:space="0" w:color="4B5088"/>
            </w:tcBorders>
            <w:tcMar>
              <w:bottom w:w="46" w:type="dxa"/>
            </w:tcMar>
            <w:vAlign w:val="center"/>
          </w:tcPr>
          <w:p>
            <w:pPr>
              <w:pStyle w:val="TableContents"/>
              <w:bidi w:val="0"/>
              <w:spacing w:before="0" w:after="283"/>
              <w:jc w:val="right"/>
              <w:rPr/>
            </w:pPr>
            <w:r>
              <w:rPr/>
              <w:t>​</w:t>
            </w:r>
          </w:p>
        </w:tc>
        <w:tc>
          <w:tcPr>
            <w:tcW w:w="368" w:type="dxa"/>
            <w:tcBorders>
              <w:bottom w:val="single" w:sz="2" w:space="0" w:color="4B5088"/>
            </w:tcBorders>
            <w:tcMar>
              <w:bottom w:w="46" w:type="dxa"/>
            </w:tcMar>
            <w:vAlign w:val="center"/>
          </w:tcPr>
          <w:p>
            <w:pPr>
              <w:pStyle w:val="TableContents"/>
              <w:bidi w:val="0"/>
              <w:spacing w:before="0" w:after="283"/>
              <w:jc w:val="right"/>
              <w:rPr/>
            </w:pPr>
            <w:r>
              <w:rPr/>
              <w:t>—</w:t>
            </w:r>
          </w:p>
        </w:tc>
        <w:tc>
          <w:tcPr>
            <w:tcW w:w="117"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46" w:type="dxa"/>
            </w:tcMar>
            <w:vAlign w:val="center"/>
          </w:tcPr>
          <w:p>
            <w:pPr>
              <w:pStyle w:val="TableContents"/>
              <w:bidi w:val="0"/>
              <w:spacing w:before="0" w:after="283"/>
              <w:jc w:val="right"/>
              <w:rPr/>
            </w:pPr>
            <w:r>
              <w:rPr/>
              <w:t>$</w:t>
            </w:r>
          </w:p>
        </w:tc>
        <w:tc>
          <w:tcPr>
            <w:tcW w:w="1186" w:type="dxa"/>
            <w:tcBorders>
              <w:bottom w:val="single" w:sz="2" w:space="0" w:color="4B5088"/>
            </w:tcBorders>
            <w:tcMar>
              <w:bottom w:w="46" w:type="dxa"/>
            </w:tcMar>
            <w:vAlign w:val="center"/>
          </w:tcPr>
          <w:p>
            <w:pPr>
              <w:pStyle w:val="TableContents"/>
              <w:bidi w:val="0"/>
              <w:spacing w:before="0" w:after="283"/>
              <w:jc w:val="right"/>
              <w:rPr/>
            </w:pPr>
            <w:r>
              <w:rPr/>
              <w:t>15,767,540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46" w:type="dxa"/>
            </w:tcMar>
            <w:vAlign w:val="center"/>
          </w:tcPr>
          <w:p>
            <w:pPr>
              <w:pStyle w:val="TableContents"/>
              <w:bidi w:val="0"/>
              <w:spacing w:before="0" w:after="283"/>
              <w:jc w:val="right"/>
              <w:rPr/>
            </w:pPr>
            <w:r>
              <w:rPr/>
              <w:t>​</w:t>
            </w:r>
          </w:p>
        </w:tc>
        <w:tc>
          <w:tcPr>
            <w:tcW w:w="1066" w:type="dxa"/>
            <w:tcBorders>
              <w:bottom w:val="single" w:sz="2" w:space="0" w:color="4B5088"/>
            </w:tcBorders>
            <w:tcMar>
              <w:bottom w:w="46"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46" w:type="dxa"/>
            </w:tcMar>
            <w:vAlign w:val="center"/>
          </w:tcPr>
          <w:p>
            <w:pPr>
              <w:pStyle w:val="TableContents"/>
              <w:bidi w:val="0"/>
              <w:spacing w:before="0" w:after="283"/>
              <w:jc w:val="right"/>
              <w:rPr/>
            </w:pPr>
            <w:r>
              <w:rPr/>
              <w:t>$</w:t>
            </w:r>
          </w:p>
        </w:tc>
        <w:tc>
          <w:tcPr>
            <w:tcW w:w="1066" w:type="dxa"/>
            <w:tcBorders>
              <w:bottom w:val="single" w:sz="2" w:space="0" w:color="4B5088"/>
            </w:tcBorders>
            <w:tcMar>
              <w:bottom w:w="46" w:type="dxa"/>
            </w:tcMar>
            <w:vAlign w:val="center"/>
          </w:tcPr>
          <w:p>
            <w:pPr>
              <w:pStyle w:val="TableContents"/>
              <w:bidi w:val="0"/>
              <w:spacing w:before="0" w:after="283"/>
              <w:jc w:val="right"/>
              <w:rPr/>
            </w:pPr>
            <w:r>
              <w:rPr/>
              <w:t>1,454,167</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4" w:type="dxa"/>
            <w:tcBorders>
              <w:bottom w:val="single" w:sz="2" w:space="0" w:color="4B5088"/>
            </w:tcBorders>
            <w:tcMar>
              <w:bottom w:w="28" w:type="dxa"/>
            </w:tcMar>
            <w:vAlign w:val="center"/>
          </w:tcPr>
          <w:p>
            <w:pPr>
              <w:pStyle w:val="TableContents"/>
              <w:bidi w:val="0"/>
              <w:spacing w:before="0" w:after="283"/>
              <w:jc w:val="left"/>
              <w:rPr/>
            </w:pPr>
            <w:r>
              <w:rPr/>
              <w:t>​</w:t>
            </w:r>
          </w:p>
        </w:tc>
        <w:tc>
          <w:tcPr>
            <w:tcW w:w="278" w:type="dxa"/>
            <w:tcBorders>
              <w:bottom w:val="single" w:sz="2" w:space="0" w:color="4B5088"/>
            </w:tcBorders>
            <w:tcMar>
              <w:bottom w:w="46" w:type="dxa"/>
            </w:tcMar>
            <w:vAlign w:val="center"/>
          </w:tcPr>
          <w:p>
            <w:pPr>
              <w:pStyle w:val="TableContents"/>
              <w:bidi w:val="0"/>
              <w:spacing w:before="0" w:after="283"/>
              <w:jc w:val="right"/>
              <w:rPr/>
            </w:pPr>
            <w:r>
              <w:rPr/>
              <w:t>$</w:t>
            </w:r>
          </w:p>
        </w:tc>
        <w:tc>
          <w:tcPr>
            <w:tcW w:w="943" w:type="dxa"/>
            <w:tcBorders>
              <w:bottom w:val="single" w:sz="2" w:space="0" w:color="4B5088"/>
            </w:tcBorders>
            <w:tcMar>
              <w:bottom w:w="46" w:type="dxa"/>
            </w:tcMar>
            <w:vAlign w:val="center"/>
          </w:tcPr>
          <w:p>
            <w:pPr>
              <w:pStyle w:val="TableContents"/>
              <w:bidi w:val="0"/>
              <w:spacing w:before="0" w:after="283"/>
              <w:jc w:val="right"/>
              <w:rPr/>
            </w:pPr>
            <w:r>
              <w:rPr/>
              <w:t>36,464</w:t>
            </w:r>
          </w:p>
        </w:tc>
        <w:tc>
          <w:tcPr>
            <w:tcW w:w="135"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46" w:type="dxa"/>
            </w:tcMar>
            <w:vAlign w:val="center"/>
          </w:tcPr>
          <w:p>
            <w:pPr>
              <w:pStyle w:val="TableContents"/>
              <w:bidi w:val="0"/>
              <w:spacing w:before="0" w:after="283"/>
              <w:jc w:val="right"/>
              <w:rPr/>
            </w:pPr>
            <w:r>
              <w:rPr/>
              <w:t>$</w:t>
            </w:r>
          </w:p>
        </w:tc>
        <w:tc>
          <w:tcPr>
            <w:tcW w:w="1186" w:type="dxa"/>
            <w:tcBorders>
              <w:bottom w:val="single" w:sz="2" w:space="0" w:color="4B5088"/>
            </w:tcBorders>
            <w:tcMar>
              <w:bottom w:w="46" w:type="dxa"/>
            </w:tcMar>
            <w:vAlign w:val="center"/>
          </w:tcPr>
          <w:p>
            <w:pPr>
              <w:pStyle w:val="TableContents"/>
              <w:bidi w:val="0"/>
              <w:spacing w:before="0" w:after="283"/>
              <w:jc w:val="right"/>
              <w:rPr/>
            </w:pPr>
            <w:r>
              <w:rPr/>
              <w:t>18,508,171</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110" w:type="dxa"/>
            <w:vMerge w:val="restart"/>
            <w:tcBorders>
              <w:bottom w:val="single" w:sz="2" w:space="0" w:color="4B5088"/>
            </w:tcBorders>
            <w:tcMar>
              <w:bottom w:w="46" w:type="dxa"/>
            </w:tcMar>
            <w:vAlign w:val="center"/>
          </w:tcPr>
          <w:p>
            <w:pPr>
              <w:pStyle w:val="TableContents"/>
              <w:bidi w:val="0"/>
              <w:spacing w:lineRule="atLeast" w:line="177" w:before="0" w:after="0"/>
              <w:jc w:val="left"/>
              <w:rPr/>
            </w:pPr>
            <w:r>
              <w:rPr>
                <w:b/>
                <w:color w:val="1F2668"/>
                <w:spacing w:val="-2"/>
              </w:rPr>
              <w:t>Matthew J. DiLiberto</w:t>
            </w:r>
            <w:r>
              <w:rPr>
                <w:spacing w:val="-2"/>
              </w:rPr>
              <w:t xml:space="preserve"> </w:t>
              <w:br/>
              <w:t xml:space="preserve">Chief Financial Officer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46" w:type="dxa"/>
            </w:tcMar>
            <w:vAlign w:val="center"/>
          </w:tcPr>
          <w:p>
            <w:pPr>
              <w:pStyle w:val="TableContents"/>
              <w:bidi w:val="0"/>
              <w:spacing w:lineRule="atLeast" w:line="177" w:before="0" w:after="283"/>
              <w:jc w:val="right"/>
              <w:rPr/>
            </w:pPr>
            <w:r>
              <w:rPr/>
              <w:t>​</w:t>
            </w:r>
          </w:p>
        </w:tc>
        <w:tc>
          <w:tcPr>
            <w:tcW w:w="586" w:type="dxa"/>
            <w:tcBorders>
              <w:bottom w:val="single" w:sz="2" w:space="0" w:color="4B5088"/>
            </w:tcBorders>
            <w:shd w:fill="E9F9D8" w:val="clear"/>
            <w:tcMar>
              <w:bottom w:w="46" w:type="dxa"/>
            </w:tcMar>
            <w:vAlign w:val="center"/>
          </w:tcPr>
          <w:p>
            <w:pPr>
              <w:pStyle w:val="TableContents"/>
              <w:bidi w:val="0"/>
              <w:spacing w:lineRule="atLeast" w:line="177" w:before="0" w:after="283"/>
              <w:jc w:val="right"/>
              <w:rPr/>
            </w:pPr>
            <w:r>
              <w:rPr/>
              <w:t>2025</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shd w:fill="E9F9D8" w:val="clear"/>
            <w:tcMar>
              <w:bottom w:w="46" w:type="dxa"/>
            </w:tcMar>
            <w:vAlign w:val="center"/>
          </w:tcPr>
          <w:p>
            <w:pPr>
              <w:pStyle w:val="TableContents"/>
              <w:bidi w:val="0"/>
              <w:spacing w:lineRule="atLeast" w:line="177" w:before="0" w:after="283"/>
              <w:jc w:val="right"/>
              <w:rPr/>
            </w:pPr>
            <w:r>
              <w:rPr/>
              <w:t>$</w:t>
            </w:r>
          </w:p>
        </w:tc>
        <w:tc>
          <w:tcPr>
            <w:tcW w:w="1066" w:type="dxa"/>
            <w:tcBorders>
              <w:bottom w:val="single" w:sz="2" w:space="0" w:color="4B5088"/>
            </w:tcBorders>
            <w:shd w:fill="E9F9D8" w:val="clear"/>
            <w:tcMar>
              <w:bottom w:w="46" w:type="dxa"/>
            </w:tcMar>
            <w:vAlign w:val="center"/>
          </w:tcPr>
          <w:p>
            <w:pPr>
              <w:pStyle w:val="TableContents"/>
              <w:bidi w:val="0"/>
              <w:spacing w:lineRule="atLeast" w:line="177" w:before="0" w:after="283"/>
              <w:jc w:val="right"/>
              <w:rPr/>
            </w:pPr>
            <w:r>
              <w:rPr/>
              <w:t>600,000</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16"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16" w:type="dxa"/>
            <w:tcBorders>
              <w:bottom w:val="single" w:sz="2" w:space="0" w:color="4B5088"/>
            </w:tcBorders>
            <w:shd w:fill="E9F9D8" w:val="clear"/>
            <w:tcMar>
              <w:bottom w:w="46" w:type="dxa"/>
            </w:tcMar>
            <w:vAlign w:val="center"/>
          </w:tcPr>
          <w:p>
            <w:pPr>
              <w:pStyle w:val="TableContents"/>
              <w:bidi w:val="0"/>
              <w:spacing w:lineRule="atLeast" w:line="177" w:before="0" w:after="283"/>
              <w:jc w:val="right"/>
              <w:rPr/>
            </w:pPr>
            <w:r>
              <w:rPr/>
              <w:t>​</w:t>
            </w:r>
          </w:p>
        </w:tc>
        <w:tc>
          <w:tcPr>
            <w:tcW w:w="368" w:type="dxa"/>
            <w:tcBorders>
              <w:bottom w:val="single" w:sz="2" w:space="0" w:color="4B5088"/>
            </w:tcBorders>
            <w:shd w:fill="E9F9D8" w:val="clear"/>
            <w:tcMar>
              <w:bottom w:w="46" w:type="dxa"/>
            </w:tcMar>
            <w:vAlign w:val="center"/>
          </w:tcPr>
          <w:p>
            <w:pPr>
              <w:pStyle w:val="TableContents"/>
              <w:bidi w:val="0"/>
              <w:spacing w:lineRule="atLeast" w:line="177" w:before="0" w:after="283"/>
              <w:jc w:val="right"/>
              <w:rPr/>
            </w:pPr>
            <w:r>
              <w:rPr/>
              <w:t>—</w:t>
            </w:r>
          </w:p>
        </w:tc>
        <w:tc>
          <w:tcPr>
            <w:tcW w:w="117"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shd w:fill="E9F9D8" w:val="clear"/>
            <w:tcMar>
              <w:bottom w:w="46" w:type="dxa"/>
            </w:tcMar>
            <w:vAlign w:val="center"/>
          </w:tcPr>
          <w:p>
            <w:pPr>
              <w:pStyle w:val="TableContents"/>
              <w:bidi w:val="0"/>
              <w:spacing w:lineRule="atLeast" w:line="177" w:before="0" w:after="283"/>
              <w:jc w:val="right"/>
              <w:rPr/>
            </w:pPr>
            <w:r>
              <w:rPr/>
              <w:t>$</w:t>
            </w:r>
          </w:p>
        </w:tc>
        <w:tc>
          <w:tcPr>
            <w:tcW w:w="1186" w:type="dxa"/>
            <w:tcBorders>
              <w:bottom w:val="single" w:sz="2" w:space="0" w:color="4B5088"/>
            </w:tcBorders>
            <w:shd w:fill="E9F9D8" w:val="clear"/>
            <w:tcMar>
              <w:bottom w:w="46" w:type="dxa"/>
            </w:tcMar>
            <w:vAlign w:val="center"/>
          </w:tcPr>
          <w:p>
            <w:pPr>
              <w:pStyle w:val="TableContents"/>
              <w:bidi w:val="0"/>
              <w:spacing w:lineRule="atLeast" w:line="177" w:before="0" w:after="283"/>
              <w:jc w:val="right"/>
              <w:rPr/>
            </w:pPr>
            <w:r>
              <w:rPr/>
              <w:t>3,920,692</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shd w:fill="E9F9D8" w:val="clear"/>
            <w:tcMar>
              <w:bottom w:w="46" w:type="dxa"/>
            </w:tcMar>
            <w:vAlign w:val="center"/>
          </w:tcPr>
          <w:p>
            <w:pPr>
              <w:pStyle w:val="TableContents"/>
              <w:bidi w:val="0"/>
              <w:spacing w:lineRule="atLeast" w:line="177" w:before="0" w:after="283"/>
              <w:jc w:val="right"/>
              <w:rPr/>
            </w:pPr>
            <w:r>
              <w:rPr/>
              <w:t>​</w:t>
            </w:r>
          </w:p>
        </w:tc>
        <w:tc>
          <w:tcPr>
            <w:tcW w:w="1066" w:type="dxa"/>
            <w:tcBorders>
              <w:bottom w:val="single" w:sz="2" w:space="0" w:color="4B5088"/>
            </w:tcBorders>
            <w:shd w:fill="E9F9D8" w:val="clear"/>
            <w:tcMar>
              <w:bottom w:w="46" w:type="dxa"/>
            </w:tcMar>
            <w:vAlign w:val="center"/>
          </w:tcPr>
          <w:p>
            <w:pPr>
              <w:pStyle w:val="TableContents"/>
              <w:bidi w:val="0"/>
              <w:spacing w:lineRule="atLeast" w:line="177" w:before="0" w:after="283"/>
              <w:jc w:val="righ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shd w:fill="E9F9D8" w:val="clear"/>
            <w:tcMar>
              <w:bottom w:w="46" w:type="dxa"/>
            </w:tcMar>
            <w:vAlign w:val="center"/>
          </w:tcPr>
          <w:p>
            <w:pPr>
              <w:pStyle w:val="TableContents"/>
              <w:bidi w:val="0"/>
              <w:spacing w:lineRule="atLeast" w:line="177" w:before="0" w:after="283"/>
              <w:jc w:val="right"/>
              <w:rPr/>
            </w:pPr>
            <w:r>
              <w:rPr/>
              <w:t>​</w:t>
            </w:r>
          </w:p>
        </w:tc>
        <w:tc>
          <w:tcPr>
            <w:tcW w:w="1066" w:type="dxa"/>
            <w:tcBorders>
              <w:bottom w:val="single" w:sz="2" w:space="0" w:color="4B5088"/>
            </w:tcBorders>
            <w:shd w:fill="E9F9D8" w:val="clear"/>
            <w:tcMar>
              <w:bottom w:w="46" w:type="dxa"/>
            </w:tcMar>
            <w:vAlign w:val="center"/>
          </w:tcPr>
          <w:p>
            <w:pPr>
              <w:pStyle w:val="TableContents"/>
              <w:bidi w:val="0"/>
              <w:spacing w:lineRule="atLeast" w:line="177" w:before="0" w:after="283"/>
              <w:jc w:val="righ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34"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278" w:type="dxa"/>
            <w:tcBorders>
              <w:bottom w:val="single" w:sz="2" w:space="0" w:color="4B5088"/>
            </w:tcBorders>
            <w:shd w:fill="E9F9D8" w:val="clear"/>
            <w:tcMar>
              <w:bottom w:w="46" w:type="dxa"/>
            </w:tcMar>
            <w:vAlign w:val="center"/>
          </w:tcPr>
          <w:p>
            <w:pPr>
              <w:pStyle w:val="TableContents"/>
              <w:bidi w:val="0"/>
              <w:spacing w:lineRule="atLeast" w:line="177" w:before="0" w:after="283"/>
              <w:jc w:val="right"/>
              <w:rPr/>
            </w:pPr>
            <w:r>
              <w:rPr/>
              <w:t>$</w:t>
            </w:r>
          </w:p>
        </w:tc>
        <w:tc>
          <w:tcPr>
            <w:tcW w:w="943" w:type="dxa"/>
            <w:tcBorders>
              <w:bottom w:val="single" w:sz="2" w:space="0" w:color="4B5088"/>
            </w:tcBorders>
            <w:shd w:fill="E9F9D8" w:val="clear"/>
            <w:tcMar>
              <w:bottom w:w="46" w:type="dxa"/>
            </w:tcMar>
            <w:vAlign w:val="center"/>
          </w:tcPr>
          <w:p>
            <w:pPr>
              <w:pStyle w:val="TableContents"/>
              <w:bidi w:val="0"/>
              <w:spacing w:lineRule="atLeast" w:line="177" w:before="0" w:after="283"/>
              <w:jc w:val="right"/>
              <w:rPr/>
            </w:pPr>
            <w:r>
              <w:rPr/>
              <w:t>14,000</w:t>
            </w:r>
          </w:p>
        </w:tc>
        <w:tc>
          <w:tcPr>
            <w:tcW w:w="135"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shd w:fill="E9F9D8" w:val="clear"/>
            <w:tcMar>
              <w:bottom w:w="46" w:type="dxa"/>
            </w:tcMar>
            <w:vAlign w:val="center"/>
          </w:tcPr>
          <w:p>
            <w:pPr>
              <w:pStyle w:val="TableContents"/>
              <w:bidi w:val="0"/>
              <w:spacing w:lineRule="atLeast" w:line="177" w:before="0" w:after="283"/>
              <w:jc w:val="right"/>
              <w:rPr/>
            </w:pPr>
            <w:r>
              <w:rPr/>
              <w:t>$</w:t>
            </w:r>
          </w:p>
        </w:tc>
        <w:tc>
          <w:tcPr>
            <w:tcW w:w="1186" w:type="dxa"/>
            <w:tcBorders>
              <w:bottom w:val="single" w:sz="2" w:space="0" w:color="4B5088"/>
            </w:tcBorders>
            <w:shd w:fill="E9F9D8" w:val="clear"/>
            <w:tcMar>
              <w:bottom w:w="46" w:type="dxa"/>
            </w:tcMar>
            <w:vAlign w:val="center"/>
          </w:tcPr>
          <w:p>
            <w:pPr>
              <w:pStyle w:val="TableContents"/>
              <w:bidi w:val="0"/>
              <w:spacing w:lineRule="atLeast" w:line="177" w:before="0" w:after="283"/>
              <w:jc w:val="right"/>
              <w:rPr/>
            </w:pPr>
            <w:r>
              <w:rPr/>
              <w:t>4,534,692</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110" w:type="dxa"/>
            <w:vMerge w:val="continue"/>
            <w:tcBorders>
              <w:bottom w:val="single" w:sz="2" w:space="0" w:color="4B5088"/>
            </w:tcBorders>
            <w:tcMar>
              <w:bottom w:w="46" w:type="dxa"/>
            </w:tcMar>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vMerge w:val="continue"/>
            <w:tcBorders>
              <w:bottom w:val="single" w:sz="2" w:space="0" w:color="FFFFFF"/>
            </w:tcBorders>
            <w:shd w:fill="FFFFFF" w:val="clear"/>
            <w:tcMar>
              <w:bottom w:w="28" w:type="dxa"/>
            </w:tcMar>
            <w:vAlign w:val="center"/>
          </w:tcPr>
          <w:p>
            <w:pPr>
              <w:pStyle w:val="Normal"/>
              <w:bidi w:val="0"/>
              <w:jc w:val="left"/>
              <w:rPr/>
            </w:pPr>
            <w:r>
              <w:rPr/>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46" w:type="dxa"/>
            </w:tcMar>
            <w:vAlign w:val="center"/>
          </w:tcPr>
          <w:p>
            <w:pPr>
              <w:pStyle w:val="TableContents"/>
              <w:bidi w:val="0"/>
              <w:spacing w:before="0" w:after="283"/>
              <w:jc w:val="right"/>
              <w:rPr/>
            </w:pPr>
            <w:r>
              <w:rPr/>
              <w:t>​</w:t>
            </w:r>
          </w:p>
        </w:tc>
        <w:tc>
          <w:tcPr>
            <w:tcW w:w="586" w:type="dxa"/>
            <w:tcBorders>
              <w:bottom w:val="single" w:sz="2" w:space="0" w:color="4B5088"/>
            </w:tcBorders>
            <w:tcMar>
              <w:bottom w:w="46" w:type="dxa"/>
            </w:tcMar>
            <w:vAlign w:val="center"/>
          </w:tcPr>
          <w:p>
            <w:pPr>
              <w:pStyle w:val="TableContents"/>
              <w:bidi w:val="0"/>
              <w:spacing w:before="0" w:after="283"/>
              <w:jc w:val="right"/>
              <w:rPr/>
            </w:pPr>
            <w:r>
              <w:rPr/>
              <w:t>2024</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46" w:type="dxa"/>
            </w:tcMar>
            <w:vAlign w:val="center"/>
          </w:tcPr>
          <w:p>
            <w:pPr>
              <w:pStyle w:val="TableContents"/>
              <w:bidi w:val="0"/>
              <w:spacing w:before="0" w:after="283"/>
              <w:jc w:val="right"/>
              <w:rPr/>
            </w:pPr>
            <w:r>
              <w:rPr/>
              <w:t>$</w:t>
            </w:r>
          </w:p>
        </w:tc>
        <w:tc>
          <w:tcPr>
            <w:tcW w:w="1066" w:type="dxa"/>
            <w:tcBorders>
              <w:bottom w:val="single" w:sz="2" w:space="0" w:color="4B5088"/>
            </w:tcBorders>
            <w:tcMar>
              <w:bottom w:w="46" w:type="dxa"/>
            </w:tcMar>
            <w:vAlign w:val="center"/>
          </w:tcPr>
          <w:p>
            <w:pPr>
              <w:pStyle w:val="TableContents"/>
              <w:bidi w:val="0"/>
              <w:spacing w:before="0" w:after="283"/>
              <w:jc w:val="right"/>
              <w:rPr/>
            </w:pPr>
            <w:r>
              <w:rPr/>
              <w:t>600,000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6" w:type="dxa"/>
            <w:tcBorders>
              <w:bottom w:val="single" w:sz="2" w:space="0" w:color="4B5088"/>
            </w:tcBorders>
            <w:tcMar>
              <w:bottom w:w="28" w:type="dxa"/>
            </w:tcMar>
            <w:vAlign w:val="center"/>
          </w:tcPr>
          <w:p>
            <w:pPr>
              <w:pStyle w:val="TableContents"/>
              <w:bidi w:val="0"/>
              <w:spacing w:before="0" w:after="283"/>
              <w:jc w:val="left"/>
              <w:rPr/>
            </w:pPr>
            <w:r>
              <w:rPr/>
              <w:t>​</w:t>
            </w:r>
          </w:p>
        </w:tc>
        <w:tc>
          <w:tcPr>
            <w:tcW w:w="116" w:type="dxa"/>
            <w:tcBorders>
              <w:bottom w:val="single" w:sz="2" w:space="0" w:color="4B5088"/>
            </w:tcBorders>
            <w:tcMar>
              <w:bottom w:w="46" w:type="dxa"/>
            </w:tcMar>
            <w:vAlign w:val="center"/>
          </w:tcPr>
          <w:p>
            <w:pPr>
              <w:pStyle w:val="TableContents"/>
              <w:bidi w:val="0"/>
              <w:spacing w:before="0" w:after="283"/>
              <w:jc w:val="right"/>
              <w:rPr/>
            </w:pPr>
            <w:r>
              <w:rPr/>
              <w:t>​</w:t>
            </w:r>
          </w:p>
        </w:tc>
        <w:tc>
          <w:tcPr>
            <w:tcW w:w="368" w:type="dxa"/>
            <w:tcBorders>
              <w:bottom w:val="single" w:sz="2" w:space="0" w:color="4B5088"/>
            </w:tcBorders>
            <w:tcMar>
              <w:bottom w:w="46" w:type="dxa"/>
            </w:tcMar>
            <w:vAlign w:val="center"/>
          </w:tcPr>
          <w:p>
            <w:pPr>
              <w:pStyle w:val="TableContents"/>
              <w:bidi w:val="0"/>
              <w:spacing w:before="0" w:after="283"/>
              <w:jc w:val="right"/>
              <w:rPr/>
            </w:pPr>
            <w:r>
              <w:rPr/>
              <w:t>—</w:t>
            </w:r>
          </w:p>
        </w:tc>
        <w:tc>
          <w:tcPr>
            <w:tcW w:w="117"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46" w:type="dxa"/>
            </w:tcMar>
            <w:vAlign w:val="center"/>
          </w:tcPr>
          <w:p>
            <w:pPr>
              <w:pStyle w:val="TableContents"/>
              <w:bidi w:val="0"/>
              <w:spacing w:before="0" w:after="283"/>
              <w:jc w:val="right"/>
              <w:rPr/>
            </w:pPr>
            <w:r>
              <w:rPr/>
              <w:t>$</w:t>
            </w:r>
          </w:p>
        </w:tc>
        <w:tc>
          <w:tcPr>
            <w:tcW w:w="1186" w:type="dxa"/>
            <w:tcBorders>
              <w:bottom w:val="single" w:sz="2" w:space="0" w:color="4B5088"/>
            </w:tcBorders>
            <w:tcMar>
              <w:bottom w:w="46" w:type="dxa"/>
            </w:tcMar>
            <w:vAlign w:val="center"/>
          </w:tcPr>
          <w:p>
            <w:pPr>
              <w:pStyle w:val="TableContents"/>
              <w:bidi w:val="0"/>
              <w:spacing w:before="0" w:after="283"/>
              <w:jc w:val="right"/>
              <w:rPr/>
            </w:pPr>
            <w:r>
              <w:rPr/>
              <w:t>3,356,422</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46" w:type="dxa"/>
            </w:tcMar>
            <w:vAlign w:val="center"/>
          </w:tcPr>
          <w:p>
            <w:pPr>
              <w:pStyle w:val="TableContents"/>
              <w:bidi w:val="0"/>
              <w:spacing w:before="0" w:after="283"/>
              <w:jc w:val="right"/>
              <w:rPr/>
            </w:pPr>
            <w:r>
              <w:rPr/>
              <w:t>​</w:t>
            </w:r>
          </w:p>
        </w:tc>
        <w:tc>
          <w:tcPr>
            <w:tcW w:w="1066" w:type="dxa"/>
            <w:tcBorders>
              <w:bottom w:val="single" w:sz="2" w:space="0" w:color="4B5088"/>
            </w:tcBorders>
            <w:tcMar>
              <w:bottom w:w="46"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46" w:type="dxa"/>
            </w:tcMar>
            <w:vAlign w:val="center"/>
          </w:tcPr>
          <w:p>
            <w:pPr>
              <w:pStyle w:val="TableContents"/>
              <w:bidi w:val="0"/>
              <w:spacing w:before="0" w:after="283"/>
              <w:jc w:val="right"/>
              <w:rPr/>
            </w:pPr>
            <w:r>
              <w:rPr/>
              <w:t>​</w:t>
            </w:r>
          </w:p>
        </w:tc>
        <w:tc>
          <w:tcPr>
            <w:tcW w:w="1066" w:type="dxa"/>
            <w:tcBorders>
              <w:bottom w:val="single" w:sz="2" w:space="0" w:color="4B5088"/>
            </w:tcBorders>
            <w:tcMar>
              <w:bottom w:w="46"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4" w:type="dxa"/>
            <w:tcBorders>
              <w:bottom w:val="single" w:sz="2" w:space="0" w:color="4B5088"/>
            </w:tcBorders>
            <w:tcMar>
              <w:bottom w:w="28" w:type="dxa"/>
            </w:tcMar>
            <w:vAlign w:val="center"/>
          </w:tcPr>
          <w:p>
            <w:pPr>
              <w:pStyle w:val="TableContents"/>
              <w:bidi w:val="0"/>
              <w:spacing w:before="0" w:after="283"/>
              <w:jc w:val="left"/>
              <w:rPr/>
            </w:pPr>
            <w:r>
              <w:rPr/>
              <w:t>​</w:t>
            </w:r>
          </w:p>
        </w:tc>
        <w:tc>
          <w:tcPr>
            <w:tcW w:w="278" w:type="dxa"/>
            <w:tcBorders>
              <w:bottom w:val="single" w:sz="2" w:space="0" w:color="4B5088"/>
            </w:tcBorders>
            <w:tcMar>
              <w:bottom w:w="46" w:type="dxa"/>
            </w:tcMar>
            <w:vAlign w:val="center"/>
          </w:tcPr>
          <w:p>
            <w:pPr>
              <w:pStyle w:val="TableContents"/>
              <w:bidi w:val="0"/>
              <w:spacing w:before="0" w:after="283"/>
              <w:jc w:val="right"/>
              <w:rPr/>
            </w:pPr>
            <w:r>
              <w:rPr/>
              <w:t>$</w:t>
            </w:r>
          </w:p>
        </w:tc>
        <w:tc>
          <w:tcPr>
            <w:tcW w:w="943" w:type="dxa"/>
            <w:tcBorders>
              <w:bottom w:val="single" w:sz="2" w:space="0" w:color="4B5088"/>
            </w:tcBorders>
            <w:tcMar>
              <w:bottom w:w="46" w:type="dxa"/>
            </w:tcMar>
            <w:vAlign w:val="center"/>
          </w:tcPr>
          <w:p>
            <w:pPr>
              <w:pStyle w:val="TableContents"/>
              <w:bidi w:val="0"/>
              <w:spacing w:before="0" w:after="283"/>
              <w:jc w:val="right"/>
              <w:rPr/>
            </w:pPr>
            <w:r>
              <w:rPr/>
              <w:t>13,800</w:t>
            </w:r>
          </w:p>
        </w:tc>
        <w:tc>
          <w:tcPr>
            <w:tcW w:w="135"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46" w:type="dxa"/>
            </w:tcMar>
            <w:vAlign w:val="center"/>
          </w:tcPr>
          <w:p>
            <w:pPr>
              <w:pStyle w:val="TableContents"/>
              <w:bidi w:val="0"/>
              <w:spacing w:before="0" w:after="283"/>
              <w:jc w:val="right"/>
              <w:rPr/>
            </w:pPr>
            <w:r>
              <w:rPr/>
              <w:t>$</w:t>
            </w:r>
          </w:p>
        </w:tc>
        <w:tc>
          <w:tcPr>
            <w:tcW w:w="1186" w:type="dxa"/>
            <w:tcBorders>
              <w:bottom w:val="single" w:sz="2" w:space="0" w:color="4B5088"/>
            </w:tcBorders>
            <w:tcMar>
              <w:bottom w:w="46" w:type="dxa"/>
            </w:tcMar>
            <w:vAlign w:val="center"/>
          </w:tcPr>
          <w:p>
            <w:pPr>
              <w:pStyle w:val="TableContents"/>
              <w:bidi w:val="0"/>
              <w:spacing w:before="0" w:after="283"/>
              <w:jc w:val="right"/>
              <w:rPr/>
            </w:pPr>
            <w:r>
              <w:rPr/>
              <w:t>3,970,222</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110" w:type="dxa"/>
            <w:vMerge w:val="continue"/>
            <w:tcBorders>
              <w:bottom w:val="single" w:sz="2" w:space="0" w:color="4B5088"/>
            </w:tcBorders>
            <w:tcMar>
              <w:bottom w:w="46" w:type="dxa"/>
            </w:tcMar>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vMerge w:val="continue"/>
            <w:tcBorders>
              <w:bottom w:val="single" w:sz="2" w:space="0" w:color="FFFFFF"/>
            </w:tcBorders>
            <w:shd w:fill="FFFFFF" w:val="clear"/>
            <w:tcMar>
              <w:bottom w:w="28" w:type="dxa"/>
            </w:tcMar>
            <w:vAlign w:val="center"/>
          </w:tcPr>
          <w:p>
            <w:pPr>
              <w:pStyle w:val="Normal"/>
              <w:bidi w:val="0"/>
              <w:jc w:val="left"/>
              <w:rPr/>
            </w:pPr>
            <w:r>
              <w:rPr/>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46" w:type="dxa"/>
            </w:tcMar>
            <w:vAlign w:val="center"/>
          </w:tcPr>
          <w:p>
            <w:pPr>
              <w:pStyle w:val="TableContents"/>
              <w:bidi w:val="0"/>
              <w:spacing w:before="0" w:after="283"/>
              <w:jc w:val="right"/>
              <w:rPr/>
            </w:pPr>
            <w:r>
              <w:rPr/>
              <w:t>​</w:t>
            </w:r>
          </w:p>
        </w:tc>
        <w:tc>
          <w:tcPr>
            <w:tcW w:w="586" w:type="dxa"/>
            <w:tcBorders>
              <w:bottom w:val="single" w:sz="2" w:space="0" w:color="4B5088"/>
            </w:tcBorders>
            <w:tcMar>
              <w:bottom w:w="46" w:type="dxa"/>
            </w:tcMar>
            <w:vAlign w:val="center"/>
          </w:tcPr>
          <w:p>
            <w:pPr>
              <w:pStyle w:val="TableContents"/>
              <w:bidi w:val="0"/>
              <w:spacing w:before="0" w:after="283"/>
              <w:jc w:val="right"/>
              <w:rPr/>
            </w:pPr>
            <w:r>
              <w:rPr/>
              <w:t>2023</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46" w:type="dxa"/>
            </w:tcMar>
            <w:vAlign w:val="center"/>
          </w:tcPr>
          <w:p>
            <w:pPr>
              <w:pStyle w:val="TableContents"/>
              <w:bidi w:val="0"/>
              <w:spacing w:before="0" w:after="283"/>
              <w:jc w:val="right"/>
              <w:rPr/>
            </w:pPr>
            <w:r>
              <w:rPr/>
              <w:t>$</w:t>
            </w:r>
          </w:p>
        </w:tc>
        <w:tc>
          <w:tcPr>
            <w:tcW w:w="1066" w:type="dxa"/>
            <w:tcBorders>
              <w:bottom w:val="single" w:sz="2" w:space="0" w:color="4B5088"/>
            </w:tcBorders>
            <w:tcMar>
              <w:bottom w:w="46" w:type="dxa"/>
            </w:tcMar>
            <w:vAlign w:val="center"/>
          </w:tcPr>
          <w:p>
            <w:pPr>
              <w:pStyle w:val="TableContents"/>
              <w:bidi w:val="0"/>
              <w:spacing w:before="0" w:after="283"/>
              <w:jc w:val="right"/>
              <w:rPr/>
            </w:pPr>
            <w:r>
              <w:rPr/>
              <w:t>600,000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6" w:type="dxa"/>
            <w:tcBorders>
              <w:bottom w:val="single" w:sz="2" w:space="0" w:color="4B5088"/>
            </w:tcBorders>
            <w:tcMar>
              <w:bottom w:w="28" w:type="dxa"/>
            </w:tcMar>
            <w:vAlign w:val="center"/>
          </w:tcPr>
          <w:p>
            <w:pPr>
              <w:pStyle w:val="TableContents"/>
              <w:bidi w:val="0"/>
              <w:spacing w:before="0" w:after="283"/>
              <w:jc w:val="left"/>
              <w:rPr/>
            </w:pPr>
            <w:r>
              <w:rPr/>
              <w:t>​</w:t>
            </w:r>
          </w:p>
        </w:tc>
        <w:tc>
          <w:tcPr>
            <w:tcW w:w="116" w:type="dxa"/>
            <w:tcBorders>
              <w:bottom w:val="single" w:sz="2" w:space="0" w:color="4B5088"/>
            </w:tcBorders>
            <w:tcMar>
              <w:bottom w:w="46" w:type="dxa"/>
            </w:tcMar>
            <w:vAlign w:val="center"/>
          </w:tcPr>
          <w:p>
            <w:pPr>
              <w:pStyle w:val="TableContents"/>
              <w:bidi w:val="0"/>
              <w:spacing w:before="0" w:after="283"/>
              <w:jc w:val="right"/>
              <w:rPr/>
            </w:pPr>
            <w:r>
              <w:rPr/>
              <w:t>​</w:t>
            </w:r>
          </w:p>
        </w:tc>
        <w:tc>
          <w:tcPr>
            <w:tcW w:w="368" w:type="dxa"/>
            <w:tcBorders>
              <w:bottom w:val="single" w:sz="2" w:space="0" w:color="4B5088"/>
            </w:tcBorders>
            <w:tcMar>
              <w:bottom w:w="46" w:type="dxa"/>
            </w:tcMar>
            <w:vAlign w:val="center"/>
          </w:tcPr>
          <w:p>
            <w:pPr>
              <w:pStyle w:val="TableContents"/>
              <w:bidi w:val="0"/>
              <w:spacing w:before="0" w:after="283"/>
              <w:jc w:val="right"/>
              <w:rPr/>
            </w:pPr>
            <w:r>
              <w:rPr/>
              <w:t>—</w:t>
            </w:r>
          </w:p>
        </w:tc>
        <w:tc>
          <w:tcPr>
            <w:tcW w:w="117"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46" w:type="dxa"/>
            </w:tcMar>
            <w:vAlign w:val="center"/>
          </w:tcPr>
          <w:p>
            <w:pPr>
              <w:pStyle w:val="TableContents"/>
              <w:bidi w:val="0"/>
              <w:spacing w:before="0" w:after="283"/>
              <w:jc w:val="right"/>
              <w:rPr/>
            </w:pPr>
            <w:r>
              <w:rPr/>
              <w:t>$</w:t>
            </w:r>
          </w:p>
        </w:tc>
        <w:tc>
          <w:tcPr>
            <w:tcW w:w="1186" w:type="dxa"/>
            <w:tcBorders>
              <w:bottom w:val="single" w:sz="2" w:space="0" w:color="4B5088"/>
            </w:tcBorders>
            <w:tcMar>
              <w:bottom w:w="46" w:type="dxa"/>
            </w:tcMar>
            <w:vAlign w:val="center"/>
          </w:tcPr>
          <w:p>
            <w:pPr>
              <w:pStyle w:val="TableContents"/>
              <w:bidi w:val="0"/>
              <w:spacing w:before="0" w:after="283"/>
              <w:jc w:val="right"/>
              <w:rPr/>
            </w:pPr>
            <w:r>
              <w:rPr/>
              <w:t>2,652,701</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46" w:type="dxa"/>
            </w:tcMar>
            <w:vAlign w:val="center"/>
          </w:tcPr>
          <w:p>
            <w:pPr>
              <w:pStyle w:val="TableContents"/>
              <w:bidi w:val="0"/>
              <w:spacing w:before="0" w:after="283"/>
              <w:jc w:val="right"/>
              <w:rPr/>
            </w:pPr>
            <w:r>
              <w:rPr/>
              <w:t>​</w:t>
            </w:r>
          </w:p>
        </w:tc>
        <w:tc>
          <w:tcPr>
            <w:tcW w:w="1066" w:type="dxa"/>
            <w:tcBorders>
              <w:bottom w:val="single" w:sz="2" w:space="0" w:color="4B5088"/>
            </w:tcBorders>
            <w:tcMar>
              <w:bottom w:w="46"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46" w:type="dxa"/>
            </w:tcMar>
            <w:vAlign w:val="center"/>
          </w:tcPr>
          <w:p>
            <w:pPr>
              <w:pStyle w:val="TableContents"/>
              <w:bidi w:val="0"/>
              <w:spacing w:before="0" w:after="283"/>
              <w:jc w:val="right"/>
              <w:rPr/>
            </w:pPr>
            <w:r>
              <w:rPr/>
              <w:t>​</w:t>
            </w:r>
          </w:p>
        </w:tc>
        <w:tc>
          <w:tcPr>
            <w:tcW w:w="1066" w:type="dxa"/>
            <w:tcBorders>
              <w:bottom w:val="single" w:sz="2" w:space="0" w:color="4B5088"/>
            </w:tcBorders>
            <w:tcMar>
              <w:bottom w:w="46"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4" w:type="dxa"/>
            <w:tcBorders>
              <w:bottom w:val="single" w:sz="2" w:space="0" w:color="4B5088"/>
            </w:tcBorders>
            <w:tcMar>
              <w:bottom w:w="28" w:type="dxa"/>
            </w:tcMar>
            <w:vAlign w:val="center"/>
          </w:tcPr>
          <w:p>
            <w:pPr>
              <w:pStyle w:val="TableContents"/>
              <w:bidi w:val="0"/>
              <w:spacing w:before="0" w:after="283"/>
              <w:jc w:val="left"/>
              <w:rPr/>
            </w:pPr>
            <w:r>
              <w:rPr/>
              <w:t>​</w:t>
            </w:r>
          </w:p>
        </w:tc>
        <w:tc>
          <w:tcPr>
            <w:tcW w:w="278" w:type="dxa"/>
            <w:tcBorders>
              <w:bottom w:val="single" w:sz="2" w:space="0" w:color="4B5088"/>
            </w:tcBorders>
            <w:tcMar>
              <w:bottom w:w="46" w:type="dxa"/>
            </w:tcMar>
            <w:vAlign w:val="center"/>
          </w:tcPr>
          <w:p>
            <w:pPr>
              <w:pStyle w:val="TableContents"/>
              <w:bidi w:val="0"/>
              <w:spacing w:before="0" w:after="283"/>
              <w:jc w:val="right"/>
              <w:rPr/>
            </w:pPr>
            <w:r>
              <w:rPr/>
              <w:t>$</w:t>
            </w:r>
          </w:p>
        </w:tc>
        <w:tc>
          <w:tcPr>
            <w:tcW w:w="943" w:type="dxa"/>
            <w:tcBorders>
              <w:bottom w:val="single" w:sz="2" w:space="0" w:color="4B5088"/>
            </w:tcBorders>
            <w:tcMar>
              <w:bottom w:w="46" w:type="dxa"/>
            </w:tcMar>
            <w:vAlign w:val="center"/>
          </w:tcPr>
          <w:p>
            <w:pPr>
              <w:pStyle w:val="TableContents"/>
              <w:bidi w:val="0"/>
              <w:spacing w:before="0" w:after="283"/>
              <w:jc w:val="right"/>
              <w:rPr/>
            </w:pPr>
            <w:r>
              <w:rPr/>
              <w:t>13,200</w:t>
            </w:r>
          </w:p>
        </w:tc>
        <w:tc>
          <w:tcPr>
            <w:tcW w:w="135"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46" w:type="dxa"/>
            </w:tcMar>
            <w:vAlign w:val="center"/>
          </w:tcPr>
          <w:p>
            <w:pPr>
              <w:pStyle w:val="TableContents"/>
              <w:bidi w:val="0"/>
              <w:spacing w:before="0" w:after="283"/>
              <w:jc w:val="right"/>
              <w:rPr/>
            </w:pPr>
            <w:r>
              <w:rPr/>
              <w:t>$</w:t>
            </w:r>
          </w:p>
        </w:tc>
        <w:tc>
          <w:tcPr>
            <w:tcW w:w="1186" w:type="dxa"/>
            <w:tcBorders>
              <w:bottom w:val="single" w:sz="2" w:space="0" w:color="4B5088"/>
            </w:tcBorders>
            <w:tcMar>
              <w:bottom w:w="46" w:type="dxa"/>
            </w:tcMar>
            <w:vAlign w:val="center"/>
          </w:tcPr>
          <w:p>
            <w:pPr>
              <w:pStyle w:val="TableContents"/>
              <w:bidi w:val="0"/>
              <w:spacing w:before="0" w:after="283"/>
              <w:jc w:val="right"/>
              <w:rPr/>
            </w:pPr>
            <w:r>
              <w:rPr/>
              <w:t>3,265,901</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110" w:type="dxa"/>
            <w:vMerge w:val="restart"/>
            <w:tcBorders>
              <w:bottom w:val="single" w:sz="2" w:space="0" w:color="1F2668"/>
            </w:tcBorders>
            <w:tcMar>
              <w:bottom w:w="46" w:type="dxa"/>
            </w:tcMar>
            <w:vAlign w:val="center"/>
          </w:tcPr>
          <w:p>
            <w:pPr>
              <w:pStyle w:val="TableContents"/>
              <w:bidi w:val="0"/>
              <w:spacing w:lineRule="atLeast" w:line="177" w:before="0" w:after="0"/>
              <w:jc w:val="left"/>
              <w:rPr/>
            </w:pPr>
            <w:r>
              <w:rPr>
                <w:b/>
                <w:color w:val="1F2668"/>
                <w:spacing w:val="-2"/>
              </w:rPr>
              <w:t>Andrew S. Levine</w:t>
            </w:r>
            <w:r>
              <w:rPr>
                <w:spacing w:val="-2"/>
              </w:rPr>
              <w:t xml:space="preserve"> </w:t>
              <w:br/>
              <w:t xml:space="preserve">Chief Legal Officer </w:t>
              <w:br/>
              <w:t xml:space="preserve">and General Counsel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46" w:type="dxa"/>
            </w:tcMar>
            <w:vAlign w:val="center"/>
          </w:tcPr>
          <w:p>
            <w:pPr>
              <w:pStyle w:val="TableContents"/>
              <w:bidi w:val="0"/>
              <w:spacing w:lineRule="atLeast" w:line="177" w:before="0" w:after="283"/>
              <w:jc w:val="right"/>
              <w:rPr/>
            </w:pPr>
            <w:r>
              <w:rPr/>
              <w:t>​</w:t>
            </w:r>
          </w:p>
        </w:tc>
        <w:tc>
          <w:tcPr>
            <w:tcW w:w="586" w:type="dxa"/>
            <w:tcBorders>
              <w:bottom w:val="single" w:sz="2" w:space="0" w:color="4B5088"/>
            </w:tcBorders>
            <w:shd w:fill="E9F9D8" w:val="clear"/>
            <w:tcMar>
              <w:bottom w:w="46" w:type="dxa"/>
            </w:tcMar>
            <w:vAlign w:val="center"/>
          </w:tcPr>
          <w:p>
            <w:pPr>
              <w:pStyle w:val="TableContents"/>
              <w:bidi w:val="0"/>
              <w:spacing w:lineRule="atLeast" w:line="177" w:before="0" w:after="283"/>
              <w:jc w:val="right"/>
              <w:rPr/>
            </w:pPr>
            <w:r>
              <w:rPr/>
              <w:t>2025</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shd w:fill="E9F9D8" w:val="clear"/>
            <w:tcMar>
              <w:bottom w:w="46" w:type="dxa"/>
            </w:tcMar>
            <w:vAlign w:val="center"/>
          </w:tcPr>
          <w:p>
            <w:pPr>
              <w:pStyle w:val="TableContents"/>
              <w:bidi w:val="0"/>
              <w:spacing w:lineRule="atLeast" w:line="177" w:before="0" w:after="283"/>
              <w:jc w:val="right"/>
              <w:rPr/>
            </w:pPr>
            <w:r>
              <w:rPr/>
              <w:t>$</w:t>
            </w:r>
          </w:p>
        </w:tc>
        <w:tc>
          <w:tcPr>
            <w:tcW w:w="1066" w:type="dxa"/>
            <w:tcBorders>
              <w:bottom w:val="single" w:sz="2" w:space="0" w:color="4B5088"/>
            </w:tcBorders>
            <w:shd w:fill="E9F9D8" w:val="clear"/>
            <w:tcMar>
              <w:bottom w:w="46" w:type="dxa"/>
            </w:tcMar>
            <w:vAlign w:val="center"/>
          </w:tcPr>
          <w:p>
            <w:pPr>
              <w:pStyle w:val="TableContents"/>
              <w:bidi w:val="0"/>
              <w:spacing w:lineRule="atLeast" w:line="177" w:before="0" w:after="283"/>
              <w:jc w:val="right"/>
              <w:rPr/>
            </w:pPr>
            <w:r>
              <w:rPr/>
              <w:t>600,000</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16"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16" w:type="dxa"/>
            <w:tcBorders>
              <w:bottom w:val="single" w:sz="2" w:space="0" w:color="4B5088"/>
            </w:tcBorders>
            <w:shd w:fill="E9F9D8" w:val="clear"/>
            <w:tcMar>
              <w:bottom w:w="46" w:type="dxa"/>
            </w:tcMar>
            <w:vAlign w:val="center"/>
          </w:tcPr>
          <w:p>
            <w:pPr>
              <w:pStyle w:val="TableContents"/>
              <w:bidi w:val="0"/>
              <w:spacing w:lineRule="atLeast" w:line="177" w:before="0" w:after="283"/>
              <w:jc w:val="right"/>
              <w:rPr/>
            </w:pPr>
            <w:r>
              <w:rPr/>
              <w:t>​</w:t>
            </w:r>
          </w:p>
        </w:tc>
        <w:tc>
          <w:tcPr>
            <w:tcW w:w="368" w:type="dxa"/>
            <w:tcBorders>
              <w:bottom w:val="single" w:sz="2" w:space="0" w:color="4B5088"/>
            </w:tcBorders>
            <w:shd w:fill="E9F9D8" w:val="clear"/>
            <w:tcMar>
              <w:bottom w:w="46" w:type="dxa"/>
            </w:tcMar>
            <w:vAlign w:val="center"/>
          </w:tcPr>
          <w:p>
            <w:pPr>
              <w:pStyle w:val="TableContents"/>
              <w:bidi w:val="0"/>
              <w:spacing w:lineRule="atLeast" w:line="177" w:before="0" w:after="283"/>
              <w:jc w:val="right"/>
              <w:rPr/>
            </w:pPr>
            <w:r>
              <w:rPr/>
              <w:t>—</w:t>
            </w:r>
          </w:p>
        </w:tc>
        <w:tc>
          <w:tcPr>
            <w:tcW w:w="117"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shd w:fill="E9F9D8" w:val="clear"/>
            <w:tcMar>
              <w:bottom w:w="46" w:type="dxa"/>
            </w:tcMar>
            <w:vAlign w:val="center"/>
          </w:tcPr>
          <w:p>
            <w:pPr>
              <w:pStyle w:val="TableContents"/>
              <w:bidi w:val="0"/>
              <w:spacing w:lineRule="atLeast" w:line="177" w:before="0" w:after="283"/>
              <w:jc w:val="right"/>
              <w:rPr/>
            </w:pPr>
            <w:r>
              <w:rPr/>
              <w:t>$</w:t>
            </w:r>
          </w:p>
        </w:tc>
        <w:tc>
          <w:tcPr>
            <w:tcW w:w="1186" w:type="dxa"/>
            <w:tcBorders>
              <w:bottom w:val="single" w:sz="2" w:space="0" w:color="4B5088"/>
            </w:tcBorders>
            <w:shd w:fill="E9F9D8" w:val="clear"/>
            <w:tcMar>
              <w:bottom w:w="46" w:type="dxa"/>
            </w:tcMar>
            <w:vAlign w:val="center"/>
          </w:tcPr>
          <w:p>
            <w:pPr>
              <w:pStyle w:val="TableContents"/>
              <w:bidi w:val="0"/>
              <w:spacing w:lineRule="atLeast" w:line="177" w:before="0" w:after="283"/>
              <w:jc w:val="right"/>
              <w:rPr/>
            </w:pPr>
            <w:r>
              <w:rPr/>
              <w:t>2,858,353</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shd w:fill="E9F9D8" w:val="clear"/>
            <w:tcMar>
              <w:bottom w:w="46" w:type="dxa"/>
            </w:tcMar>
            <w:vAlign w:val="center"/>
          </w:tcPr>
          <w:p>
            <w:pPr>
              <w:pStyle w:val="TableContents"/>
              <w:bidi w:val="0"/>
              <w:spacing w:lineRule="atLeast" w:line="177" w:before="0" w:after="283"/>
              <w:jc w:val="right"/>
              <w:rPr/>
            </w:pPr>
            <w:r>
              <w:rPr/>
              <w:t>​</w:t>
            </w:r>
          </w:p>
        </w:tc>
        <w:tc>
          <w:tcPr>
            <w:tcW w:w="1066" w:type="dxa"/>
            <w:tcBorders>
              <w:bottom w:val="single" w:sz="2" w:space="0" w:color="4B5088"/>
            </w:tcBorders>
            <w:shd w:fill="E9F9D8" w:val="clear"/>
            <w:tcMar>
              <w:bottom w:w="46" w:type="dxa"/>
            </w:tcMar>
            <w:vAlign w:val="center"/>
          </w:tcPr>
          <w:p>
            <w:pPr>
              <w:pStyle w:val="TableContents"/>
              <w:bidi w:val="0"/>
              <w:spacing w:lineRule="atLeast" w:line="177" w:before="0" w:after="283"/>
              <w:jc w:val="righ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shd w:fill="E9F9D8" w:val="clear"/>
            <w:tcMar>
              <w:bottom w:w="46" w:type="dxa"/>
            </w:tcMar>
            <w:vAlign w:val="center"/>
          </w:tcPr>
          <w:p>
            <w:pPr>
              <w:pStyle w:val="TableContents"/>
              <w:bidi w:val="0"/>
              <w:spacing w:lineRule="atLeast" w:line="177" w:before="0" w:after="283"/>
              <w:jc w:val="right"/>
              <w:rPr/>
            </w:pPr>
            <w:r>
              <w:rPr/>
              <w:t>​</w:t>
            </w:r>
          </w:p>
        </w:tc>
        <w:tc>
          <w:tcPr>
            <w:tcW w:w="1066" w:type="dxa"/>
            <w:tcBorders>
              <w:bottom w:val="single" w:sz="2" w:space="0" w:color="4B5088"/>
            </w:tcBorders>
            <w:shd w:fill="E9F9D8" w:val="clear"/>
            <w:tcMar>
              <w:bottom w:w="46" w:type="dxa"/>
            </w:tcMar>
            <w:vAlign w:val="center"/>
          </w:tcPr>
          <w:p>
            <w:pPr>
              <w:pStyle w:val="TableContents"/>
              <w:bidi w:val="0"/>
              <w:spacing w:lineRule="atLeast" w:line="177" w:before="0" w:after="283"/>
              <w:jc w:val="righ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34"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278" w:type="dxa"/>
            <w:tcBorders>
              <w:bottom w:val="single" w:sz="2" w:space="0" w:color="4B5088"/>
            </w:tcBorders>
            <w:shd w:fill="E9F9D8" w:val="clear"/>
            <w:tcMar>
              <w:bottom w:w="46" w:type="dxa"/>
            </w:tcMar>
            <w:vAlign w:val="center"/>
          </w:tcPr>
          <w:p>
            <w:pPr>
              <w:pStyle w:val="TableContents"/>
              <w:bidi w:val="0"/>
              <w:spacing w:lineRule="atLeast" w:line="177" w:before="0" w:after="283"/>
              <w:jc w:val="right"/>
              <w:rPr/>
            </w:pPr>
            <w:r>
              <w:rPr/>
              <w:t>$</w:t>
            </w:r>
          </w:p>
        </w:tc>
        <w:tc>
          <w:tcPr>
            <w:tcW w:w="943" w:type="dxa"/>
            <w:tcBorders>
              <w:bottom w:val="single" w:sz="2" w:space="0" w:color="4B5088"/>
            </w:tcBorders>
            <w:shd w:fill="E9F9D8" w:val="clear"/>
            <w:tcMar>
              <w:bottom w:w="46" w:type="dxa"/>
            </w:tcMar>
            <w:vAlign w:val="center"/>
          </w:tcPr>
          <w:p>
            <w:pPr>
              <w:pStyle w:val="TableContents"/>
              <w:bidi w:val="0"/>
              <w:spacing w:lineRule="atLeast" w:line="177" w:before="0" w:after="283"/>
              <w:jc w:val="right"/>
              <w:rPr/>
            </w:pPr>
            <w:r>
              <w:rPr/>
              <w:t>14,000</w:t>
            </w:r>
          </w:p>
        </w:tc>
        <w:tc>
          <w:tcPr>
            <w:tcW w:w="135"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shd w:fill="E9F9D8" w:val="clear"/>
            <w:tcMar>
              <w:bottom w:w="46" w:type="dxa"/>
            </w:tcMar>
            <w:vAlign w:val="center"/>
          </w:tcPr>
          <w:p>
            <w:pPr>
              <w:pStyle w:val="TableContents"/>
              <w:bidi w:val="0"/>
              <w:spacing w:lineRule="atLeast" w:line="177" w:before="0" w:after="283"/>
              <w:jc w:val="right"/>
              <w:rPr/>
            </w:pPr>
            <w:r>
              <w:rPr/>
              <w:t>$</w:t>
            </w:r>
          </w:p>
        </w:tc>
        <w:tc>
          <w:tcPr>
            <w:tcW w:w="1186" w:type="dxa"/>
            <w:tcBorders>
              <w:bottom w:val="single" w:sz="2" w:space="0" w:color="4B5088"/>
            </w:tcBorders>
            <w:shd w:fill="E9F9D8" w:val="clear"/>
            <w:tcMar>
              <w:bottom w:w="46" w:type="dxa"/>
            </w:tcMar>
            <w:vAlign w:val="center"/>
          </w:tcPr>
          <w:p>
            <w:pPr>
              <w:pStyle w:val="TableContents"/>
              <w:bidi w:val="0"/>
              <w:spacing w:lineRule="atLeast" w:line="177" w:before="0" w:after="283"/>
              <w:jc w:val="right"/>
              <w:rPr/>
            </w:pPr>
            <w:r>
              <w:rPr/>
              <w:t>3,472,353</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110" w:type="dxa"/>
            <w:vMerge w:val="continue"/>
            <w:tcBorders>
              <w:bottom w:val="single" w:sz="2" w:space="0" w:color="1F2668"/>
            </w:tcBorders>
            <w:tcMar>
              <w:bottom w:w="46" w:type="dxa"/>
            </w:tcMar>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vMerge w:val="continue"/>
            <w:tcBorders>
              <w:bottom w:val="single" w:sz="2" w:space="0" w:color="FFFFFF"/>
            </w:tcBorders>
            <w:shd w:fill="FFFFFF" w:val="clear"/>
            <w:tcMar>
              <w:bottom w:w="28" w:type="dxa"/>
            </w:tcMar>
            <w:vAlign w:val="center"/>
          </w:tcPr>
          <w:p>
            <w:pPr>
              <w:pStyle w:val="Normal"/>
              <w:bidi w:val="0"/>
              <w:jc w:val="left"/>
              <w:rPr/>
            </w:pPr>
            <w:r>
              <w:rPr/>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46" w:type="dxa"/>
            </w:tcMar>
            <w:vAlign w:val="center"/>
          </w:tcPr>
          <w:p>
            <w:pPr>
              <w:pStyle w:val="TableContents"/>
              <w:bidi w:val="0"/>
              <w:spacing w:before="0" w:after="283"/>
              <w:jc w:val="right"/>
              <w:rPr/>
            </w:pPr>
            <w:r>
              <w:rPr/>
              <w:t>​</w:t>
            </w:r>
          </w:p>
        </w:tc>
        <w:tc>
          <w:tcPr>
            <w:tcW w:w="586" w:type="dxa"/>
            <w:tcBorders>
              <w:bottom w:val="single" w:sz="2" w:space="0" w:color="4B5088"/>
            </w:tcBorders>
            <w:tcMar>
              <w:bottom w:w="46" w:type="dxa"/>
            </w:tcMar>
            <w:vAlign w:val="center"/>
          </w:tcPr>
          <w:p>
            <w:pPr>
              <w:pStyle w:val="TableContents"/>
              <w:bidi w:val="0"/>
              <w:spacing w:before="0" w:after="283"/>
              <w:jc w:val="right"/>
              <w:rPr/>
            </w:pPr>
            <w:r>
              <w:rPr/>
              <w:t>2024</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46" w:type="dxa"/>
            </w:tcMar>
            <w:vAlign w:val="center"/>
          </w:tcPr>
          <w:p>
            <w:pPr>
              <w:pStyle w:val="TableContents"/>
              <w:bidi w:val="0"/>
              <w:spacing w:before="0" w:after="283"/>
              <w:jc w:val="right"/>
              <w:rPr/>
            </w:pPr>
            <w:r>
              <w:rPr/>
              <w:t>$</w:t>
            </w:r>
          </w:p>
        </w:tc>
        <w:tc>
          <w:tcPr>
            <w:tcW w:w="1066" w:type="dxa"/>
            <w:tcBorders>
              <w:bottom w:val="single" w:sz="2" w:space="0" w:color="4B5088"/>
            </w:tcBorders>
            <w:tcMar>
              <w:bottom w:w="46" w:type="dxa"/>
            </w:tcMar>
            <w:vAlign w:val="center"/>
          </w:tcPr>
          <w:p>
            <w:pPr>
              <w:pStyle w:val="TableContents"/>
              <w:bidi w:val="0"/>
              <w:spacing w:before="0" w:after="283"/>
              <w:jc w:val="right"/>
              <w:rPr/>
            </w:pPr>
            <w:r>
              <w:rPr/>
              <w:t>580,000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6" w:type="dxa"/>
            <w:tcBorders>
              <w:bottom w:val="single" w:sz="2" w:space="0" w:color="4B5088"/>
            </w:tcBorders>
            <w:tcMar>
              <w:bottom w:w="28" w:type="dxa"/>
            </w:tcMar>
            <w:vAlign w:val="center"/>
          </w:tcPr>
          <w:p>
            <w:pPr>
              <w:pStyle w:val="TableContents"/>
              <w:bidi w:val="0"/>
              <w:spacing w:before="0" w:after="283"/>
              <w:jc w:val="left"/>
              <w:rPr/>
            </w:pPr>
            <w:r>
              <w:rPr/>
              <w:t>​</w:t>
            </w:r>
          </w:p>
        </w:tc>
        <w:tc>
          <w:tcPr>
            <w:tcW w:w="116" w:type="dxa"/>
            <w:tcBorders>
              <w:bottom w:val="single" w:sz="2" w:space="0" w:color="4B5088"/>
            </w:tcBorders>
            <w:tcMar>
              <w:bottom w:w="46" w:type="dxa"/>
            </w:tcMar>
            <w:vAlign w:val="center"/>
          </w:tcPr>
          <w:p>
            <w:pPr>
              <w:pStyle w:val="TableContents"/>
              <w:bidi w:val="0"/>
              <w:spacing w:before="0" w:after="283"/>
              <w:jc w:val="right"/>
              <w:rPr/>
            </w:pPr>
            <w:r>
              <w:rPr/>
              <w:t>​</w:t>
            </w:r>
          </w:p>
        </w:tc>
        <w:tc>
          <w:tcPr>
            <w:tcW w:w="368" w:type="dxa"/>
            <w:tcBorders>
              <w:bottom w:val="single" w:sz="2" w:space="0" w:color="4B5088"/>
            </w:tcBorders>
            <w:tcMar>
              <w:bottom w:w="46" w:type="dxa"/>
            </w:tcMar>
            <w:vAlign w:val="center"/>
          </w:tcPr>
          <w:p>
            <w:pPr>
              <w:pStyle w:val="TableContents"/>
              <w:bidi w:val="0"/>
              <w:spacing w:before="0" w:after="283"/>
              <w:jc w:val="right"/>
              <w:rPr/>
            </w:pPr>
            <w:r>
              <w:rPr/>
              <w:t>—</w:t>
            </w:r>
          </w:p>
        </w:tc>
        <w:tc>
          <w:tcPr>
            <w:tcW w:w="117"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46" w:type="dxa"/>
            </w:tcMar>
            <w:vAlign w:val="center"/>
          </w:tcPr>
          <w:p>
            <w:pPr>
              <w:pStyle w:val="TableContents"/>
              <w:bidi w:val="0"/>
              <w:spacing w:before="0" w:after="283"/>
              <w:jc w:val="right"/>
              <w:rPr/>
            </w:pPr>
            <w:r>
              <w:rPr/>
              <w:t>$</w:t>
            </w:r>
          </w:p>
        </w:tc>
        <w:tc>
          <w:tcPr>
            <w:tcW w:w="1186" w:type="dxa"/>
            <w:tcBorders>
              <w:bottom w:val="single" w:sz="2" w:space="0" w:color="4B5088"/>
            </w:tcBorders>
            <w:tcMar>
              <w:bottom w:w="46" w:type="dxa"/>
            </w:tcMar>
            <w:vAlign w:val="center"/>
          </w:tcPr>
          <w:p>
            <w:pPr>
              <w:pStyle w:val="TableContents"/>
              <w:bidi w:val="0"/>
              <w:spacing w:before="0" w:after="283"/>
              <w:jc w:val="right"/>
              <w:rPr/>
            </w:pPr>
            <w:r>
              <w:rPr/>
              <w:t>2,536,465</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46" w:type="dxa"/>
            </w:tcMar>
            <w:vAlign w:val="center"/>
          </w:tcPr>
          <w:p>
            <w:pPr>
              <w:pStyle w:val="TableContents"/>
              <w:bidi w:val="0"/>
              <w:spacing w:before="0" w:after="283"/>
              <w:jc w:val="right"/>
              <w:rPr/>
            </w:pPr>
            <w:r>
              <w:rPr/>
              <w:t>​</w:t>
            </w:r>
          </w:p>
        </w:tc>
        <w:tc>
          <w:tcPr>
            <w:tcW w:w="1066" w:type="dxa"/>
            <w:tcBorders>
              <w:bottom w:val="single" w:sz="2" w:space="0" w:color="4B5088"/>
            </w:tcBorders>
            <w:tcMar>
              <w:bottom w:w="46"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46" w:type="dxa"/>
            </w:tcMar>
            <w:vAlign w:val="center"/>
          </w:tcPr>
          <w:p>
            <w:pPr>
              <w:pStyle w:val="TableContents"/>
              <w:bidi w:val="0"/>
              <w:spacing w:before="0" w:after="283"/>
              <w:jc w:val="right"/>
              <w:rPr/>
            </w:pPr>
            <w:r>
              <w:rPr/>
              <w:t>​</w:t>
            </w:r>
          </w:p>
        </w:tc>
        <w:tc>
          <w:tcPr>
            <w:tcW w:w="1066" w:type="dxa"/>
            <w:tcBorders>
              <w:bottom w:val="single" w:sz="2" w:space="0" w:color="4B5088"/>
            </w:tcBorders>
            <w:tcMar>
              <w:bottom w:w="46"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4" w:type="dxa"/>
            <w:tcBorders>
              <w:bottom w:val="single" w:sz="2" w:space="0" w:color="4B5088"/>
            </w:tcBorders>
            <w:tcMar>
              <w:bottom w:w="28" w:type="dxa"/>
            </w:tcMar>
            <w:vAlign w:val="center"/>
          </w:tcPr>
          <w:p>
            <w:pPr>
              <w:pStyle w:val="TableContents"/>
              <w:bidi w:val="0"/>
              <w:spacing w:before="0" w:after="283"/>
              <w:jc w:val="left"/>
              <w:rPr/>
            </w:pPr>
            <w:r>
              <w:rPr/>
              <w:t>​</w:t>
            </w:r>
          </w:p>
        </w:tc>
        <w:tc>
          <w:tcPr>
            <w:tcW w:w="278" w:type="dxa"/>
            <w:tcBorders>
              <w:bottom w:val="single" w:sz="2" w:space="0" w:color="4B5088"/>
            </w:tcBorders>
            <w:tcMar>
              <w:bottom w:w="46" w:type="dxa"/>
            </w:tcMar>
            <w:vAlign w:val="center"/>
          </w:tcPr>
          <w:p>
            <w:pPr>
              <w:pStyle w:val="TableContents"/>
              <w:bidi w:val="0"/>
              <w:spacing w:before="0" w:after="283"/>
              <w:jc w:val="right"/>
              <w:rPr/>
            </w:pPr>
            <w:r>
              <w:rPr/>
              <w:t>$</w:t>
            </w:r>
          </w:p>
        </w:tc>
        <w:tc>
          <w:tcPr>
            <w:tcW w:w="943" w:type="dxa"/>
            <w:tcBorders>
              <w:bottom w:val="single" w:sz="2" w:space="0" w:color="4B5088"/>
            </w:tcBorders>
            <w:tcMar>
              <w:bottom w:w="46" w:type="dxa"/>
            </w:tcMar>
            <w:vAlign w:val="center"/>
          </w:tcPr>
          <w:p>
            <w:pPr>
              <w:pStyle w:val="TableContents"/>
              <w:bidi w:val="0"/>
              <w:spacing w:before="0" w:after="283"/>
              <w:jc w:val="right"/>
              <w:rPr/>
            </w:pPr>
            <w:r>
              <w:rPr/>
              <w:t>13,800</w:t>
            </w:r>
          </w:p>
        </w:tc>
        <w:tc>
          <w:tcPr>
            <w:tcW w:w="135"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46" w:type="dxa"/>
            </w:tcMar>
            <w:vAlign w:val="center"/>
          </w:tcPr>
          <w:p>
            <w:pPr>
              <w:pStyle w:val="TableContents"/>
              <w:bidi w:val="0"/>
              <w:spacing w:before="0" w:after="283"/>
              <w:jc w:val="right"/>
              <w:rPr/>
            </w:pPr>
            <w:r>
              <w:rPr/>
              <w:t>$</w:t>
            </w:r>
          </w:p>
        </w:tc>
        <w:tc>
          <w:tcPr>
            <w:tcW w:w="1186" w:type="dxa"/>
            <w:tcBorders>
              <w:bottom w:val="single" w:sz="2" w:space="0" w:color="4B5088"/>
            </w:tcBorders>
            <w:tcMar>
              <w:bottom w:w="46" w:type="dxa"/>
            </w:tcMar>
            <w:vAlign w:val="center"/>
          </w:tcPr>
          <w:p>
            <w:pPr>
              <w:pStyle w:val="TableContents"/>
              <w:bidi w:val="0"/>
              <w:spacing w:before="0" w:after="283"/>
              <w:jc w:val="right"/>
              <w:rPr/>
            </w:pPr>
            <w:r>
              <w:rPr/>
              <w:t>3,130,265</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110" w:type="dxa"/>
            <w:vMerge w:val="continue"/>
            <w:tcBorders>
              <w:bottom w:val="single" w:sz="2" w:space="0" w:color="1F2668"/>
            </w:tcBorders>
            <w:tcMar>
              <w:bottom w:w="46" w:type="dxa"/>
            </w:tcMar>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vMerge w:val="continue"/>
            <w:tcBorders>
              <w:bottom w:val="single" w:sz="2" w:space="0" w:color="FFFFFF"/>
            </w:tcBorders>
            <w:shd w:fill="FFFFFF" w:val="clear"/>
            <w:tcMar>
              <w:bottom w:w="28" w:type="dxa"/>
            </w:tcMar>
            <w:vAlign w:val="center"/>
          </w:tcPr>
          <w:p>
            <w:pPr>
              <w:pStyle w:val="Normal"/>
              <w:bidi w:val="0"/>
              <w:jc w:val="left"/>
              <w:rPr/>
            </w:pPr>
            <w:r>
              <w:rPr/>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46" w:type="dxa"/>
            </w:tcMar>
            <w:vAlign w:val="center"/>
          </w:tcPr>
          <w:p>
            <w:pPr>
              <w:pStyle w:val="TableContents"/>
              <w:bidi w:val="0"/>
              <w:spacing w:before="0" w:after="283"/>
              <w:jc w:val="right"/>
              <w:rPr/>
            </w:pPr>
            <w:r>
              <w:rPr/>
              <w:t>​</w:t>
            </w:r>
          </w:p>
        </w:tc>
        <w:tc>
          <w:tcPr>
            <w:tcW w:w="586" w:type="dxa"/>
            <w:tcBorders>
              <w:bottom w:val="single" w:sz="2" w:space="0" w:color="1F2668"/>
            </w:tcBorders>
            <w:tcMar>
              <w:bottom w:w="46" w:type="dxa"/>
            </w:tcMar>
            <w:vAlign w:val="center"/>
          </w:tcPr>
          <w:p>
            <w:pPr>
              <w:pStyle w:val="TableContents"/>
              <w:bidi w:val="0"/>
              <w:spacing w:before="0" w:after="283"/>
              <w:jc w:val="right"/>
              <w:rPr/>
            </w:pPr>
            <w:r>
              <w:rPr/>
              <w:t>2023</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226" w:type="dxa"/>
            <w:tcBorders>
              <w:bottom w:val="single" w:sz="2" w:space="0" w:color="1F2668"/>
            </w:tcBorders>
            <w:tcMar>
              <w:bottom w:w="46" w:type="dxa"/>
            </w:tcMar>
            <w:vAlign w:val="center"/>
          </w:tcPr>
          <w:p>
            <w:pPr>
              <w:pStyle w:val="TableContents"/>
              <w:bidi w:val="0"/>
              <w:spacing w:before="0" w:after="283"/>
              <w:jc w:val="right"/>
              <w:rPr/>
            </w:pPr>
            <w:r>
              <w:rPr/>
              <w:t>$</w:t>
            </w:r>
          </w:p>
        </w:tc>
        <w:tc>
          <w:tcPr>
            <w:tcW w:w="1066" w:type="dxa"/>
            <w:tcBorders>
              <w:bottom w:val="single" w:sz="2" w:space="0" w:color="1F2668"/>
            </w:tcBorders>
            <w:tcMar>
              <w:bottom w:w="46" w:type="dxa"/>
            </w:tcMar>
            <w:vAlign w:val="center"/>
          </w:tcPr>
          <w:p>
            <w:pPr>
              <w:pStyle w:val="TableContents"/>
              <w:bidi w:val="0"/>
              <w:spacing w:before="0" w:after="283"/>
              <w:jc w:val="right"/>
              <w:rPr/>
            </w:pPr>
            <w:r>
              <w:rPr/>
              <w:t>580,000</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6" w:type="dxa"/>
            <w:tcBorders>
              <w:bottom w:val="single" w:sz="2" w:space="0" w:color="1F2668"/>
            </w:tcBorders>
            <w:tcMar>
              <w:bottom w:w="28" w:type="dxa"/>
            </w:tcMar>
            <w:vAlign w:val="center"/>
          </w:tcPr>
          <w:p>
            <w:pPr>
              <w:pStyle w:val="TableContents"/>
              <w:bidi w:val="0"/>
              <w:spacing w:before="0" w:after="283"/>
              <w:jc w:val="left"/>
              <w:rPr/>
            </w:pPr>
            <w:r>
              <w:rPr/>
              <w:t>​</w:t>
            </w:r>
          </w:p>
        </w:tc>
        <w:tc>
          <w:tcPr>
            <w:tcW w:w="116" w:type="dxa"/>
            <w:tcBorders>
              <w:bottom w:val="single" w:sz="2" w:space="0" w:color="1F2668"/>
            </w:tcBorders>
            <w:tcMar>
              <w:bottom w:w="46" w:type="dxa"/>
            </w:tcMar>
            <w:vAlign w:val="center"/>
          </w:tcPr>
          <w:p>
            <w:pPr>
              <w:pStyle w:val="TableContents"/>
              <w:bidi w:val="0"/>
              <w:spacing w:before="0" w:after="283"/>
              <w:jc w:val="right"/>
              <w:rPr/>
            </w:pPr>
            <w:r>
              <w:rPr/>
              <w:t>​</w:t>
            </w:r>
          </w:p>
        </w:tc>
        <w:tc>
          <w:tcPr>
            <w:tcW w:w="368" w:type="dxa"/>
            <w:tcBorders>
              <w:bottom w:val="single" w:sz="2" w:space="0" w:color="1F2668"/>
            </w:tcBorders>
            <w:tcMar>
              <w:bottom w:w="46" w:type="dxa"/>
            </w:tcMar>
            <w:vAlign w:val="center"/>
          </w:tcPr>
          <w:p>
            <w:pPr>
              <w:pStyle w:val="TableContents"/>
              <w:bidi w:val="0"/>
              <w:spacing w:before="0" w:after="283"/>
              <w:jc w:val="right"/>
              <w:rPr/>
            </w:pPr>
            <w:r>
              <w:rPr/>
              <w:t>—</w:t>
            </w:r>
          </w:p>
        </w:tc>
        <w:tc>
          <w:tcPr>
            <w:tcW w:w="117"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226" w:type="dxa"/>
            <w:tcBorders>
              <w:bottom w:val="single" w:sz="2" w:space="0" w:color="1F2668"/>
            </w:tcBorders>
            <w:tcMar>
              <w:bottom w:w="46" w:type="dxa"/>
            </w:tcMar>
            <w:vAlign w:val="center"/>
          </w:tcPr>
          <w:p>
            <w:pPr>
              <w:pStyle w:val="TableContents"/>
              <w:bidi w:val="0"/>
              <w:spacing w:before="0" w:after="283"/>
              <w:jc w:val="right"/>
              <w:rPr/>
            </w:pPr>
            <w:r>
              <w:rPr/>
              <w:t>$</w:t>
            </w:r>
          </w:p>
        </w:tc>
        <w:tc>
          <w:tcPr>
            <w:tcW w:w="1186" w:type="dxa"/>
            <w:tcBorders>
              <w:bottom w:val="single" w:sz="2" w:space="0" w:color="1F2668"/>
            </w:tcBorders>
            <w:tcMar>
              <w:bottom w:w="46" w:type="dxa"/>
            </w:tcMar>
            <w:vAlign w:val="center"/>
          </w:tcPr>
          <w:p>
            <w:pPr>
              <w:pStyle w:val="TableContents"/>
              <w:bidi w:val="0"/>
              <w:spacing w:before="0" w:after="283"/>
              <w:jc w:val="right"/>
              <w:rPr/>
            </w:pPr>
            <w:r>
              <w:rPr/>
              <w:t>2,839,185</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226" w:type="dxa"/>
            <w:tcBorders>
              <w:bottom w:val="single" w:sz="2" w:space="0" w:color="1F2668"/>
            </w:tcBorders>
            <w:tcMar>
              <w:bottom w:w="46" w:type="dxa"/>
            </w:tcMar>
            <w:vAlign w:val="center"/>
          </w:tcPr>
          <w:p>
            <w:pPr>
              <w:pStyle w:val="TableContents"/>
              <w:bidi w:val="0"/>
              <w:spacing w:before="0" w:after="283"/>
              <w:jc w:val="right"/>
              <w:rPr/>
            </w:pPr>
            <w:r>
              <w:rPr/>
              <w:t>​</w:t>
            </w:r>
          </w:p>
        </w:tc>
        <w:tc>
          <w:tcPr>
            <w:tcW w:w="1066" w:type="dxa"/>
            <w:tcBorders>
              <w:bottom w:val="single" w:sz="2" w:space="0" w:color="1F2668"/>
            </w:tcBorders>
            <w:tcMar>
              <w:bottom w:w="46" w:type="dxa"/>
            </w:tcMar>
            <w:vAlign w:val="center"/>
          </w:tcPr>
          <w:p>
            <w:pPr>
              <w:pStyle w:val="TableContents"/>
              <w:bidi w:val="0"/>
              <w:spacing w:before="0" w:after="283"/>
              <w:jc w:val="righ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226" w:type="dxa"/>
            <w:tcBorders>
              <w:bottom w:val="single" w:sz="2" w:space="0" w:color="1F2668"/>
            </w:tcBorders>
            <w:tcMar>
              <w:bottom w:w="46" w:type="dxa"/>
            </w:tcMar>
            <w:vAlign w:val="center"/>
          </w:tcPr>
          <w:p>
            <w:pPr>
              <w:pStyle w:val="TableContents"/>
              <w:bidi w:val="0"/>
              <w:spacing w:before="0" w:after="283"/>
              <w:jc w:val="right"/>
              <w:rPr/>
            </w:pPr>
            <w:r>
              <w:rPr/>
              <w:t>​</w:t>
            </w:r>
          </w:p>
        </w:tc>
        <w:tc>
          <w:tcPr>
            <w:tcW w:w="1066" w:type="dxa"/>
            <w:tcBorders>
              <w:bottom w:val="single" w:sz="2" w:space="0" w:color="1F2668"/>
            </w:tcBorders>
            <w:tcMar>
              <w:bottom w:w="46" w:type="dxa"/>
            </w:tcMar>
            <w:vAlign w:val="center"/>
          </w:tcPr>
          <w:p>
            <w:pPr>
              <w:pStyle w:val="TableContents"/>
              <w:bidi w:val="0"/>
              <w:spacing w:before="0" w:after="283"/>
              <w:jc w:val="righ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4" w:type="dxa"/>
            <w:tcBorders>
              <w:bottom w:val="single" w:sz="2" w:space="0" w:color="1F2668"/>
            </w:tcBorders>
            <w:tcMar>
              <w:bottom w:w="28" w:type="dxa"/>
            </w:tcMar>
            <w:vAlign w:val="center"/>
          </w:tcPr>
          <w:p>
            <w:pPr>
              <w:pStyle w:val="TableContents"/>
              <w:bidi w:val="0"/>
              <w:spacing w:before="0" w:after="283"/>
              <w:jc w:val="left"/>
              <w:rPr/>
            </w:pPr>
            <w:r>
              <w:rPr/>
              <w:t>​</w:t>
            </w:r>
          </w:p>
        </w:tc>
        <w:tc>
          <w:tcPr>
            <w:tcW w:w="278" w:type="dxa"/>
            <w:tcBorders>
              <w:bottom w:val="single" w:sz="2" w:space="0" w:color="1F2668"/>
            </w:tcBorders>
            <w:tcMar>
              <w:bottom w:w="46" w:type="dxa"/>
            </w:tcMar>
            <w:vAlign w:val="center"/>
          </w:tcPr>
          <w:p>
            <w:pPr>
              <w:pStyle w:val="TableContents"/>
              <w:bidi w:val="0"/>
              <w:spacing w:before="0" w:after="283"/>
              <w:jc w:val="right"/>
              <w:rPr/>
            </w:pPr>
            <w:r>
              <w:rPr/>
              <w:t>$</w:t>
            </w:r>
          </w:p>
        </w:tc>
        <w:tc>
          <w:tcPr>
            <w:tcW w:w="943" w:type="dxa"/>
            <w:tcBorders>
              <w:bottom w:val="single" w:sz="2" w:space="0" w:color="1F2668"/>
            </w:tcBorders>
            <w:tcMar>
              <w:bottom w:w="46" w:type="dxa"/>
            </w:tcMar>
            <w:vAlign w:val="center"/>
          </w:tcPr>
          <w:p>
            <w:pPr>
              <w:pStyle w:val="TableContents"/>
              <w:bidi w:val="0"/>
              <w:spacing w:before="0" w:after="283"/>
              <w:jc w:val="right"/>
              <w:rPr/>
            </w:pPr>
            <w:r>
              <w:rPr/>
              <w:t>13,200</w:t>
            </w:r>
          </w:p>
        </w:tc>
        <w:tc>
          <w:tcPr>
            <w:tcW w:w="135"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226" w:type="dxa"/>
            <w:tcBorders>
              <w:bottom w:val="single" w:sz="2" w:space="0" w:color="1F2668"/>
            </w:tcBorders>
            <w:tcMar>
              <w:bottom w:w="46" w:type="dxa"/>
            </w:tcMar>
            <w:vAlign w:val="center"/>
          </w:tcPr>
          <w:p>
            <w:pPr>
              <w:pStyle w:val="TableContents"/>
              <w:bidi w:val="0"/>
              <w:spacing w:before="0" w:after="283"/>
              <w:jc w:val="right"/>
              <w:rPr/>
            </w:pPr>
            <w:r>
              <w:rPr/>
              <w:t>$</w:t>
            </w:r>
          </w:p>
        </w:tc>
        <w:tc>
          <w:tcPr>
            <w:tcW w:w="1186" w:type="dxa"/>
            <w:tcBorders>
              <w:bottom w:val="single" w:sz="2" w:space="0" w:color="1F2668"/>
            </w:tcBorders>
            <w:tcMar>
              <w:bottom w:w="46" w:type="dxa"/>
            </w:tcMar>
            <w:vAlign w:val="center"/>
          </w:tcPr>
          <w:p>
            <w:pPr>
              <w:pStyle w:val="TableContents"/>
              <w:bidi w:val="0"/>
              <w:spacing w:before="0" w:after="283"/>
              <w:jc w:val="right"/>
              <w:rPr/>
            </w:pPr>
            <w:r>
              <w:rPr/>
              <w:t>3,432,385</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240"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In connection with Mr. Sitomer’s appointment as our President on February 27, 2026, Mr. Holliday no longer holds the title of Interim President.</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52400" distB="0" distL="0" distR="0" simplePos="0" locked="0" layoutInCell="1" allowOverlap="1" relativeHeight="706">
                <wp:simplePos x="0" y="0"/>
                <wp:positionH relativeFrom="column">
                  <wp:align>left</wp:align>
                </wp:positionH>
                <wp:positionV relativeFrom="line">
                  <wp:align>top</wp:align>
                </wp:positionV>
                <wp:extent cx="254000" cy="350520"/>
                <wp:effectExtent l="0" t="0" r="0" b="0"/>
                <wp:wrapSquare wrapText="right"/>
                <wp:docPr id="807" name="Frame45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w:t>
                      </w:r>
                      <w:r>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Amounts shown do not reflect compensation actually received by the named executive officer. Instead, the amounts shown are the full grant date fair value of stock awards issued to the executives in 2025, 2024 and 2023, respectively. In accordance with SEC disclosure requirements, the amounts for 2025 include the full grant date fair value of our 2025 performance-based equity awards, which were as follows: Mr. Holliday-$6,653,741; Mr. DiLiberto-$737,893; and Mr. Levine-$660,088, respectively. The grant date fair value of such awards is computed in accordance with ASC 718, “Compensation-Stock Compensation,” or “ASC 718,” by the use of Monte Carlo simulation models that consider the probable outcomes of the market-based performance conditions governing such awards. The Monte Carlo simulation model for the awards granted during 2025 used an assumed stock price volatility level of 49.0% on our common stock and a risk-free interest rate of 3.84%.</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707">
                <wp:simplePos x="0" y="0"/>
                <wp:positionH relativeFrom="column">
                  <wp:align>left</wp:align>
                </wp:positionH>
                <wp:positionV relativeFrom="line">
                  <wp:align>top</wp:align>
                </wp:positionV>
                <wp:extent cx="254000" cy="350520"/>
                <wp:effectExtent l="0" t="0" r="0" b="0"/>
                <wp:wrapSquare wrapText="right"/>
                <wp:docPr id="808" name="Frame45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(1)</w:t>
                      </w:r>
                      <w:r>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40" w:after="283"/>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Assuming that maximum performance is achieved under our 2025 performance-based equity awards, the value at the grant date of the awards would each have been as follows: Mr. Holliday-$12,579,315; Mr. DiLiberto-$1,543,771; and Mr. Levine-$1,372,304, respectively. See “—Compensation Discussion and Analysis-Our 2025 Executive Compensation Program” for a description of the terms of these performance-based awards.</w:t>
      </w:r>
      <w:r>
        <w:rPr>
          <w:rFonts w:ascii="Arial;Helvetica;sans-serif" w:hAnsi="Arial;Helvetica;sans-serif"/>
          <w:b w:val="false"/>
          <w:i w:val="false"/>
          <w:caps w:val="false"/>
          <w:smallCaps w:val="false"/>
          <w:color w:val="000000"/>
          <w:spacing w:val="3"/>
          <w:sz w:val="16"/>
        </w:rPr>
        <w:t xml:space="preserve"> </w:t>
      </w:r>
    </w:p>
    <w:p>
      <w:pPr>
        <w:pStyle w:val="TextBody"/>
        <w:bidi w:val="0"/>
        <w:spacing w:lineRule="atLeast" w:line="200" w:before="80"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The table and footnotes below show the components of this column for 2025, which include certain perquisites such as Company 401(k) matching contributions.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708">
                <wp:simplePos x="0" y="0"/>
                <wp:positionH relativeFrom="column">
                  <wp:align>left</wp:align>
                </wp:positionH>
                <wp:positionV relativeFrom="line">
                  <wp:align>top</wp:align>
                </wp:positionV>
                <wp:extent cx="254000" cy="350520"/>
                <wp:effectExtent l="0" t="0" r="0" b="0"/>
                <wp:wrapSquare wrapText="right"/>
                <wp:docPr id="809" name="Frame45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2"/>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(2)</w:t>
                      </w:r>
                      <w:r>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tbl>
      <w:tblPr>
        <w:tblW w:w="4588" w:type="dxa"/>
        <w:jc w:val="left"/>
        <w:tblInd w:w="900" w:type="dxa"/>
        <w:tblLayout w:type="fixed"/>
        <w:tblCellMar>
          <w:top w:w="0" w:type="dxa"/>
          <w:left w:w="0" w:type="dxa"/>
          <w:bottom w:w="73" w:type="dxa"/>
          <w:right w:w="0" w:type="dxa"/>
        </w:tblCellMar>
      </w:tblPr>
      <w:tblGrid>
        <w:gridCol w:w="2371"/>
        <w:gridCol w:w="109"/>
        <w:gridCol w:w="109"/>
        <w:gridCol w:w="160"/>
        <w:gridCol w:w="334"/>
        <w:gridCol w:w="1189"/>
        <w:gridCol w:w="162"/>
        <w:gridCol w:w="154"/>
      </w:tblGrid>
      <w:tr>
        <w:trPr/>
        <w:tc>
          <w:tcPr>
            <w:tcW w:w="2371" w:type="dxa"/>
            <w:tcBorders>
              <w:bottom w:val="single" w:sz="2" w:space="0" w:color="1F2668"/>
            </w:tcBorders>
            <w:vAlign w:val="center"/>
          </w:tcPr>
          <w:p>
            <w:pPr>
              <w:pStyle w:val="TableContents"/>
              <w:bidi w:val="0"/>
              <w:spacing w:before="0" w:after="0"/>
              <w:jc w:val="left"/>
              <w:rPr>
                <w:spacing w:val="-1"/>
              </w:rPr>
            </w:pPr>
            <w:r>
              <w:rPr>
                <w:spacing w:val="-1"/>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45" w:type="dxa"/>
            <w:gridSpan w:val="4"/>
            <w:tcBorders>
              <w:bottom w:val="single" w:sz="2" w:space="0" w:color="1F2668"/>
            </w:tcBorders>
            <w:vAlign w:val="center"/>
          </w:tcPr>
          <w:p>
            <w:pPr>
              <w:pStyle w:val="TableContents"/>
              <w:bidi w:val="0"/>
              <w:spacing w:lineRule="atLeast" w:line="157" w:before="0" w:after="0"/>
              <w:jc w:val="right"/>
              <w:rPr/>
            </w:pPr>
            <w:r>
              <w:rPr>
                <w:spacing w:val="-1"/>
              </w:rPr>
              <w:t xml:space="preserve">All Other </w:t>
              <w:br/>
              <w:t>Compensation ($)</w:t>
            </w:r>
            <w:r>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371" w:type="dxa"/>
            <w:tcBorders>
              <w:bottom w:val="single" w:sz="2" w:space="0" w:color="4B5088"/>
            </w:tcBorders>
            <w:tcMar>
              <w:bottom w:w="46" w:type="dxa"/>
            </w:tcMar>
            <w:vAlign w:val="center"/>
          </w:tcPr>
          <w:p>
            <w:pPr>
              <w:pStyle w:val="TableContents"/>
              <w:bidi w:val="0"/>
              <w:spacing w:before="0" w:after="0"/>
              <w:jc w:val="left"/>
              <w:rPr>
                <w:b/>
                <w:color w:val="1F2668"/>
              </w:rPr>
            </w:pPr>
            <w:r>
              <w:rPr>
                <w:b/>
                <w:color w:val="1F2668"/>
                <w:spacing w:val="-2"/>
              </w:rPr>
              <w:t>Marc Holliday</w:t>
            </w:r>
            <w:r>
              <w:rPr>
                <w:b/>
                <w:color w:val="1F2668"/>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0" w:type="dxa"/>
            <w:tcBorders>
              <w:bottom w:val="single" w:sz="2" w:space="0" w:color="4B5088"/>
            </w:tcBorders>
            <w:tcMar>
              <w:bottom w:w="28" w:type="dxa"/>
            </w:tcMar>
            <w:vAlign w:val="center"/>
          </w:tcPr>
          <w:p>
            <w:pPr>
              <w:pStyle w:val="TableContents"/>
              <w:bidi w:val="0"/>
              <w:spacing w:before="0" w:after="283"/>
              <w:jc w:val="left"/>
              <w:rPr/>
            </w:pPr>
            <w:r>
              <w:rPr/>
              <w:t>​</w:t>
            </w:r>
          </w:p>
        </w:tc>
        <w:tc>
          <w:tcPr>
            <w:tcW w:w="334" w:type="dxa"/>
            <w:tcBorders>
              <w:bottom w:val="single" w:sz="2" w:space="0" w:color="4B5088"/>
            </w:tcBorders>
            <w:tcMar>
              <w:bottom w:w="46" w:type="dxa"/>
            </w:tcMar>
            <w:vAlign w:val="center"/>
          </w:tcPr>
          <w:p>
            <w:pPr>
              <w:pStyle w:val="TableContents"/>
              <w:bidi w:val="0"/>
              <w:spacing w:before="0" w:after="283"/>
              <w:jc w:val="right"/>
              <w:rPr/>
            </w:pPr>
            <w:r>
              <w:rPr/>
              <w:t>$</w:t>
            </w:r>
          </w:p>
        </w:tc>
        <w:tc>
          <w:tcPr>
            <w:tcW w:w="1189" w:type="dxa"/>
            <w:tcBorders>
              <w:bottom w:val="single" w:sz="2" w:space="0" w:color="4B5088"/>
            </w:tcBorders>
            <w:tcMar>
              <w:bottom w:w="46" w:type="dxa"/>
            </w:tcMar>
            <w:vAlign w:val="center"/>
          </w:tcPr>
          <w:p>
            <w:pPr>
              <w:pStyle w:val="TableContents"/>
              <w:bidi w:val="0"/>
              <w:spacing w:before="0" w:after="283"/>
              <w:jc w:val="right"/>
              <w:rPr/>
            </w:pPr>
            <w:r>
              <w:rPr/>
              <w:t>45,780</w:t>
            </w:r>
            <w:r>
              <w:rPr>
                <w:sz w:val="10"/>
              </w:rPr>
              <w:t>(a)</w:t>
            </w:r>
            <w:r>
              <w:rPr/>
              <w:t xml:space="preserve"> </w:t>
            </w:r>
          </w:p>
        </w:tc>
        <w:tc>
          <w:tcPr>
            <w:tcW w:w="162"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371" w:type="dxa"/>
            <w:tcBorders>
              <w:bottom w:val="single" w:sz="2" w:space="0" w:color="4B5088"/>
            </w:tcBorders>
            <w:tcMar>
              <w:bottom w:w="46" w:type="dxa"/>
            </w:tcMar>
            <w:vAlign w:val="center"/>
          </w:tcPr>
          <w:p>
            <w:pPr>
              <w:pStyle w:val="TableContents"/>
              <w:bidi w:val="0"/>
              <w:spacing w:before="0" w:after="0"/>
              <w:jc w:val="left"/>
              <w:rPr>
                <w:b/>
                <w:color w:val="1F2668"/>
              </w:rPr>
            </w:pPr>
            <w:r>
              <w:rPr>
                <w:b/>
                <w:color w:val="1F2668"/>
                <w:spacing w:val="-2"/>
              </w:rPr>
              <w:t>Matthew J. DiLiberto</w:t>
            </w:r>
            <w:r>
              <w:rPr>
                <w:b/>
                <w:color w:val="1F2668"/>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0" w:type="dxa"/>
            <w:tcBorders>
              <w:bottom w:val="single" w:sz="2" w:space="0" w:color="4B5088"/>
            </w:tcBorders>
            <w:tcMar>
              <w:bottom w:w="28" w:type="dxa"/>
            </w:tcMar>
            <w:vAlign w:val="center"/>
          </w:tcPr>
          <w:p>
            <w:pPr>
              <w:pStyle w:val="TableContents"/>
              <w:bidi w:val="0"/>
              <w:spacing w:before="0" w:after="283"/>
              <w:jc w:val="left"/>
              <w:rPr/>
            </w:pPr>
            <w:r>
              <w:rPr/>
              <w:t>​</w:t>
            </w:r>
          </w:p>
        </w:tc>
        <w:tc>
          <w:tcPr>
            <w:tcW w:w="334" w:type="dxa"/>
            <w:tcBorders>
              <w:bottom w:val="single" w:sz="2" w:space="0" w:color="4B5088"/>
            </w:tcBorders>
            <w:tcMar>
              <w:bottom w:w="46" w:type="dxa"/>
            </w:tcMar>
            <w:vAlign w:val="center"/>
          </w:tcPr>
          <w:p>
            <w:pPr>
              <w:pStyle w:val="TableContents"/>
              <w:bidi w:val="0"/>
              <w:spacing w:before="0" w:after="283"/>
              <w:jc w:val="right"/>
              <w:rPr/>
            </w:pPr>
            <w:r>
              <w:rPr/>
              <w:t>$</w:t>
            </w:r>
          </w:p>
        </w:tc>
        <w:tc>
          <w:tcPr>
            <w:tcW w:w="1189" w:type="dxa"/>
            <w:tcBorders>
              <w:bottom w:val="single" w:sz="2" w:space="0" w:color="4B5088"/>
            </w:tcBorders>
            <w:tcMar>
              <w:bottom w:w="46" w:type="dxa"/>
            </w:tcMar>
            <w:vAlign w:val="center"/>
          </w:tcPr>
          <w:p>
            <w:pPr>
              <w:pStyle w:val="TableContents"/>
              <w:bidi w:val="0"/>
              <w:spacing w:before="0" w:after="283"/>
              <w:jc w:val="right"/>
              <w:rPr/>
            </w:pPr>
            <w:r>
              <w:rPr/>
              <w:t>14,000</w:t>
            </w:r>
            <w:r>
              <w:rPr>
                <w:sz w:val="10"/>
              </w:rPr>
              <w:t>(b)</w:t>
            </w:r>
            <w:r>
              <w:rPr/>
              <w:t xml:space="preserve"> </w:t>
            </w:r>
          </w:p>
        </w:tc>
        <w:tc>
          <w:tcPr>
            <w:tcW w:w="162"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371" w:type="dxa"/>
            <w:tcBorders>
              <w:bottom w:val="single" w:sz="2" w:space="0" w:color="1F2668"/>
            </w:tcBorders>
            <w:tcMar>
              <w:bottom w:w="46" w:type="dxa"/>
            </w:tcMar>
            <w:vAlign w:val="center"/>
          </w:tcPr>
          <w:p>
            <w:pPr>
              <w:pStyle w:val="TableContents"/>
              <w:bidi w:val="0"/>
              <w:spacing w:before="0" w:after="0"/>
              <w:jc w:val="left"/>
              <w:rPr>
                <w:b/>
              </w:rPr>
            </w:pPr>
            <w:r>
              <w:rPr>
                <w:b/>
                <w:spacing w:val="-2"/>
              </w:rPr>
              <w:t>Andrew S. Levine</w:t>
            </w:r>
            <w:r>
              <w:rPr>
                <w:b/>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0" w:type="dxa"/>
            <w:tcBorders>
              <w:bottom w:val="single" w:sz="2" w:space="0" w:color="1F2668"/>
            </w:tcBorders>
            <w:tcMar>
              <w:bottom w:w="28" w:type="dxa"/>
            </w:tcMar>
            <w:vAlign w:val="center"/>
          </w:tcPr>
          <w:p>
            <w:pPr>
              <w:pStyle w:val="TableContents"/>
              <w:bidi w:val="0"/>
              <w:spacing w:before="0" w:after="283"/>
              <w:jc w:val="left"/>
              <w:rPr/>
            </w:pPr>
            <w:r>
              <w:rPr/>
              <w:t>​</w:t>
            </w:r>
          </w:p>
        </w:tc>
        <w:tc>
          <w:tcPr>
            <w:tcW w:w="334" w:type="dxa"/>
            <w:tcBorders>
              <w:bottom w:val="single" w:sz="2" w:space="0" w:color="1F2668"/>
            </w:tcBorders>
            <w:tcMar>
              <w:bottom w:w="46" w:type="dxa"/>
            </w:tcMar>
            <w:vAlign w:val="center"/>
          </w:tcPr>
          <w:p>
            <w:pPr>
              <w:pStyle w:val="TableContents"/>
              <w:bidi w:val="0"/>
              <w:spacing w:before="0" w:after="0"/>
              <w:jc w:val="right"/>
              <w:rPr>
                <w:color w:val="000000"/>
              </w:rPr>
            </w:pPr>
            <w:r>
              <w:rPr>
                <w:color w:val="000000"/>
              </w:rPr>
              <w:t>$</w:t>
            </w:r>
          </w:p>
        </w:tc>
        <w:tc>
          <w:tcPr>
            <w:tcW w:w="1189" w:type="dxa"/>
            <w:tcBorders>
              <w:bottom w:val="single" w:sz="2" w:space="0" w:color="1F2668"/>
            </w:tcBorders>
            <w:tcMar>
              <w:bottom w:w="46" w:type="dxa"/>
            </w:tcMar>
            <w:vAlign w:val="center"/>
          </w:tcPr>
          <w:p>
            <w:pPr>
              <w:pStyle w:val="TableContents"/>
              <w:bidi w:val="0"/>
              <w:spacing w:before="0" w:after="0"/>
              <w:jc w:val="right"/>
              <w:rPr>
                <w:color w:val="000000"/>
              </w:rPr>
            </w:pPr>
            <w:r>
              <w:rPr>
                <w:color w:val="000000"/>
              </w:rPr>
              <w:t>14,000</w:t>
            </w:r>
            <w:r>
              <w:rPr>
                <w:color w:val="000000"/>
                <w:sz w:val="10"/>
              </w:rPr>
              <w:t>(b)</w:t>
            </w:r>
          </w:p>
        </w:tc>
        <w:tc>
          <w:tcPr>
            <w:tcW w:w="162" w:type="dxa"/>
            <w:tcBorders>
              <w:bottom w:val="single" w:sz="2" w:space="0" w:color="1F266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240" w:after="0"/>
        <w:ind w:left="17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Represents (i) the Company’s matching contributions with respect to amounts earned by the named executive officer under our 401(k) plan ($14,000) and (ii) life insurance premiums ($31,780). The Company’s 401(k) matching contributions are credited in the year subsequent to which employees make their contributions.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52400" distB="0" distL="254000" distR="0" simplePos="0" locked="0" layoutInCell="1" allowOverlap="1" relativeHeight="709">
                <wp:simplePos x="0" y="0"/>
                <wp:positionH relativeFrom="column">
                  <wp:align>left</wp:align>
                </wp:positionH>
                <wp:positionV relativeFrom="line">
                  <wp:align>top</wp:align>
                </wp:positionV>
                <wp:extent cx="254000" cy="350520"/>
                <wp:effectExtent l="0" t="0" r="0" b="0"/>
                <wp:wrapSquare wrapText="right"/>
                <wp:docPr id="810" name="Frame46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2"/>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12pt;mso-wrap-distance-bottom:0pt;margin-top:12pt;mso-position-vertical:top;mso-position-vertical-relative:text;margin-left:20pt;mso-position-horizontal:left;mso-position-horizontal-relative:text">
                <v:textbox>
                  <w:txbxContent>
                    <w:p>
                      <w:pPr>
                        <w:pStyle w:val="TextBody"/>
                        <w:bidi w:val="0"/>
                        <w:spacing w:lineRule="atLeast" w:line="200" w:before="0" w:after="283"/>
                        <w:jc w:val="left"/>
                        <w:rPr/>
                      </w:pPr>
                      <w:r>
                        <w:rPr>
                          <w:spacing w:val="-2"/>
                        </w:rPr>
                        <w:t>(a)</w:t>
                      </w:r>
                      <w:r>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700" w:right="0" w:hanging="0"/>
        <w:jc w:val="left"/>
        <w:rPr>
          <w:rFonts w:ascii="Arial;Helvetica;sans-serif" w:hAnsi="Arial;Helvetica;sans-serif"/>
          <w:b w:val="false"/>
          <w:i w:val="false"/>
          <w:caps w:val="false"/>
          <w:smallCaps w:val="false"/>
          <w:color w:val="000000"/>
          <w:spacing w:val="-2"/>
          <w:sz w:val="16"/>
        </w:rPr>
      </w:pPr>
      <w:r>
        <w:rPr>
          <w:rFonts w:ascii="Arial;Helvetica;sans-serif" w:hAnsi="Arial;Helvetica;sans-serif"/>
          <w:b w:val="false"/>
          <w:i w:val="false"/>
          <w:caps w:val="false"/>
          <w:smallCaps w:val="false"/>
          <w:color w:val="000000"/>
          <w:spacing w:val="-2"/>
          <w:sz w:val="16"/>
        </w:rPr>
        <w:t xml:space="preserve">Represents the Company’s matching contributions with respect to amounts earned by the named executive officer under our 401(k) plan ($14,000). The Company’s 401(k) matching contributions are credited in the year subsequent to which employees make their contributions. </w:t>
      </w:r>
      <w:r>
        <mc:AlternateContent>
          <mc:Choice Requires="wps">
            <w:drawing>
              <wp:anchor behindDoc="0" distT="50800" distB="0" distL="254000" distR="0" simplePos="0" locked="0" layoutInCell="1" allowOverlap="1" relativeHeight="710">
                <wp:simplePos x="0" y="0"/>
                <wp:positionH relativeFrom="column">
                  <wp:align>left</wp:align>
                </wp:positionH>
                <wp:positionV relativeFrom="line">
                  <wp:align>top</wp:align>
                </wp:positionV>
                <wp:extent cx="254000" cy="350520"/>
                <wp:effectExtent l="0" t="0" r="0" b="0"/>
                <wp:wrapSquare wrapText="right"/>
                <wp:docPr id="811" name="Frame46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2"/>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00" w:before="0" w:after="283"/>
                        <w:jc w:val="left"/>
                        <w:rPr/>
                      </w:pPr>
                      <w:r>
                        <w:rPr>
                          <w:spacing w:val="-2"/>
                        </w:rPr>
                        <w:t>(b)</w:t>
                      </w:r>
                      <w:r>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225" w:type="dxa"/>
        <w:jc w:val="left"/>
        <w:tblInd w:w="900" w:type="dxa"/>
        <w:tblLayout w:type="fixed"/>
        <w:tblCellMar>
          <w:top w:w="0" w:type="dxa"/>
          <w:left w:w="0" w:type="dxa"/>
          <w:bottom w:w="0" w:type="dxa"/>
          <w:right w:w="0" w:type="dxa"/>
        </w:tblCellMar>
      </w:tblPr>
      <w:tblGrid>
        <w:gridCol w:w="124"/>
        <w:gridCol w:w="346"/>
        <w:gridCol w:w="109"/>
        <w:gridCol w:w="109"/>
        <w:gridCol w:w="4383"/>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68</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383" w:type="dxa"/>
            <w:tcBorders/>
            <w:vAlign w:val="center"/>
          </w:tcPr>
          <w:p>
            <w:pPr>
              <w:pStyle w:val="TableContents"/>
              <w:bidi w:val="0"/>
              <w:spacing w:lineRule="atLeast" w:line="200" w:before="0" w:after="0"/>
              <w:jc w:val="left"/>
              <w:rPr/>
            </w:pPr>
            <w:r>
              <w:rPr>
                <w:spacing w:val="-2"/>
              </w:rPr>
              <w:t>    </w:t>
            </w:r>
            <w:r>
              <w:rPr>
                <w:spacing w:val="-2"/>
                <w:sz w:val="16"/>
              </w:rPr>
              <w:t>SL GREEN REALTY CORP. 2026 PROXY STATEMENT</w:t>
            </w:r>
            <w:r>
              <w:rPr>
                <w:sz w:val="16"/>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300" w:before="560" w:after="154"/>
        <w:ind w:left="900" w:right="0" w:hanging="0"/>
        <w:jc w:val="left"/>
        <w:rPr>
          <w:rFonts w:ascii="Arial;Helvetica;sans-serif" w:hAnsi="Arial;Helvetica;sans-serif"/>
          <w:b/>
          <w:i w:val="false"/>
          <w:caps w:val="false"/>
          <w:smallCaps w:val="false"/>
          <w:color w:val="1F2668"/>
          <w:sz w:val="26"/>
        </w:rPr>
      </w:pPr>
      <w:r>
        <w:rPr>
          <w:rFonts w:ascii="Arial;Helvetica;sans-serif" w:hAnsi="Arial;Helvetica;sans-serif"/>
          <w:b/>
          <w:i w:val="false"/>
          <w:caps w:val="false"/>
          <w:smallCaps w:val="false"/>
          <w:color w:val="1F2668"/>
          <w:spacing w:val="-3"/>
          <w:sz w:val="26"/>
        </w:rPr>
        <w:t>2025 Grants of Plan-Based Awards</w:t>
      </w:r>
      <w:r>
        <w:rPr>
          <w:rFonts w:ascii="Arial;Helvetica;sans-serif" w:hAnsi="Arial;Helvetica;sans-serif"/>
          <w:b/>
          <w:i w:val="false"/>
          <w:caps w:val="false"/>
          <w:smallCaps w:val="false"/>
          <w:color w:val="000000"/>
          <w:spacing w:val="5"/>
          <w:sz w:val="26"/>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The following table sets forth certain information with respect to each grant of an award made to a named executive officer in the fiscal year ended December 31, 2025.</w:t>
      </w:r>
      <w:r>
        <w:rPr>
          <w:rFonts w:ascii="Arial;Helvetica;sans-serif" w:hAnsi="Arial;Helvetica;sans-serif"/>
          <w:b w:val="false"/>
          <w:i w:val="false"/>
          <w:caps w:val="false"/>
          <w:smallCaps w:val="false"/>
          <w:color w:val="000000"/>
          <w:spacing w:val="4"/>
          <w:sz w:val="18"/>
        </w:rPr>
        <w:t xml:space="preserve"> </w:t>
      </w:r>
    </w:p>
    <w:tbl>
      <w:tblPr>
        <w:tblW w:w="14356" w:type="dxa"/>
        <w:jc w:val="left"/>
        <w:tblInd w:w="900" w:type="dxa"/>
        <w:tblLayout w:type="fixed"/>
        <w:tblCellMar>
          <w:top w:w="0" w:type="dxa"/>
          <w:left w:w="0" w:type="dxa"/>
          <w:bottom w:w="0" w:type="dxa"/>
          <w:right w:w="0" w:type="dxa"/>
        </w:tblCellMar>
      </w:tblPr>
      <w:tblGrid>
        <w:gridCol w:w="698"/>
        <w:gridCol w:w="109"/>
        <w:gridCol w:w="109"/>
        <w:gridCol w:w="109"/>
        <w:gridCol w:w="109"/>
        <w:gridCol w:w="109"/>
        <w:gridCol w:w="406"/>
        <w:gridCol w:w="109"/>
        <w:gridCol w:w="109"/>
        <w:gridCol w:w="109"/>
        <w:gridCol w:w="109"/>
        <w:gridCol w:w="109"/>
        <w:gridCol w:w="406"/>
        <w:gridCol w:w="109"/>
        <w:gridCol w:w="109"/>
        <w:gridCol w:w="109"/>
        <w:gridCol w:w="109"/>
        <w:gridCol w:w="181"/>
        <w:gridCol w:w="616"/>
        <w:gridCol w:w="109"/>
        <w:gridCol w:w="109"/>
        <w:gridCol w:w="109"/>
        <w:gridCol w:w="109"/>
        <w:gridCol w:w="181"/>
        <w:gridCol w:w="721"/>
        <w:gridCol w:w="109"/>
        <w:gridCol w:w="109"/>
        <w:gridCol w:w="109"/>
        <w:gridCol w:w="109"/>
        <w:gridCol w:w="181"/>
        <w:gridCol w:w="721"/>
        <w:gridCol w:w="109"/>
        <w:gridCol w:w="109"/>
        <w:gridCol w:w="109"/>
        <w:gridCol w:w="109"/>
        <w:gridCol w:w="109"/>
        <w:gridCol w:w="541"/>
        <w:gridCol w:w="109"/>
        <w:gridCol w:w="109"/>
        <w:gridCol w:w="109"/>
        <w:gridCol w:w="109"/>
        <w:gridCol w:w="109"/>
        <w:gridCol w:w="541"/>
        <w:gridCol w:w="109"/>
        <w:gridCol w:w="109"/>
        <w:gridCol w:w="109"/>
        <w:gridCol w:w="109"/>
        <w:gridCol w:w="109"/>
        <w:gridCol w:w="616"/>
        <w:gridCol w:w="109"/>
        <w:gridCol w:w="109"/>
        <w:gridCol w:w="109"/>
        <w:gridCol w:w="109"/>
        <w:gridCol w:w="109"/>
        <w:gridCol w:w="616"/>
        <w:gridCol w:w="109"/>
        <w:gridCol w:w="109"/>
        <w:gridCol w:w="109"/>
        <w:gridCol w:w="109"/>
        <w:gridCol w:w="109"/>
        <w:gridCol w:w="346"/>
        <w:gridCol w:w="109"/>
        <w:gridCol w:w="109"/>
        <w:gridCol w:w="109"/>
        <w:gridCol w:w="673"/>
        <w:gridCol w:w="109"/>
        <w:gridCol w:w="109"/>
        <w:gridCol w:w="1090"/>
        <w:gridCol w:w="154"/>
      </w:tblGrid>
      <w:tr>
        <w:trPr/>
        <w:tc>
          <w:tcPr>
            <w:tcW w:w="69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691" w:type="dxa"/>
            <w:gridSpan w:val="16"/>
            <w:tcBorders>
              <w:bottom w:val="single" w:sz="2" w:space="0" w:color="1F2668"/>
            </w:tcBorders>
            <w:tcMar>
              <w:bottom w:w="67" w:type="dxa"/>
            </w:tcMar>
            <w:vAlign w:val="center"/>
          </w:tcPr>
          <w:p>
            <w:pPr>
              <w:pStyle w:val="TableContents"/>
              <w:bidi w:val="0"/>
              <w:spacing w:lineRule="atLeast" w:line="142" w:before="0" w:after="0"/>
              <w:jc w:val="right"/>
              <w:rPr>
                <w:sz w:val="12"/>
              </w:rPr>
            </w:pPr>
            <w:r>
              <w:rPr>
                <w:spacing w:val="-1"/>
                <w:sz w:val="12"/>
              </w:rPr>
              <w:t xml:space="preserve">Estimated Possible Payouts Under </w:t>
              <w:br/>
              <w:t>Non-Equity Incentive Plan Awards</w:t>
            </w:r>
            <w:r>
              <w:rPr>
                <w:sz w:val="12"/>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115" w:type="dxa"/>
            <w:gridSpan w:val="16"/>
            <w:tcBorders>
              <w:bottom w:val="single" w:sz="2" w:space="0" w:color="1F2668"/>
            </w:tcBorders>
            <w:tcMar>
              <w:bottom w:w="67" w:type="dxa"/>
            </w:tcMar>
            <w:vAlign w:val="center"/>
          </w:tcPr>
          <w:p>
            <w:pPr>
              <w:pStyle w:val="TableContents"/>
              <w:bidi w:val="0"/>
              <w:spacing w:lineRule="atLeast" w:line="142" w:before="0" w:after="0"/>
              <w:jc w:val="right"/>
              <w:rPr>
                <w:sz w:val="12"/>
              </w:rPr>
            </w:pPr>
            <w:r>
              <w:rPr>
                <w:spacing w:val="-1"/>
                <w:sz w:val="12"/>
              </w:rPr>
              <w:t xml:space="preserve">Estimated Future Payouts Under </w:t>
              <w:br/>
              <w:t>Equity Incentive Plan Awards</w:t>
            </w:r>
            <w:r>
              <w:rPr>
                <w:sz w:val="12"/>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943" w:type="dxa"/>
            <w:gridSpan w:val="4"/>
            <w:vMerge w:val="restart"/>
            <w:tcBorders>
              <w:bottom w:val="single" w:sz="2" w:space="0" w:color="1F2668"/>
            </w:tcBorders>
            <w:tcMar>
              <w:bottom w:w="67" w:type="dxa"/>
            </w:tcMar>
            <w:vAlign w:val="center"/>
          </w:tcPr>
          <w:p>
            <w:pPr>
              <w:pStyle w:val="TableContents"/>
              <w:bidi w:val="0"/>
              <w:spacing w:lineRule="atLeast" w:line="142" w:before="0" w:after="0"/>
              <w:jc w:val="right"/>
              <w:rPr>
                <w:sz w:val="12"/>
              </w:rPr>
            </w:pPr>
            <w:r>
              <w:rPr>
                <w:spacing w:val="-1"/>
                <w:sz w:val="12"/>
              </w:rPr>
              <w:t xml:space="preserve">All Other </w:t>
              <w:br/>
              <w:t xml:space="preserve">Stock </w:t>
              <w:br/>
              <w:t xml:space="preserve">Awards: </w:t>
              <w:br/>
              <w:t xml:space="preserve">Number </w:t>
              <w:br/>
              <w:t xml:space="preserve">of Shares </w:t>
              <w:br/>
              <w:t xml:space="preserve">of Stock </w:t>
              <w:br/>
              <w:t xml:space="preserve">or Units </w:t>
              <w:br/>
              <w:t>(#)</w:t>
            </w:r>
            <w:r>
              <w:rPr>
                <w:sz w:val="12"/>
              </w:rPr>
              <w:t xml:space="preserve">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673" w:type="dxa"/>
            <w:gridSpan w:val="4"/>
            <w:vMerge w:val="restart"/>
            <w:tcBorders>
              <w:bottom w:val="single" w:sz="2" w:space="0" w:color="1F2668"/>
            </w:tcBorders>
            <w:tcMar>
              <w:bottom w:w="67" w:type="dxa"/>
            </w:tcMar>
            <w:vAlign w:val="center"/>
          </w:tcPr>
          <w:p>
            <w:pPr>
              <w:pStyle w:val="TableContents"/>
              <w:bidi w:val="0"/>
              <w:spacing w:lineRule="atLeast" w:line="142" w:before="0" w:after="0"/>
              <w:jc w:val="right"/>
              <w:rPr>
                <w:sz w:val="12"/>
              </w:rPr>
            </w:pPr>
            <w:r>
              <w:rPr>
                <w:spacing w:val="-1"/>
                <w:sz w:val="12"/>
              </w:rPr>
              <w:t xml:space="preserve">All Other </w:t>
              <w:br/>
              <w:t xml:space="preserve">Option </w:t>
              <w:br/>
              <w:t xml:space="preserve">Awards: </w:t>
              <w:br/>
              <w:t xml:space="preserve">Number </w:t>
              <w:br/>
              <w:t xml:space="preserve">of Securities </w:t>
              <w:br/>
              <w:t xml:space="preserve">Underlying </w:t>
              <w:br/>
              <w:t xml:space="preserve">Options </w:t>
              <w:br/>
              <w:t>(#)</w:t>
            </w:r>
            <w:r>
              <w:rPr>
                <w:spacing w:val="-1"/>
                <w:sz w:val="9"/>
              </w:rPr>
              <w:t>(6)</w:t>
            </w:r>
            <w:r>
              <w:rPr>
                <w:sz w:val="12"/>
              </w:rPr>
              <w:t xml:space="preserve">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673" w:type="dxa"/>
            <w:gridSpan w:val="4"/>
            <w:vMerge w:val="restart"/>
            <w:tcBorders>
              <w:bottom w:val="single" w:sz="2" w:space="0" w:color="1F2668"/>
            </w:tcBorders>
            <w:tcMar>
              <w:bottom w:w="67" w:type="dxa"/>
            </w:tcMar>
            <w:vAlign w:val="center"/>
          </w:tcPr>
          <w:p>
            <w:pPr>
              <w:pStyle w:val="TableContents"/>
              <w:bidi w:val="0"/>
              <w:spacing w:lineRule="atLeast" w:line="142" w:before="0" w:after="0"/>
              <w:jc w:val="right"/>
              <w:rPr>
                <w:sz w:val="12"/>
              </w:rPr>
            </w:pPr>
            <w:r>
              <w:rPr>
                <w:spacing w:val="-1"/>
                <w:sz w:val="12"/>
              </w:rPr>
              <w:t xml:space="preserve">Exercise </w:t>
              <w:br/>
              <w:t xml:space="preserve">or Base </w:t>
              <w:br/>
              <w:t xml:space="preserve">Price of </w:t>
              <w:br/>
              <w:t xml:space="preserve">Option </w:t>
              <w:br/>
              <w:t xml:space="preserve">Awards </w:t>
              <w:br/>
              <w:t>($/Sh)</w:t>
            </w:r>
            <w:r>
              <w:rPr>
                <w:sz w:val="12"/>
              </w:rPr>
              <w:t xml:space="preserve">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0" w:type="dxa"/>
            <w:gridSpan w:val="4"/>
            <w:vMerge w:val="restart"/>
            <w:tcBorders>
              <w:bottom w:val="single" w:sz="2" w:space="0" w:color="1F2668"/>
            </w:tcBorders>
            <w:tcMar>
              <w:bottom w:w="67" w:type="dxa"/>
            </w:tcMar>
            <w:vAlign w:val="center"/>
          </w:tcPr>
          <w:p>
            <w:pPr>
              <w:pStyle w:val="TableContents"/>
              <w:bidi w:val="0"/>
              <w:spacing w:lineRule="atLeast" w:line="142" w:before="0" w:after="0"/>
              <w:jc w:val="right"/>
              <w:rPr>
                <w:sz w:val="12"/>
              </w:rPr>
            </w:pPr>
            <w:r>
              <w:rPr>
                <w:spacing w:val="-1"/>
                <w:sz w:val="12"/>
              </w:rPr>
              <w:t xml:space="preserve">Grant Date </w:t>
              <w:br/>
              <w:t xml:space="preserve">Fair Value </w:t>
              <w:br/>
              <w:t xml:space="preserve">of Stock </w:t>
              <w:br/>
              <w:t xml:space="preserve">and </w:t>
              <w:br/>
              <w:t xml:space="preserve">Option </w:t>
              <w:br/>
              <w:t xml:space="preserve">Awards </w:t>
              <w:br/>
              <w:t>($)</w:t>
            </w:r>
            <w:r>
              <w:rPr>
                <w:sz w:val="12"/>
              </w:rPr>
              <w:t xml:space="preserve"> </w:t>
            </w:r>
          </w:p>
        </w:tc>
        <w:tc>
          <w:tcPr>
            <w:tcW w:w="154"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98" w:type="dxa"/>
            <w:tcBorders>
              <w:bottom w:val="single" w:sz="2" w:space="0" w:color="1F2668"/>
            </w:tcBorders>
            <w:tcMar>
              <w:bottom w:w="67" w:type="dxa"/>
            </w:tcMar>
            <w:vAlign w:val="center"/>
          </w:tcPr>
          <w:p>
            <w:pPr>
              <w:pStyle w:val="TableContents"/>
              <w:bidi w:val="0"/>
              <w:spacing w:lineRule="atLeast" w:line="142" w:before="0" w:after="0"/>
              <w:jc w:val="left"/>
              <w:rPr>
                <w:spacing w:val="-1"/>
                <w:sz w:val="12"/>
              </w:rPr>
            </w:pPr>
            <w:r>
              <w:rPr>
                <w:spacing w:val="-1"/>
                <w:sz w:val="12"/>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733" w:type="dxa"/>
            <w:gridSpan w:val="4"/>
            <w:tcBorders>
              <w:bottom w:val="single" w:sz="2" w:space="0" w:color="1F2668"/>
            </w:tcBorders>
            <w:tcMar>
              <w:bottom w:w="67" w:type="dxa"/>
            </w:tcMar>
            <w:vAlign w:val="center"/>
          </w:tcPr>
          <w:p>
            <w:pPr>
              <w:pStyle w:val="TableContents"/>
              <w:bidi w:val="0"/>
              <w:spacing w:lineRule="atLeast" w:line="142" w:before="0" w:after="0"/>
              <w:jc w:val="right"/>
              <w:rPr>
                <w:sz w:val="12"/>
              </w:rPr>
            </w:pPr>
            <w:r>
              <w:rPr>
                <w:spacing w:val="-1"/>
                <w:sz w:val="12"/>
              </w:rPr>
              <w:t>Grant Date</w:t>
            </w:r>
            <w:r>
              <w:rPr>
                <w:sz w:val="12"/>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733" w:type="dxa"/>
            <w:gridSpan w:val="4"/>
            <w:tcBorders>
              <w:bottom w:val="single" w:sz="2" w:space="0" w:color="1F2668"/>
            </w:tcBorders>
            <w:tcMar>
              <w:bottom w:w="67" w:type="dxa"/>
            </w:tcMar>
            <w:vAlign w:val="center"/>
          </w:tcPr>
          <w:p>
            <w:pPr>
              <w:pStyle w:val="TableContents"/>
              <w:bidi w:val="0"/>
              <w:spacing w:lineRule="atLeast" w:line="142" w:before="0" w:after="0"/>
              <w:jc w:val="right"/>
              <w:rPr>
                <w:sz w:val="12"/>
              </w:rPr>
            </w:pPr>
            <w:r>
              <w:rPr>
                <w:spacing w:val="-1"/>
                <w:sz w:val="12"/>
              </w:rPr>
              <w:t xml:space="preserve">Approval </w:t>
              <w:br/>
              <w:t>Date</w:t>
            </w:r>
            <w:r>
              <w:rPr>
                <w:sz w:val="12"/>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15" w:type="dxa"/>
            <w:gridSpan w:val="4"/>
            <w:tcBorders>
              <w:bottom w:val="single" w:sz="2" w:space="0" w:color="1F2668"/>
            </w:tcBorders>
            <w:tcMar>
              <w:bottom w:w="67" w:type="dxa"/>
            </w:tcMar>
            <w:vAlign w:val="center"/>
          </w:tcPr>
          <w:p>
            <w:pPr>
              <w:pStyle w:val="TableContents"/>
              <w:bidi w:val="0"/>
              <w:spacing w:lineRule="atLeast" w:line="142" w:before="0" w:after="0"/>
              <w:jc w:val="right"/>
              <w:rPr>
                <w:sz w:val="12"/>
              </w:rPr>
            </w:pPr>
            <w:r>
              <w:rPr>
                <w:spacing w:val="-1"/>
                <w:sz w:val="12"/>
              </w:rPr>
              <w:t xml:space="preserve">Threshold </w:t>
              <w:br/>
              <w:t>($)</w:t>
            </w:r>
            <w:r>
              <w:rPr>
                <w:sz w:val="12"/>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0" w:type="dxa"/>
            <w:gridSpan w:val="4"/>
            <w:tcBorders>
              <w:bottom w:val="single" w:sz="2" w:space="0" w:color="1F2668"/>
            </w:tcBorders>
            <w:tcMar>
              <w:bottom w:w="67" w:type="dxa"/>
            </w:tcMar>
            <w:vAlign w:val="center"/>
          </w:tcPr>
          <w:p>
            <w:pPr>
              <w:pStyle w:val="TableContents"/>
              <w:bidi w:val="0"/>
              <w:spacing w:lineRule="atLeast" w:line="142" w:before="0" w:after="0"/>
              <w:jc w:val="right"/>
              <w:rPr>
                <w:sz w:val="12"/>
              </w:rPr>
            </w:pPr>
            <w:r>
              <w:rPr>
                <w:spacing w:val="-1"/>
                <w:sz w:val="12"/>
              </w:rPr>
              <w:t xml:space="preserve">Target </w:t>
              <w:br/>
              <w:t>($)</w:t>
            </w:r>
            <w:r>
              <w:rPr>
                <w:sz w:val="12"/>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0" w:type="dxa"/>
            <w:gridSpan w:val="4"/>
            <w:tcBorders>
              <w:bottom w:val="single" w:sz="2" w:space="0" w:color="1F2668"/>
            </w:tcBorders>
            <w:tcMar>
              <w:bottom w:w="67" w:type="dxa"/>
            </w:tcMar>
            <w:vAlign w:val="center"/>
          </w:tcPr>
          <w:p>
            <w:pPr>
              <w:pStyle w:val="TableContents"/>
              <w:bidi w:val="0"/>
              <w:spacing w:lineRule="atLeast" w:line="142" w:before="0" w:after="0"/>
              <w:jc w:val="right"/>
              <w:rPr>
                <w:sz w:val="12"/>
              </w:rPr>
            </w:pPr>
            <w:r>
              <w:rPr>
                <w:spacing w:val="-1"/>
                <w:sz w:val="12"/>
              </w:rPr>
              <w:t xml:space="preserve">Maximum </w:t>
              <w:br/>
              <w:t>($)</w:t>
            </w:r>
            <w:r>
              <w:rPr>
                <w:sz w:val="12"/>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68" w:type="dxa"/>
            <w:gridSpan w:val="4"/>
            <w:tcBorders>
              <w:bottom w:val="single" w:sz="2" w:space="0" w:color="1F2668"/>
            </w:tcBorders>
            <w:tcMar>
              <w:bottom w:w="67" w:type="dxa"/>
            </w:tcMar>
            <w:vAlign w:val="center"/>
          </w:tcPr>
          <w:p>
            <w:pPr>
              <w:pStyle w:val="TableContents"/>
              <w:bidi w:val="0"/>
              <w:spacing w:lineRule="atLeast" w:line="142" w:before="0" w:after="0"/>
              <w:jc w:val="right"/>
              <w:rPr>
                <w:sz w:val="12"/>
              </w:rPr>
            </w:pPr>
            <w:r>
              <w:rPr>
                <w:spacing w:val="-1"/>
                <w:sz w:val="12"/>
              </w:rPr>
              <w:t xml:space="preserve">Threshold </w:t>
              <w:br/>
              <w:t>(#)</w:t>
            </w:r>
            <w:r>
              <w:rPr>
                <w:sz w:val="12"/>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68" w:type="dxa"/>
            <w:gridSpan w:val="4"/>
            <w:tcBorders>
              <w:bottom w:val="single" w:sz="2" w:space="0" w:color="1F2668"/>
            </w:tcBorders>
            <w:tcMar>
              <w:bottom w:w="67" w:type="dxa"/>
            </w:tcMar>
            <w:vAlign w:val="center"/>
          </w:tcPr>
          <w:p>
            <w:pPr>
              <w:pStyle w:val="TableContents"/>
              <w:bidi w:val="0"/>
              <w:spacing w:lineRule="atLeast" w:line="142" w:before="0" w:after="0"/>
              <w:jc w:val="right"/>
              <w:rPr>
                <w:sz w:val="12"/>
              </w:rPr>
            </w:pPr>
            <w:r>
              <w:rPr>
                <w:spacing w:val="-1"/>
                <w:sz w:val="12"/>
              </w:rPr>
              <w:t xml:space="preserve">Target </w:t>
              <w:br/>
              <w:t>(#)</w:t>
            </w:r>
            <w:r>
              <w:rPr>
                <w:sz w:val="12"/>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43" w:type="dxa"/>
            <w:gridSpan w:val="4"/>
            <w:tcBorders>
              <w:bottom w:val="single" w:sz="2" w:space="0" w:color="1F2668"/>
            </w:tcBorders>
            <w:tcMar>
              <w:bottom w:w="67" w:type="dxa"/>
            </w:tcMar>
            <w:vAlign w:val="center"/>
          </w:tcPr>
          <w:p>
            <w:pPr>
              <w:pStyle w:val="TableContents"/>
              <w:bidi w:val="0"/>
              <w:spacing w:lineRule="atLeast" w:line="142" w:before="0" w:after="0"/>
              <w:jc w:val="right"/>
              <w:rPr>
                <w:sz w:val="12"/>
              </w:rPr>
            </w:pPr>
            <w:r>
              <w:rPr>
                <w:spacing w:val="-1"/>
                <w:sz w:val="12"/>
              </w:rPr>
              <w:t xml:space="preserve">Maximum </w:t>
              <w:br/>
              <w:t>(#)</w:t>
            </w:r>
            <w:r>
              <w:rPr>
                <w:sz w:val="12"/>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943" w:type="dxa"/>
            <w:gridSpan w:val="4"/>
            <w:vMerge w:val="continue"/>
            <w:tcBorders>
              <w:bottom w:val="single" w:sz="2" w:space="0" w:color="1F2668"/>
            </w:tcBorders>
            <w:tcMar>
              <w:bottom w:w="67" w:type="dxa"/>
            </w:tcMar>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673" w:type="dxa"/>
            <w:gridSpan w:val="4"/>
            <w:vMerge w:val="continue"/>
            <w:tcBorders>
              <w:bottom w:val="single" w:sz="2" w:space="0" w:color="1F2668"/>
            </w:tcBorders>
            <w:tcMar>
              <w:bottom w:w="67" w:type="dxa"/>
            </w:tcMar>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673" w:type="dxa"/>
            <w:gridSpan w:val="4"/>
            <w:vMerge w:val="continue"/>
            <w:tcBorders>
              <w:bottom w:val="single" w:sz="2" w:space="0" w:color="1F2668"/>
            </w:tcBorders>
            <w:tcMar>
              <w:bottom w:w="67" w:type="dxa"/>
            </w:tcMar>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0" w:type="dxa"/>
            <w:gridSpan w:val="4"/>
            <w:vMerge w:val="continue"/>
            <w:tcBorders>
              <w:bottom w:val="single" w:sz="2" w:space="0" w:color="1F2668"/>
            </w:tcBorders>
            <w:tcMar>
              <w:bottom w:w="67" w:type="dxa"/>
            </w:tcMar>
            <w:vAlign w:val="center"/>
          </w:tcPr>
          <w:p>
            <w:pPr>
              <w:pStyle w:val="Normal"/>
              <w:bidi w:val="0"/>
              <w:jc w:val="left"/>
              <w:rPr/>
            </w:pPr>
            <w:r>
              <w:rPr/>
            </w:r>
          </w:p>
        </w:tc>
        <w:tc>
          <w:tcPr>
            <w:tcW w:w="154" w:type="dxa"/>
            <w:vMerge w:val="continue"/>
            <w:tcBorders>
              <w:bottom w:val="single" w:sz="2" w:space="0" w:color="FFFFFF"/>
            </w:tcBorders>
            <w:tcMar>
              <w:bottom w:w="28" w:type="dxa"/>
            </w:tcMar>
            <w:vAlign w:val="center"/>
          </w:tcPr>
          <w:p>
            <w:pPr>
              <w:pStyle w:val="Normal"/>
              <w:bidi w:val="0"/>
              <w:jc w:val="left"/>
              <w:rPr/>
            </w:pPr>
            <w:r>
              <w:rPr/>
            </w:r>
          </w:p>
        </w:tc>
      </w:tr>
      <w:tr>
        <w:trPr/>
        <w:tc>
          <w:tcPr>
            <w:tcW w:w="698" w:type="dxa"/>
            <w:vMerge w:val="restart"/>
            <w:tcBorders/>
            <w:vAlign w:val="center"/>
          </w:tcPr>
          <w:p>
            <w:pPr>
              <w:pStyle w:val="TableContents"/>
              <w:bidi w:val="0"/>
              <w:spacing w:before="0" w:after="0"/>
              <w:jc w:val="left"/>
              <w:rPr>
                <w:b/>
                <w:color w:val="1F2668"/>
                <w:sz w:val="14"/>
              </w:rPr>
            </w:pPr>
            <w:r>
              <w:rPr>
                <w:b/>
                <w:color w:val="1F2668"/>
                <w:spacing w:val="-1"/>
                <w:sz w:val="14"/>
              </w:rPr>
              <w:t>Marc Holliday</w:t>
            </w:r>
            <w:r>
              <w:rPr>
                <w:b/>
                <w:color w:val="1F2668"/>
                <w:sz w:val="14"/>
              </w:rPr>
              <w:t xml:space="preserve"> </w:t>
            </w:r>
          </w:p>
        </w:tc>
        <w:tc>
          <w:tcPr>
            <w:tcW w:w="109" w:type="dxa"/>
            <w:vMerge w:val="restart"/>
            <w:tcBorders/>
            <w:vAlign w:val="center"/>
          </w:tcPr>
          <w:p>
            <w:pPr>
              <w:pStyle w:val="TableContents"/>
              <w:bidi w:val="0"/>
              <w:spacing w:before="0" w:after="283"/>
              <w:jc w:val="left"/>
              <w:rPr/>
            </w:pPr>
            <w:r>
              <w:rPr/>
              <w:t>​</w:t>
            </w:r>
          </w:p>
        </w:tc>
        <w:tc>
          <w:tcPr>
            <w:tcW w:w="109" w:type="dxa"/>
            <w:vMerge w:val="restart"/>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69" w:type="dxa"/>
            </w:tcMar>
            <w:vAlign w:val="center"/>
          </w:tcPr>
          <w:p>
            <w:pPr>
              <w:pStyle w:val="TableContents"/>
              <w:bidi w:val="0"/>
              <w:spacing w:lineRule="atLeast" w:line="155" w:before="0" w:after="0"/>
              <w:jc w:val="right"/>
              <w:rPr/>
            </w:pPr>
            <w:r>
              <w:rPr/>
              <w:t>​</w:t>
            </w:r>
          </w:p>
        </w:tc>
        <w:tc>
          <w:tcPr>
            <w:tcW w:w="406" w:type="dxa"/>
            <w:tcBorders>
              <w:bottom w:val="single" w:sz="2" w:space="0" w:color="4B5088"/>
            </w:tcBorders>
            <w:shd w:fill="E9F9D8" w:val="clear"/>
            <w:tcMar>
              <w:bottom w:w="69" w:type="dxa"/>
            </w:tcMar>
            <w:vAlign w:val="center"/>
          </w:tcPr>
          <w:p>
            <w:pPr>
              <w:pStyle w:val="TableContents"/>
              <w:bidi w:val="0"/>
              <w:spacing w:lineRule="atLeast" w:line="155" w:before="0" w:after="0"/>
              <w:jc w:val="right"/>
              <w:rPr>
                <w:sz w:val="14"/>
              </w:rPr>
            </w:pPr>
            <w:r>
              <w:rPr>
                <w:sz w:val="14"/>
              </w:rPr>
              <w:t>01/29/2025</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69" w:type="dxa"/>
            </w:tcMar>
            <w:vAlign w:val="center"/>
          </w:tcPr>
          <w:p>
            <w:pPr>
              <w:pStyle w:val="TableContents"/>
              <w:bidi w:val="0"/>
              <w:spacing w:lineRule="atLeast" w:line="155" w:before="0" w:after="0"/>
              <w:jc w:val="right"/>
              <w:rPr/>
            </w:pPr>
            <w:r>
              <w:rPr/>
              <w:t>​</w:t>
            </w:r>
          </w:p>
        </w:tc>
        <w:tc>
          <w:tcPr>
            <w:tcW w:w="406" w:type="dxa"/>
            <w:tcBorders>
              <w:bottom w:val="single" w:sz="2" w:space="0" w:color="4B5088"/>
            </w:tcBorders>
            <w:shd w:fill="E9F9D8" w:val="clear"/>
            <w:tcMar>
              <w:bottom w:w="69" w:type="dxa"/>
            </w:tcMar>
            <w:vAlign w:val="center"/>
          </w:tcPr>
          <w:p>
            <w:pPr>
              <w:pStyle w:val="TableContents"/>
              <w:bidi w:val="0"/>
              <w:spacing w:lineRule="atLeast" w:line="155" w:before="0" w:after="0"/>
              <w:jc w:val="right"/>
              <w:rPr>
                <w:sz w:val="14"/>
              </w:rPr>
            </w:pPr>
            <w:r>
              <w:rPr>
                <w:sz w:val="14"/>
              </w:rPr>
              <w:t>01/29/2025</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81" w:type="dxa"/>
            <w:tcBorders>
              <w:bottom w:val="single" w:sz="2" w:space="0" w:color="4B5088"/>
            </w:tcBorders>
            <w:shd w:fill="E9F9D8" w:val="clear"/>
            <w:tcMar>
              <w:bottom w:w="69" w:type="dxa"/>
            </w:tcMar>
            <w:vAlign w:val="center"/>
          </w:tcPr>
          <w:p>
            <w:pPr>
              <w:pStyle w:val="TableContents"/>
              <w:bidi w:val="0"/>
              <w:spacing w:lineRule="atLeast" w:line="155" w:before="0" w:after="0"/>
              <w:jc w:val="right"/>
              <w:rPr/>
            </w:pPr>
            <w:r>
              <w:rPr/>
              <w:t>​</w:t>
            </w:r>
          </w:p>
        </w:tc>
        <w:tc>
          <w:tcPr>
            <w:tcW w:w="616" w:type="dxa"/>
            <w:tcBorders>
              <w:bottom w:val="single" w:sz="2" w:space="0" w:color="4B5088"/>
            </w:tcBorders>
            <w:shd w:fill="E9F9D8" w:val="clear"/>
            <w:tcMar>
              <w:bottom w:w="69" w:type="dxa"/>
            </w:tcMar>
            <w:vAlign w:val="center"/>
          </w:tcPr>
          <w:p>
            <w:pPr>
              <w:pStyle w:val="TableContents"/>
              <w:bidi w:val="0"/>
              <w:spacing w:lineRule="atLeast" w:line="155" w:before="0" w:after="0"/>
              <w:jc w:val="righ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81" w:type="dxa"/>
            <w:tcBorders>
              <w:bottom w:val="single" w:sz="2" w:space="0" w:color="4B5088"/>
            </w:tcBorders>
            <w:shd w:fill="E9F9D8" w:val="clear"/>
            <w:tcMar>
              <w:bottom w:w="69" w:type="dxa"/>
            </w:tcMar>
            <w:vAlign w:val="center"/>
          </w:tcPr>
          <w:p>
            <w:pPr>
              <w:pStyle w:val="TableContents"/>
              <w:bidi w:val="0"/>
              <w:spacing w:lineRule="atLeast" w:line="155" w:before="0" w:after="0"/>
              <w:jc w:val="right"/>
              <w:rPr/>
            </w:pPr>
            <w:r>
              <w:rPr/>
              <w:t>​</w:t>
            </w:r>
          </w:p>
        </w:tc>
        <w:tc>
          <w:tcPr>
            <w:tcW w:w="721" w:type="dxa"/>
            <w:tcBorders>
              <w:bottom w:val="single" w:sz="2" w:space="0" w:color="4B5088"/>
            </w:tcBorders>
            <w:shd w:fill="E9F9D8" w:val="clear"/>
            <w:tcMar>
              <w:bottom w:w="69" w:type="dxa"/>
            </w:tcMar>
            <w:vAlign w:val="center"/>
          </w:tcPr>
          <w:p>
            <w:pPr>
              <w:pStyle w:val="TableContents"/>
              <w:bidi w:val="0"/>
              <w:spacing w:lineRule="atLeast" w:line="155" w:before="0" w:after="0"/>
              <w:jc w:val="righ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81" w:type="dxa"/>
            <w:tcBorders>
              <w:bottom w:val="single" w:sz="2" w:space="0" w:color="4B5088"/>
            </w:tcBorders>
            <w:shd w:fill="E9F9D8" w:val="clear"/>
            <w:tcMar>
              <w:bottom w:w="69" w:type="dxa"/>
            </w:tcMar>
            <w:vAlign w:val="center"/>
          </w:tcPr>
          <w:p>
            <w:pPr>
              <w:pStyle w:val="TableContents"/>
              <w:bidi w:val="0"/>
              <w:spacing w:lineRule="atLeast" w:line="155" w:before="0" w:after="0"/>
              <w:jc w:val="right"/>
              <w:rPr/>
            </w:pPr>
            <w:r>
              <w:rPr/>
              <w:t>​</w:t>
            </w:r>
          </w:p>
        </w:tc>
        <w:tc>
          <w:tcPr>
            <w:tcW w:w="721" w:type="dxa"/>
            <w:tcBorders>
              <w:bottom w:val="single" w:sz="2" w:space="0" w:color="4B5088"/>
            </w:tcBorders>
            <w:shd w:fill="E9F9D8" w:val="clear"/>
            <w:tcMar>
              <w:bottom w:w="69" w:type="dxa"/>
            </w:tcMar>
            <w:vAlign w:val="center"/>
          </w:tcPr>
          <w:p>
            <w:pPr>
              <w:pStyle w:val="TableContents"/>
              <w:bidi w:val="0"/>
              <w:spacing w:lineRule="atLeast" w:line="155" w:before="0" w:after="0"/>
              <w:jc w:val="righ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69" w:type="dxa"/>
            </w:tcMar>
            <w:vAlign w:val="center"/>
          </w:tcPr>
          <w:p>
            <w:pPr>
              <w:pStyle w:val="TableContents"/>
              <w:bidi w:val="0"/>
              <w:spacing w:lineRule="atLeast" w:line="155" w:before="0" w:after="0"/>
              <w:jc w:val="right"/>
              <w:rPr/>
            </w:pPr>
            <w:r>
              <w:rPr/>
              <w:t>​</w:t>
            </w:r>
          </w:p>
        </w:tc>
        <w:tc>
          <w:tcPr>
            <w:tcW w:w="541" w:type="dxa"/>
            <w:tcBorders>
              <w:bottom w:val="single" w:sz="2" w:space="0" w:color="4B5088"/>
            </w:tcBorders>
            <w:shd w:fill="E9F9D8" w:val="clear"/>
            <w:tcMar>
              <w:bottom w:w="69" w:type="dxa"/>
            </w:tcMar>
            <w:vAlign w:val="center"/>
          </w:tcPr>
          <w:p>
            <w:pPr>
              <w:pStyle w:val="TableContents"/>
              <w:bidi w:val="0"/>
              <w:spacing w:lineRule="atLeast" w:line="155" w:before="0" w:after="0"/>
              <w:jc w:val="righ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69" w:type="dxa"/>
            </w:tcMar>
            <w:vAlign w:val="center"/>
          </w:tcPr>
          <w:p>
            <w:pPr>
              <w:pStyle w:val="TableContents"/>
              <w:bidi w:val="0"/>
              <w:spacing w:lineRule="atLeast" w:line="155" w:before="0" w:after="0"/>
              <w:jc w:val="right"/>
              <w:rPr/>
            </w:pPr>
            <w:r>
              <w:rPr/>
              <w:t>​</w:t>
            </w:r>
          </w:p>
        </w:tc>
        <w:tc>
          <w:tcPr>
            <w:tcW w:w="541" w:type="dxa"/>
            <w:tcBorders>
              <w:bottom w:val="single" w:sz="2" w:space="0" w:color="4B5088"/>
            </w:tcBorders>
            <w:shd w:fill="E9F9D8" w:val="clear"/>
            <w:tcMar>
              <w:bottom w:w="69" w:type="dxa"/>
            </w:tcMar>
            <w:vAlign w:val="center"/>
          </w:tcPr>
          <w:p>
            <w:pPr>
              <w:pStyle w:val="TableContents"/>
              <w:bidi w:val="0"/>
              <w:spacing w:lineRule="atLeast" w:line="155" w:before="0" w:after="0"/>
              <w:jc w:val="righ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69" w:type="dxa"/>
            </w:tcMar>
            <w:vAlign w:val="center"/>
          </w:tcPr>
          <w:p>
            <w:pPr>
              <w:pStyle w:val="TableContents"/>
              <w:bidi w:val="0"/>
              <w:spacing w:lineRule="atLeast" w:line="155" w:before="0" w:after="0"/>
              <w:jc w:val="right"/>
              <w:rPr/>
            </w:pPr>
            <w:r>
              <w:rPr/>
              <w:t>​</w:t>
            </w:r>
          </w:p>
        </w:tc>
        <w:tc>
          <w:tcPr>
            <w:tcW w:w="616" w:type="dxa"/>
            <w:tcBorders>
              <w:bottom w:val="single" w:sz="2" w:space="0" w:color="4B5088"/>
            </w:tcBorders>
            <w:shd w:fill="E9F9D8" w:val="clear"/>
            <w:tcMar>
              <w:bottom w:w="69" w:type="dxa"/>
            </w:tcMar>
            <w:vAlign w:val="center"/>
          </w:tcPr>
          <w:p>
            <w:pPr>
              <w:pStyle w:val="TableContents"/>
              <w:bidi w:val="0"/>
              <w:spacing w:lineRule="atLeast" w:line="155" w:before="0" w:after="0"/>
              <w:jc w:val="righ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69" w:type="dxa"/>
            </w:tcMar>
            <w:vAlign w:val="center"/>
          </w:tcPr>
          <w:p>
            <w:pPr>
              <w:pStyle w:val="TableContents"/>
              <w:bidi w:val="0"/>
              <w:spacing w:lineRule="atLeast" w:line="155" w:before="0" w:after="0"/>
              <w:jc w:val="right"/>
              <w:rPr/>
            </w:pPr>
            <w:r>
              <w:rPr/>
              <w:t>​</w:t>
            </w:r>
          </w:p>
        </w:tc>
        <w:tc>
          <w:tcPr>
            <w:tcW w:w="616" w:type="dxa"/>
            <w:tcBorders>
              <w:bottom w:val="single" w:sz="2" w:space="0" w:color="4B5088"/>
            </w:tcBorders>
            <w:shd w:fill="E9F9D8" w:val="clear"/>
            <w:tcMar>
              <w:bottom w:w="69" w:type="dxa"/>
            </w:tcMar>
            <w:vAlign w:val="center"/>
          </w:tcPr>
          <w:p>
            <w:pPr>
              <w:pStyle w:val="TableContents"/>
              <w:bidi w:val="0"/>
              <w:spacing w:lineRule="atLeast" w:line="155" w:before="0" w:after="0"/>
              <w:jc w:val="right"/>
              <w:rPr>
                <w:sz w:val="14"/>
              </w:rPr>
            </w:pPr>
            <w:r>
              <w:rPr>
                <w:sz w:val="14"/>
              </w:rPr>
              <w:t>115,418</w:t>
            </w:r>
            <w:r>
              <w:rPr>
                <w:sz w:val="9"/>
              </w:rPr>
              <w:t>(1)</w:t>
            </w:r>
            <w:r>
              <w:rPr>
                <w:sz w:val="14"/>
              </w:rPr>
              <w:t xml:space="preserve"> </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69" w:type="dxa"/>
            </w:tcMar>
            <w:vAlign w:val="center"/>
          </w:tcPr>
          <w:p>
            <w:pPr>
              <w:pStyle w:val="TableContents"/>
              <w:bidi w:val="0"/>
              <w:spacing w:lineRule="atLeast" w:line="155" w:before="0" w:after="0"/>
              <w:jc w:val="right"/>
              <w:rPr/>
            </w:pPr>
            <w:r>
              <w:rPr/>
              <w:t>​</w:t>
            </w:r>
          </w:p>
        </w:tc>
        <w:tc>
          <w:tcPr>
            <w:tcW w:w="346" w:type="dxa"/>
            <w:tcBorders>
              <w:bottom w:val="single" w:sz="2" w:space="0" w:color="4B5088"/>
            </w:tcBorders>
            <w:shd w:fill="E9F9D8" w:val="clear"/>
            <w:tcMar>
              <w:bottom w:w="69" w:type="dxa"/>
            </w:tcMar>
            <w:vAlign w:val="center"/>
          </w:tcPr>
          <w:p>
            <w:pPr>
              <w:pStyle w:val="TableContents"/>
              <w:bidi w:val="0"/>
              <w:spacing w:lineRule="atLeast" w:line="155" w:before="0" w:after="0"/>
              <w:jc w:val="righ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lineRule="atLeast" w:line="155" w:before="0" w:after="0"/>
              <w:jc w:val="right"/>
              <w:rPr/>
            </w:pPr>
            <w:r>
              <w:rPr/>
              <w:t>​</w:t>
            </w:r>
          </w:p>
          <w:p>
            <w:pPr>
              <w:pStyle w:val="TableContents"/>
              <w:bidi w:val="0"/>
              <w:spacing w:lineRule="atLeast" w:line="155" w:before="0" w:after="0"/>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lineRule="atLeast" w:line="155" w:before="0" w:after="0"/>
              <w:jc w:val="right"/>
              <w:rPr>
                <w:sz w:val="14"/>
              </w:rPr>
            </w:pPr>
            <w:r>
              <w:rPr>
                <w:sz w:val="14"/>
              </w:rPr>
              <w:t>$</w:t>
            </w:r>
          </w:p>
          <w:p>
            <w:pPr>
              <w:pStyle w:val="TableContents"/>
              <w:bidi w:val="0"/>
              <w:spacing w:lineRule="atLeast" w:line="155" w:before="0" w:after="0"/>
              <w:jc w:val="right"/>
              <w:rPr>
                <w:sz w:val="14"/>
              </w:rPr>
            </w:pPr>
            <w:r>
              <w:rPr>
                <w:sz w:val="14"/>
              </w:rPr>
              <w:t>6,337,602</w:t>
            </w:r>
          </w:p>
          <w:p>
            <w:pPr>
              <w:pStyle w:val="TableContents"/>
              <w:bidi w:val="0"/>
              <w:spacing w:before="0" w:after="283"/>
              <w:jc w:val="left"/>
              <w:rPr/>
            </w:pPr>
            <w:r>
              <w:rPr/>
              <w:t>​</w:t>
            </w:r>
          </w:p>
          <w:p>
            <w:pPr>
              <w:pStyle w:val="TableContents"/>
              <w:bidi w:val="0"/>
              <w:spacing w:before="0" w:after="283"/>
              <w:jc w:val="left"/>
              <w:rPr/>
            </w:pPr>
            <w:r>
              <w:rPr/>
              <w:t>​</w:t>
            </w:r>
          </w:p>
        </w:tc>
      </w:tr>
      <w:tr>
        <w:trPr/>
        <w:tc>
          <w:tcPr>
            <w:tcW w:w="698"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vMerge w:val="continue"/>
            <w:tcBorders>
              <w:bottom w:val="single" w:sz="2" w:space="0" w:color="FFFFFF"/>
            </w:tcBorders>
            <w:shd w:fill="FFFFFF" w:val="clear"/>
            <w:tcMar>
              <w:bottom w:w="28" w:type="dxa"/>
            </w:tcMar>
            <w:vAlign w:val="center"/>
          </w:tcPr>
          <w:p>
            <w:pPr>
              <w:pStyle w:val="Normal"/>
              <w:bidi w:val="0"/>
              <w:jc w:val="left"/>
              <w:rPr/>
            </w:pPr>
            <w:r>
              <w:rPr/>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69" w:type="dxa"/>
            </w:tcMar>
            <w:vAlign w:val="center"/>
          </w:tcPr>
          <w:p>
            <w:pPr>
              <w:pStyle w:val="TableContents"/>
              <w:bidi w:val="0"/>
              <w:spacing w:before="0" w:after="0"/>
              <w:jc w:val="right"/>
              <w:rPr/>
            </w:pPr>
            <w:r>
              <w:rPr/>
              <w:t>​</w:t>
            </w:r>
          </w:p>
        </w:tc>
        <w:tc>
          <w:tcPr>
            <w:tcW w:w="406" w:type="dxa"/>
            <w:tcBorders>
              <w:bottom w:val="single" w:sz="2" w:space="0" w:color="4B5088"/>
            </w:tcBorders>
            <w:tcMar>
              <w:bottom w:w="69" w:type="dxa"/>
            </w:tcMar>
            <w:vAlign w:val="center"/>
          </w:tcPr>
          <w:p>
            <w:pPr>
              <w:pStyle w:val="TableContents"/>
              <w:bidi w:val="0"/>
              <w:spacing w:before="0" w:after="0"/>
              <w:jc w:val="right"/>
              <w:rPr>
                <w:sz w:val="14"/>
              </w:rPr>
            </w:pPr>
            <w:r>
              <w:rPr>
                <w:sz w:val="14"/>
              </w:rPr>
              <w:t>07/01/2025</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69" w:type="dxa"/>
            </w:tcMar>
            <w:vAlign w:val="center"/>
          </w:tcPr>
          <w:p>
            <w:pPr>
              <w:pStyle w:val="TableContents"/>
              <w:bidi w:val="0"/>
              <w:spacing w:before="0" w:after="0"/>
              <w:jc w:val="right"/>
              <w:rPr/>
            </w:pPr>
            <w:r>
              <w:rPr/>
              <w:t>​</w:t>
            </w:r>
          </w:p>
        </w:tc>
        <w:tc>
          <w:tcPr>
            <w:tcW w:w="406" w:type="dxa"/>
            <w:tcBorders>
              <w:bottom w:val="single" w:sz="2" w:space="0" w:color="4B5088"/>
            </w:tcBorders>
            <w:tcMar>
              <w:bottom w:w="69" w:type="dxa"/>
            </w:tcMar>
            <w:vAlign w:val="center"/>
          </w:tcPr>
          <w:p>
            <w:pPr>
              <w:pStyle w:val="TableContents"/>
              <w:bidi w:val="0"/>
              <w:spacing w:before="0" w:after="0"/>
              <w:jc w:val="right"/>
              <w:rPr>
                <w:sz w:val="14"/>
              </w:rPr>
            </w:pPr>
            <w:r>
              <w:rPr>
                <w:sz w:val="14"/>
              </w:rPr>
              <w:t>07/01/2025</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81" w:type="dxa"/>
            <w:tcBorders>
              <w:bottom w:val="single" w:sz="2" w:space="0" w:color="4B5088"/>
            </w:tcBorders>
            <w:tcMar>
              <w:bottom w:w="69" w:type="dxa"/>
            </w:tcMar>
            <w:vAlign w:val="center"/>
          </w:tcPr>
          <w:p>
            <w:pPr>
              <w:pStyle w:val="TableContents"/>
              <w:bidi w:val="0"/>
              <w:spacing w:before="0" w:after="0"/>
              <w:jc w:val="right"/>
              <w:rPr/>
            </w:pPr>
            <w:r>
              <w:rPr/>
              <w:t>​</w:t>
            </w:r>
          </w:p>
        </w:tc>
        <w:tc>
          <w:tcPr>
            <w:tcW w:w="616" w:type="dxa"/>
            <w:tcBorders>
              <w:bottom w:val="single" w:sz="2" w:space="0" w:color="4B5088"/>
            </w:tcBorders>
            <w:tcMar>
              <w:bottom w:w="69" w:type="dxa"/>
            </w:tcMar>
            <w:vAlign w:val="center"/>
          </w:tcPr>
          <w:p>
            <w:pPr>
              <w:pStyle w:val="TableContents"/>
              <w:bidi w:val="0"/>
              <w:spacing w:before="0" w:after="0"/>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81" w:type="dxa"/>
            <w:tcBorders>
              <w:bottom w:val="single" w:sz="2" w:space="0" w:color="4B5088"/>
            </w:tcBorders>
            <w:tcMar>
              <w:bottom w:w="69" w:type="dxa"/>
            </w:tcMar>
            <w:vAlign w:val="center"/>
          </w:tcPr>
          <w:p>
            <w:pPr>
              <w:pStyle w:val="TableContents"/>
              <w:bidi w:val="0"/>
              <w:spacing w:before="0" w:after="0"/>
              <w:jc w:val="right"/>
              <w:rPr/>
            </w:pPr>
            <w:r>
              <w:rPr/>
              <w:t>​</w:t>
            </w:r>
          </w:p>
        </w:tc>
        <w:tc>
          <w:tcPr>
            <w:tcW w:w="721" w:type="dxa"/>
            <w:tcBorders>
              <w:bottom w:val="single" w:sz="2" w:space="0" w:color="4B5088"/>
            </w:tcBorders>
            <w:tcMar>
              <w:bottom w:w="69" w:type="dxa"/>
            </w:tcMar>
            <w:vAlign w:val="center"/>
          </w:tcPr>
          <w:p>
            <w:pPr>
              <w:pStyle w:val="TableContents"/>
              <w:bidi w:val="0"/>
              <w:spacing w:before="0" w:after="0"/>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81" w:type="dxa"/>
            <w:tcBorders>
              <w:bottom w:val="single" w:sz="2" w:space="0" w:color="4B5088"/>
            </w:tcBorders>
            <w:tcMar>
              <w:bottom w:w="69" w:type="dxa"/>
            </w:tcMar>
            <w:vAlign w:val="center"/>
          </w:tcPr>
          <w:p>
            <w:pPr>
              <w:pStyle w:val="TableContents"/>
              <w:bidi w:val="0"/>
              <w:spacing w:before="0" w:after="0"/>
              <w:jc w:val="right"/>
              <w:rPr/>
            </w:pPr>
            <w:r>
              <w:rPr/>
              <w:t>​</w:t>
            </w:r>
          </w:p>
        </w:tc>
        <w:tc>
          <w:tcPr>
            <w:tcW w:w="721" w:type="dxa"/>
            <w:tcBorders>
              <w:bottom w:val="single" w:sz="2" w:space="0" w:color="4B5088"/>
            </w:tcBorders>
            <w:tcMar>
              <w:bottom w:w="69" w:type="dxa"/>
            </w:tcMar>
            <w:vAlign w:val="center"/>
          </w:tcPr>
          <w:p>
            <w:pPr>
              <w:pStyle w:val="TableContents"/>
              <w:bidi w:val="0"/>
              <w:spacing w:before="0" w:after="0"/>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69" w:type="dxa"/>
            </w:tcMar>
            <w:vAlign w:val="center"/>
          </w:tcPr>
          <w:p>
            <w:pPr>
              <w:pStyle w:val="TableContents"/>
              <w:bidi w:val="0"/>
              <w:spacing w:before="0" w:after="0"/>
              <w:jc w:val="right"/>
              <w:rPr/>
            </w:pPr>
            <w:r>
              <w:rPr/>
              <w:t>​</w:t>
            </w:r>
          </w:p>
        </w:tc>
        <w:tc>
          <w:tcPr>
            <w:tcW w:w="541" w:type="dxa"/>
            <w:tcBorders>
              <w:bottom w:val="single" w:sz="2" w:space="0" w:color="4B5088"/>
            </w:tcBorders>
            <w:tcMar>
              <w:bottom w:w="69" w:type="dxa"/>
            </w:tcMar>
            <w:vAlign w:val="center"/>
          </w:tcPr>
          <w:p>
            <w:pPr>
              <w:pStyle w:val="TableContents"/>
              <w:bidi w:val="0"/>
              <w:spacing w:before="0" w:after="0"/>
              <w:jc w:val="right"/>
              <w:rPr>
                <w:sz w:val="14"/>
              </w:rPr>
            </w:pPr>
            <w:r>
              <w:rPr>
                <w:sz w:val="14"/>
              </w:rPr>
              <w:t>18,321</w:t>
            </w:r>
            <w:r>
              <w:rPr>
                <w:sz w:val="9"/>
              </w:rPr>
              <w:t>(2)</w:t>
            </w:r>
            <w:r>
              <w:rPr>
                <w:sz w:val="14"/>
              </w:rPr>
              <w:t xml:space="preserve">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69" w:type="dxa"/>
            </w:tcMar>
            <w:vAlign w:val="center"/>
          </w:tcPr>
          <w:p>
            <w:pPr>
              <w:pStyle w:val="TableContents"/>
              <w:bidi w:val="0"/>
              <w:spacing w:before="0" w:after="0"/>
              <w:jc w:val="right"/>
              <w:rPr/>
            </w:pPr>
            <w:r>
              <w:rPr/>
              <w:t>​</w:t>
            </w:r>
          </w:p>
        </w:tc>
        <w:tc>
          <w:tcPr>
            <w:tcW w:w="541" w:type="dxa"/>
            <w:tcBorders>
              <w:bottom w:val="single" w:sz="2" w:space="0" w:color="4B5088"/>
            </w:tcBorders>
            <w:tcMar>
              <w:bottom w:w="69" w:type="dxa"/>
            </w:tcMar>
            <w:vAlign w:val="center"/>
          </w:tcPr>
          <w:p>
            <w:pPr>
              <w:pStyle w:val="TableContents"/>
              <w:bidi w:val="0"/>
              <w:spacing w:before="0" w:after="0"/>
              <w:jc w:val="right"/>
              <w:rPr>
                <w:sz w:val="14"/>
              </w:rPr>
            </w:pPr>
            <w:r>
              <w:rPr>
                <w:sz w:val="14"/>
              </w:rPr>
              <w:t>73,283</w:t>
            </w:r>
            <w:r>
              <w:rPr>
                <w:sz w:val="9"/>
              </w:rPr>
              <w:t>(2)</w:t>
            </w:r>
            <w:r>
              <w:rPr>
                <w:sz w:val="14"/>
              </w:rPr>
              <w:t xml:space="preserve">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69" w:type="dxa"/>
            </w:tcMar>
            <w:vAlign w:val="center"/>
          </w:tcPr>
          <w:p>
            <w:pPr>
              <w:pStyle w:val="TableContents"/>
              <w:bidi w:val="0"/>
              <w:spacing w:before="0" w:after="0"/>
              <w:jc w:val="right"/>
              <w:rPr/>
            </w:pPr>
            <w:r>
              <w:rPr/>
              <w:t>​</w:t>
            </w:r>
          </w:p>
        </w:tc>
        <w:tc>
          <w:tcPr>
            <w:tcW w:w="616" w:type="dxa"/>
            <w:tcBorders>
              <w:bottom w:val="single" w:sz="2" w:space="0" w:color="4B5088"/>
            </w:tcBorders>
            <w:tcMar>
              <w:bottom w:w="69" w:type="dxa"/>
            </w:tcMar>
            <w:vAlign w:val="center"/>
          </w:tcPr>
          <w:p>
            <w:pPr>
              <w:pStyle w:val="TableContents"/>
              <w:bidi w:val="0"/>
              <w:spacing w:before="0" w:after="0"/>
              <w:jc w:val="right"/>
              <w:rPr>
                <w:sz w:val="14"/>
              </w:rPr>
            </w:pPr>
            <w:r>
              <w:rPr>
                <w:sz w:val="14"/>
              </w:rPr>
              <w:t>201,527</w:t>
            </w:r>
            <w:r>
              <w:rPr>
                <w:sz w:val="9"/>
              </w:rPr>
              <w:t>(2)</w:t>
            </w:r>
            <w:r>
              <w:rPr>
                <w:sz w:val="14"/>
              </w:rPr>
              <w:t xml:space="preserve">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69" w:type="dxa"/>
            </w:tcMar>
            <w:vAlign w:val="center"/>
          </w:tcPr>
          <w:p>
            <w:pPr>
              <w:pStyle w:val="TableContents"/>
              <w:bidi w:val="0"/>
              <w:spacing w:before="0" w:after="0"/>
              <w:jc w:val="right"/>
              <w:rPr/>
            </w:pPr>
            <w:r>
              <w:rPr/>
              <w:t>​</w:t>
            </w:r>
          </w:p>
        </w:tc>
        <w:tc>
          <w:tcPr>
            <w:tcW w:w="616" w:type="dxa"/>
            <w:tcBorders>
              <w:bottom w:val="single" w:sz="2" w:space="0" w:color="4B5088"/>
            </w:tcBorders>
            <w:tcMar>
              <w:bottom w:w="69" w:type="dxa"/>
            </w:tcMar>
            <w:vAlign w:val="center"/>
          </w:tcPr>
          <w:p>
            <w:pPr>
              <w:pStyle w:val="TableContents"/>
              <w:bidi w:val="0"/>
              <w:spacing w:before="0" w:after="0"/>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69" w:type="dxa"/>
            </w:tcMar>
            <w:vAlign w:val="center"/>
          </w:tcPr>
          <w:p>
            <w:pPr>
              <w:pStyle w:val="TableContents"/>
              <w:bidi w:val="0"/>
              <w:spacing w:before="0" w:after="0"/>
              <w:jc w:val="right"/>
              <w:rPr/>
            </w:pPr>
            <w:r>
              <w:rPr/>
              <w:t>​</w:t>
            </w:r>
          </w:p>
        </w:tc>
        <w:tc>
          <w:tcPr>
            <w:tcW w:w="346" w:type="dxa"/>
            <w:tcBorders>
              <w:bottom w:val="single" w:sz="2" w:space="0" w:color="4B5088"/>
            </w:tcBorders>
            <w:tcMar>
              <w:bottom w:w="69" w:type="dxa"/>
            </w:tcMar>
            <w:vAlign w:val="center"/>
          </w:tcPr>
          <w:p>
            <w:pPr>
              <w:pStyle w:val="TableContents"/>
              <w:bidi w:val="0"/>
              <w:spacing w:before="0" w:after="0"/>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0"/>
              <w:jc w:val="right"/>
              <w:rPr/>
            </w:pPr>
            <w:r>
              <w:rPr/>
              <w:t>​</w:t>
            </w:r>
          </w:p>
          <w:p>
            <w:pPr>
              <w:pStyle w:val="TableContents"/>
              <w:bidi w:val="0"/>
              <w:spacing w:before="0" w:after="0"/>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0"/>
              <w:jc w:val="right"/>
              <w:rPr>
                <w:sz w:val="14"/>
              </w:rPr>
            </w:pPr>
            <w:r>
              <w:rPr>
                <w:sz w:val="14"/>
              </w:rPr>
              <w:t>$</w:t>
            </w:r>
          </w:p>
          <w:p>
            <w:pPr>
              <w:pStyle w:val="TableContents"/>
              <w:bidi w:val="0"/>
              <w:spacing w:before="0" w:after="0"/>
              <w:jc w:val="right"/>
              <w:rPr>
                <w:sz w:val="14"/>
              </w:rPr>
            </w:pPr>
            <w:r>
              <w:rPr>
                <w:sz w:val="14"/>
              </w:rPr>
              <w:t>6,653,741</w:t>
            </w:r>
          </w:p>
          <w:p>
            <w:pPr>
              <w:pStyle w:val="TableContents"/>
              <w:bidi w:val="0"/>
              <w:spacing w:before="0" w:after="283"/>
              <w:jc w:val="left"/>
              <w:rPr/>
            </w:pPr>
            <w:r>
              <w:rPr/>
              <w:t>​</w:t>
            </w:r>
          </w:p>
          <w:p>
            <w:pPr>
              <w:pStyle w:val="TableContents"/>
              <w:bidi w:val="0"/>
              <w:spacing w:before="0" w:after="283"/>
              <w:jc w:val="left"/>
              <w:rPr/>
            </w:pPr>
            <w:r>
              <w:rPr/>
              <w:t>​</w:t>
            </w:r>
          </w:p>
        </w:tc>
      </w:tr>
      <w:tr>
        <w:trPr/>
        <w:tc>
          <w:tcPr>
            <w:tcW w:w="698"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vMerge w:val="continue"/>
            <w:tcBorders>
              <w:bottom w:val="single" w:sz="2" w:space="0" w:color="FFFFFF"/>
            </w:tcBorders>
            <w:shd w:fill="FFFFFF" w:val="clear"/>
            <w:tcMar>
              <w:bottom w:w="28" w:type="dxa"/>
            </w:tcMar>
            <w:vAlign w:val="center"/>
          </w:tcPr>
          <w:p>
            <w:pPr>
              <w:pStyle w:val="Normal"/>
              <w:bidi w:val="0"/>
              <w:jc w:val="left"/>
              <w:rPr/>
            </w:pPr>
            <w:r>
              <w:rPr/>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69" w:type="dxa"/>
            </w:tcMar>
            <w:vAlign w:val="center"/>
          </w:tcPr>
          <w:p>
            <w:pPr>
              <w:pStyle w:val="TableContents"/>
              <w:bidi w:val="0"/>
              <w:spacing w:before="0" w:after="0"/>
              <w:jc w:val="right"/>
              <w:rPr/>
            </w:pPr>
            <w:r>
              <w:rPr/>
              <w:t>​</w:t>
            </w:r>
          </w:p>
        </w:tc>
        <w:tc>
          <w:tcPr>
            <w:tcW w:w="406" w:type="dxa"/>
            <w:tcBorders>
              <w:bottom w:val="single" w:sz="2" w:space="0" w:color="4B5088"/>
            </w:tcBorders>
            <w:tcMar>
              <w:bottom w:w="69" w:type="dxa"/>
            </w:tcMar>
            <w:vAlign w:val="center"/>
          </w:tcPr>
          <w:p>
            <w:pPr>
              <w:pStyle w:val="TableContents"/>
              <w:bidi w:val="0"/>
              <w:spacing w:before="0" w:after="0"/>
              <w:jc w:val="right"/>
              <w:rPr>
                <w:sz w:val="14"/>
              </w:rPr>
            </w:pPr>
            <w:r>
              <w:rPr>
                <w:sz w:val="14"/>
              </w:rPr>
              <w:t>12/16/2025</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69" w:type="dxa"/>
            </w:tcMar>
            <w:vAlign w:val="center"/>
          </w:tcPr>
          <w:p>
            <w:pPr>
              <w:pStyle w:val="TableContents"/>
              <w:bidi w:val="0"/>
              <w:spacing w:before="0" w:after="0"/>
              <w:jc w:val="right"/>
              <w:rPr/>
            </w:pPr>
            <w:r>
              <w:rPr/>
              <w:t>​</w:t>
            </w:r>
          </w:p>
        </w:tc>
        <w:tc>
          <w:tcPr>
            <w:tcW w:w="406" w:type="dxa"/>
            <w:tcBorders>
              <w:bottom w:val="single" w:sz="2" w:space="0" w:color="4B5088"/>
            </w:tcBorders>
            <w:tcMar>
              <w:bottom w:w="69" w:type="dxa"/>
            </w:tcMar>
            <w:vAlign w:val="center"/>
          </w:tcPr>
          <w:p>
            <w:pPr>
              <w:pStyle w:val="TableContents"/>
              <w:bidi w:val="0"/>
              <w:spacing w:before="0" w:after="0"/>
              <w:jc w:val="right"/>
              <w:rPr>
                <w:sz w:val="14"/>
              </w:rPr>
            </w:pPr>
            <w:r>
              <w:rPr>
                <w:sz w:val="14"/>
              </w:rPr>
              <w:t>12/16/2025</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81" w:type="dxa"/>
            <w:tcBorders>
              <w:bottom w:val="single" w:sz="2" w:space="0" w:color="4B5088"/>
            </w:tcBorders>
            <w:tcMar>
              <w:bottom w:w="69" w:type="dxa"/>
            </w:tcMar>
            <w:vAlign w:val="center"/>
          </w:tcPr>
          <w:p>
            <w:pPr>
              <w:pStyle w:val="TableContents"/>
              <w:bidi w:val="0"/>
              <w:spacing w:before="0" w:after="0"/>
              <w:jc w:val="right"/>
              <w:rPr/>
            </w:pPr>
            <w:r>
              <w:rPr/>
              <w:t>​</w:t>
            </w:r>
          </w:p>
        </w:tc>
        <w:tc>
          <w:tcPr>
            <w:tcW w:w="616" w:type="dxa"/>
            <w:tcBorders>
              <w:bottom w:val="single" w:sz="2" w:space="0" w:color="4B5088"/>
            </w:tcBorders>
            <w:tcMar>
              <w:bottom w:w="69" w:type="dxa"/>
            </w:tcMar>
            <w:vAlign w:val="center"/>
          </w:tcPr>
          <w:p>
            <w:pPr>
              <w:pStyle w:val="TableContents"/>
              <w:bidi w:val="0"/>
              <w:spacing w:before="0" w:after="0"/>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81" w:type="dxa"/>
            <w:tcBorders>
              <w:bottom w:val="single" w:sz="2" w:space="0" w:color="4B5088"/>
            </w:tcBorders>
            <w:tcMar>
              <w:bottom w:w="69" w:type="dxa"/>
            </w:tcMar>
            <w:vAlign w:val="center"/>
          </w:tcPr>
          <w:p>
            <w:pPr>
              <w:pStyle w:val="TableContents"/>
              <w:bidi w:val="0"/>
              <w:spacing w:before="0" w:after="0"/>
              <w:jc w:val="right"/>
              <w:rPr/>
            </w:pPr>
            <w:r>
              <w:rPr/>
              <w:t>​</w:t>
            </w:r>
          </w:p>
        </w:tc>
        <w:tc>
          <w:tcPr>
            <w:tcW w:w="721" w:type="dxa"/>
            <w:tcBorders>
              <w:bottom w:val="single" w:sz="2" w:space="0" w:color="4B5088"/>
            </w:tcBorders>
            <w:tcMar>
              <w:bottom w:w="69" w:type="dxa"/>
            </w:tcMar>
            <w:vAlign w:val="center"/>
          </w:tcPr>
          <w:p>
            <w:pPr>
              <w:pStyle w:val="TableContents"/>
              <w:bidi w:val="0"/>
              <w:spacing w:before="0" w:after="0"/>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81" w:type="dxa"/>
            <w:tcBorders>
              <w:bottom w:val="single" w:sz="2" w:space="0" w:color="4B5088"/>
            </w:tcBorders>
            <w:tcMar>
              <w:bottom w:w="69" w:type="dxa"/>
            </w:tcMar>
            <w:vAlign w:val="center"/>
          </w:tcPr>
          <w:p>
            <w:pPr>
              <w:pStyle w:val="TableContents"/>
              <w:bidi w:val="0"/>
              <w:spacing w:before="0" w:after="0"/>
              <w:jc w:val="right"/>
              <w:rPr/>
            </w:pPr>
            <w:r>
              <w:rPr/>
              <w:t>​</w:t>
            </w:r>
          </w:p>
        </w:tc>
        <w:tc>
          <w:tcPr>
            <w:tcW w:w="721" w:type="dxa"/>
            <w:tcBorders>
              <w:bottom w:val="single" w:sz="2" w:space="0" w:color="4B5088"/>
            </w:tcBorders>
            <w:tcMar>
              <w:bottom w:w="69" w:type="dxa"/>
            </w:tcMar>
            <w:vAlign w:val="center"/>
          </w:tcPr>
          <w:p>
            <w:pPr>
              <w:pStyle w:val="TableContents"/>
              <w:bidi w:val="0"/>
              <w:spacing w:before="0" w:after="0"/>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69" w:type="dxa"/>
            </w:tcMar>
            <w:vAlign w:val="center"/>
          </w:tcPr>
          <w:p>
            <w:pPr>
              <w:pStyle w:val="TableContents"/>
              <w:bidi w:val="0"/>
              <w:spacing w:before="0" w:after="0"/>
              <w:jc w:val="right"/>
              <w:rPr/>
            </w:pPr>
            <w:r>
              <w:rPr/>
              <w:t>​</w:t>
            </w:r>
          </w:p>
        </w:tc>
        <w:tc>
          <w:tcPr>
            <w:tcW w:w="541" w:type="dxa"/>
            <w:tcBorders>
              <w:bottom w:val="single" w:sz="2" w:space="0" w:color="4B5088"/>
            </w:tcBorders>
            <w:tcMar>
              <w:bottom w:w="69" w:type="dxa"/>
            </w:tcMar>
            <w:vAlign w:val="center"/>
          </w:tcPr>
          <w:p>
            <w:pPr>
              <w:pStyle w:val="TableContents"/>
              <w:bidi w:val="0"/>
              <w:spacing w:before="0" w:after="0"/>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69" w:type="dxa"/>
            </w:tcMar>
            <w:vAlign w:val="center"/>
          </w:tcPr>
          <w:p>
            <w:pPr>
              <w:pStyle w:val="TableContents"/>
              <w:bidi w:val="0"/>
              <w:spacing w:before="0" w:after="0"/>
              <w:jc w:val="right"/>
              <w:rPr/>
            </w:pPr>
            <w:r>
              <w:rPr/>
              <w:t>​</w:t>
            </w:r>
          </w:p>
        </w:tc>
        <w:tc>
          <w:tcPr>
            <w:tcW w:w="541" w:type="dxa"/>
            <w:tcBorders>
              <w:bottom w:val="single" w:sz="2" w:space="0" w:color="4B5088"/>
            </w:tcBorders>
            <w:tcMar>
              <w:bottom w:w="69" w:type="dxa"/>
            </w:tcMar>
            <w:vAlign w:val="center"/>
          </w:tcPr>
          <w:p>
            <w:pPr>
              <w:pStyle w:val="TableContents"/>
              <w:bidi w:val="0"/>
              <w:spacing w:before="0" w:after="0"/>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69" w:type="dxa"/>
            </w:tcMar>
            <w:vAlign w:val="center"/>
          </w:tcPr>
          <w:p>
            <w:pPr>
              <w:pStyle w:val="TableContents"/>
              <w:bidi w:val="0"/>
              <w:spacing w:before="0" w:after="0"/>
              <w:jc w:val="right"/>
              <w:rPr/>
            </w:pPr>
            <w:r>
              <w:rPr/>
              <w:t>​</w:t>
            </w:r>
          </w:p>
        </w:tc>
        <w:tc>
          <w:tcPr>
            <w:tcW w:w="616" w:type="dxa"/>
            <w:tcBorders>
              <w:bottom w:val="single" w:sz="2" w:space="0" w:color="4B5088"/>
            </w:tcBorders>
            <w:tcMar>
              <w:bottom w:w="69" w:type="dxa"/>
            </w:tcMar>
            <w:vAlign w:val="center"/>
          </w:tcPr>
          <w:p>
            <w:pPr>
              <w:pStyle w:val="TableContents"/>
              <w:bidi w:val="0"/>
              <w:spacing w:before="0" w:after="0"/>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69" w:type="dxa"/>
            </w:tcMar>
            <w:vAlign w:val="center"/>
          </w:tcPr>
          <w:p>
            <w:pPr>
              <w:pStyle w:val="TableContents"/>
              <w:bidi w:val="0"/>
              <w:spacing w:before="0" w:after="0"/>
              <w:jc w:val="right"/>
              <w:rPr/>
            </w:pPr>
            <w:r>
              <w:rPr/>
              <w:t>​</w:t>
            </w:r>
          </w:p>
        </w:tc>
        <w:tc>
          <w:tcPr>
            <w:tcW w:w="616" w:type="dxa"/>
            <w:tcBorders>
              <w:bottom w:val="single" w:sz="2" w:space="0" w:color="4B5088"/>
            </w:tcBorders>
            <w:tcMar>
              <w:bottom w:w="69" w:type="dxa"/>
            </w:tcMar>
            <w:vAlign w:val="center"/>
          </w:tcPr>
          <w:p>
            <w:pPr>
              <w:pStyle w:val="TableContents"/>
              <w:bidi w:val="0"/>
              <w:spacing w:before="0" w:after="0"/>
              <w:jc w:val="right"/>
              <w:rPr>
                <w:sz w:val="14"/>
              </w:rPr>
            </w:pPr>
            <w:r>
              <w:rPr>
                <w:sz w:val="14"/>
              </w:rPr>
              <w:t>35,833</w:t>
            </w:r>
            <w:r>
              <w:rPr>
                <w:sz w:val="9"/>
              </w:rPr>
              <w:t>(3)</w:t>
            </w:r>
            <w:r>
              <w:rPr>
                <w:sz w:val="14"/>
              </w:rPr>
              <w:t xml:space="preserve">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69" w:type="dxa"/>
            </w:tcMar>
            <w:vAlign w:val="center"/>
          </w:tcPr>
          <w:p>
            <w:pPr>
              <w:pStyle w:val="TableContents"/>
              <w:bidi w:val="0"/>
              <w:spacing w:before="0" w:after="0"/>
              <w:jc w:val="right"/>
              <w:rPr/>
            </w:pPr>
            <w:r>
              <w:rPr/>
              <w:t>​</w:t>
            </w:r>
          </w:p>
        </w:tc>
        <w:tc>
          <w:tcPr>
            <w:tcW w:w="346" w:type="dxa"/>
            <w:tcBorders>
              <w:bottom w:val="single" w:sz="2" w:space="0" w:color="4B5088"/>
            </w:tcBorders>
            <w:tcMar>
              <w:bottom w:w="69" w:type="dxa"/>
            </w:tcMar>
            <w:vAlign w:val="center"/>
          </w:tcPr>
          <w:p>
            <w:pPr>
              <w:pStyle w:val="TableContents"/>
              <w:bidi w:val="0"/>
              <w:spacing w:before="0" w:after="0"/>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0"/>
              <w:jc w:val="right"/>
              <w:rPr/>
            </w:pPr>
            <w:r>
              <w:rPr/>
              <w:t>​</w:t>
            </w:r>
          </w:p>
          <w:p>
            <w:pPr>
              <w:pStyle w:val="TableContents"/>
              <w:bidi w:val="0"/>
              <w:spacing w:before="0" w:after="0"/>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0"/>
              <w:jc w:val="right"/>
              <w:rPr>
                <w:sz w:val="14"/>
              </w:rPr>
            </w:pPr>
            <w:r>
              <w:rPr>
                <w:sz w:val="14"/>
              </w:rPr>
              <w:t>$</w:t>
            </w:r>
          </w:p>
          <w:p>
            <w:pPr>
              <w:pStyle w:val="TableContents"/>
              <w:bidi w:val="0"/>
              <w:spacing w:before="0" w:after="0"/>
              <w:jc w:val="right"/>
              <w:rPr>
                <w:sz w:val="14"/>
              </w:rPr>
            </w:pPr>
            <w:r>
              <w:rPr>
                <w:sz w:val="14"/>
              </w:rPr>
              <w:t>1,280,313</w:t>
            </w:r>
          </w:p>
          <w:p>
            <w:pPr>
              <w:pStyle w:val="TableContents"/>
              <w:bidi w:val="0"/>
              <w:spacing w:before="0" w:after="283"/>
              <w:jc w:val="left"/>
              <w:rPr/>
            </w:pPr>
            <w:r>
              <w:rPr/>
              <w:t>​</w:t>
            </w:r>
          </w:p>
          <w:p>
            <w:pPr>
              <w:pStyle w:val="TableContents"/>
              <w:bidi w:val="0"/>
              <w:spacing w:before="0" w:after="283"/>
              <w:jc w:val="left"/>
              <w:rPr/>
            </w:pPr>
            <w:r>
              <w:rPr/>
              <w:t>​</w:t>
            </w:r>
          </w:p>
        </w:tc>
      </w:tr>
      <w:tr>
        <w:trPr/>
        <w:tc>
          <w:tcPr>
            <w:tcW w:w="698" w:type="dxa"/>
            <w:tcBorders>
              <w:bottom w:val="single" w:sz="2" w:space="0" w:color="4B5088"/>
            </w:tcBorders>
            <w:tcMar>
              <w:bottom w:w="69"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69" w:type="dxa"/>
            </w:tcMar>
            <w:vAlign w:val="center"/>
          </w:tcPr>
          <w:p>
            <w:pPr>
              <w:pStyle w:val="TableContents"/>
              <w:bidi w:val="0"/>
              <w:spacing w:before="0" w:after="0"/>
              <w:jc w:val="right"/>
              <w:rPr/>
            </w:pPr>
            <w:r>
              <w:rPr/>
              <w:t>​</w:t>
            </w:r>
          </w:p>
        </w:tc>
        <w:tc>
          <w:tcPr>
            <w:tcW w:w="406" w:type="dxa"/>
            <w:tcBorders>
              <w:bottom w:val="single" w:sz="2" w:space="0" w:color="4B5088"/>
            </w:tcBorders>
            <w:tcMar>
              <w:bottom w:w="69" w:type="dxa"/>
            </w:tcMar>
            <w:vAlign w:val="center"/>
          </w:tcPr>
          <w:p>
            <w:pPr>
              <w:pStyle w:val="TableContents"/>
              <w:bidi w:val="0"/>
              <w:spacing w:before="0" w:after="0"/>
              <w:jc w:val="right"/>
              <w:rPr>
                <w:sz w:val="14"/>
              </w:rPr>
            </w:pPr>
            <w:r>
              <w:rPr>
                <w:sz w:val="14"/>
              </w:rPr>
              <w:t>N/A</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69" w:type="dxa"/>
            </w:tcMar>
            <w:vAlign w:val="center"/>
          </w:tcPr>
          <w:p>
            <w:pPr>
              <w:pStyle w:val="TableContents"/>
              <w:bidi w:val="0"/>
              <w:spacing w:before="0" w:after="0"/>
              <w:jc w:val="right"/>
              <w:rPr/>
            </w:pPr>
            <w:r>
              <w:rPr/>
              <w:t>​</w:t>
            </w:r>
          </w:p>
        </w:tc>
        <w:tc>
          <w:tcPr>
            <w:tcW w:w="406" w:type="dxa"/>
            <w:tcBorders>
              <w:bottom w:val="single" w:sz="2" w:space="0" w:color="4B5088"/>
            </w:tcBorders>
            <w:tcMar>
              <w:bottom w:w="69" w:type="dxa"/>
            </w:tcMar>
            <w:vAlign w:val="center"/>
          </w:tcPr>
          <w:p>
            <w:pPr>
              <w:pStyle w:val="TableContents"/>
              <w:bidi w:val="0"/>
              <w:spacing w:before="0" w:after="0"/>
              <w:jc w:val="right"/>
              <w:rPr>
                <w:sz w:val="14"/>
              </w:rPr>
            </w:pPr>
            <w:r>
              <w:rPr>
                <w:sz w:val="14"/>
              </w:rPr>
              <w:t>N/A</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81" w:type="dxa"/>
            <w:tcBorders>
              <w:bottom w:val="single" w:sz="2" w:space="0" w:color="4B5088"/>
            </w:tcBorders>
            <w:tcMar>
              <w:bottom w:w="69" w:type="dxa"/>
            </w:tcMar>
            <w:vAlign w:val="center"/>
          </w:tcPr>
          <w:p>
            <w:pPr>
              <w:pStyle w:val="TableContents"/>
              <w:bidi w:val="0"/>
              <w:spacing w:before="0" w:after="0"/>
              <w:jc w:val="right"/>
              <w:rPr>
                <w:sz w:val="14"/>
              </w:rPr>
            </w:pPr>
            <w:r>
              <w:rPr>
                <w:sz w:val="14"/>
              </w:rPr>
              <w:t>$</w:t>
            </w:r>
          </w:p>
        </w:tc>
        <w:tc>
          <w:tcPr>
            <w:tcW w:w="616" w:type="dxa"/>
            <w:tcBorders>
              <w:bottom w:val="single" w:sz="2" w:space="0" w:color="4B5088"/>
            </w:tcBorders>
            <w:tcMar>
              <w:bottom w:w="69" w:type="dxa"/>
            </w:tcMar>
            <w:vAlign w:val="center"/>
          </w:tcPr>
          <w:p>
            <w:pPr>
              <w:pStyle w:val="TableContents"/>
              <w:bidi w:val="0"/>
              <w:spacing w:before="0" w:after="0"/>
              <w:jc w:val="right"/>
              <w:rPr>
                <w:sz w:val="14"/>
              </w:rPr>
            </w:pPr>
            <w:r>
              <w:rPr>
                <w:sz w:val="14"/>
              </w:rPr>
              <w:t>700,000</w:t>
            </w:r>
            <w:r>
              <w:rPr>
                <w:sz w:val="9"/>
              </w:rPr>
              <w:t>(4)</w:t>
            </w:r>
            <w:r>
              <w:rPr>
                <w:sz w:val="14"/>
              </w:rPr>
              <w:t xml:space="preserve">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81" w:type="dxa"/>
            <w:tcBorders>
              <w:bottom w:val="single" w:sz="2" w:space="0" w:color="4B5088"/>
            </w:tcBorders>
            <w:tcMar>
              <w:bottom w:w="69" w:type="dxa"/>
            </w:tcMar>
            <w:vAlign w:val="center"/>
          </w:tcPr>
          <w:p>
            <w:pPr>
              <w:pStyle w:val="TableContents"/>
              <w:bidi w:val="0"/>
              <w:spacing w:before="0" w:after="0"/>
              <w:jc w:val="right"/>
              <w:rPr>
                <w:sz w:val="14"/>
              </w:rPr>
            </w:pPr>
            <w:r>
              <w:rPr>
                <w:sz w:val="14"/>
              </w:rPr>
              <w:t>$</w:t>
            </w:r>
          </w:p>
        </w:tc>
        <w:tc>
          <w:tcPr>
            <w:tcW w:w="721" w:type="dxa"/>
            <w:tcBorders>
              <w:bottom w:val="single" w:sz="2" w:space="0" w:color="4B5088"/>
            </w:tcBorders>
            <w:tcMar>
              <w:bottom w:w="69" w:type="dxa"/>
            </w:tcMar>
            <w:vAlign w:val="center"/>
          </w:tcPr>
          <w:p>
            <w:pPr>
              <w:pStyle w:val="TableContents"/>
              <w:bidi w:val="0"/>
              <w:spacing w:before="0" w:after="0"/>
              <w:jc w:val="right"/>
              <w:rPr>
                <w:sz w:val="14"/>
              </w:rPr>
            </w:pPr>
            <w:r>
              <w:rPr>
                <w:sz w:val="14"/>
              </w:rPr>
              <w:t>2,800,000</w:t>
            </w:r>
            <w:r>
              <w:rPr>
                <w:sz w:val="9"/>
              </w:rPr>
              <w:t>(4)</w:t>
            </w:r>
            <w:r>
              <w:rPr>
                <w:sz w:val="14"/>
              </w:rPr>
              <w:t xml:space="preserve">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81" w:type="dxa"/>
            <w:tcBorders>
              <w:bottom w:val="single" w:sz="2" w:space="0" w:color="4B5088"/>
            </w:tcBorders>
            <w:tcMar>
              <w:bottom w:w="69" w:type="dxa"/>
            </w:tcMar>
            <w:vAlign w:val="center"/>
          </w:tcPr>
          <w:p>
            <w:pPr>
              <w:pStyle w:val="TableContents"/>
              <w:bidi w:val="0"/>
              <w:spacing w:before="0" w:after="0"/>
              <w:jc w:val="right"/>
              <w:rPr>
                <w:sz w:val="14"/>
              </w:rPr>
            </w:pPr>
            <w:r>
              <w:rPr>
                <w:sz w:val="14"/>
              </w:rPr>
              <w:t>$</w:t>
            </w:r>
          </w:p>
        </w:tc>
        <w:tc>
          <w:tcPr>
            <w:tcW w:w="721" w:type="dxa"/>
            <w:tcBorders>
              <w:bottom w:val="single" w:sz="2" w:space="0" w:color="4B5088"/>
            </w:tcBorders>
            <w:tcMar>
              <w:bottom w:w="69" w:type="dxa"/>
            </w:tcMar>
            <w:vAlign w:val="center"/>
          </w:tcPr>
          <w:p>
            <w:pPr>
              <w:pStyle w:val="TableContents"/>
              <w:bidi w:val="0"/>
              <w:spacing w:before="0" w:after="0"/>
              <w:jc w:val="right"/>
              <w:rPr>
                <w:sz w:val="14"/>
              </w:rPr>
            </w:pPr>
            <w:r>
              <w:rPr>
                <w:sz w:val="14"/>
              </w:rPr>
              <w:t>5,600,000</w:t>
            </w:r>
            <w:r>
              <w:rPr>
                <w:sz w:val="9"/>
              </w:rPr>
              <w:t>(4)</w:t>
            </w:r>
            <w:r>
              <w:rPr>
                <w:sz w:val="14"/>
              </w:rPr>
              <w:t xml:space="preserve">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69" w:type="dxa"/>
            </w:tcMar>
            <w:vAlign w:val="center"/>
          </w:tcPr>
          <w:p>
            <w:pPr>
              <w:pStyle w:val="TableContents"/>
              <w:bidi w:val="0"/>
              <w:spacing w:before="0" w:after="0"/>
              <w:jc w:val="right"/>
              <w:rPr/>
            </w:pPr>
            <w:r>
              <w:rPr/>
              <w:t>​</w:t>
            </w:r>
          </w:p>
        </w:tc>
        <w:tc>
          <w:tcPr>
            <w:tcW w:w="541" w:type="dxa"/>
            <w:tcBorders>
              <w:bottom w:val="single" w:sz="2" w:space="0" w:color="4B5088"/>
            </w:tcBorders>
            <w:tcMar>
              <w:bottom w:w="69" w:type="dxa"/>
            </w:tcMar>
            <w:vAlign w:val="center"/>
          </w:tcPr>
          <w:p>
            <w:pPr>
              <w:pStyle w:val="TableContents"/>
              <w:bidi w:val="0"/>
              <w:spacing w:before="0" w:after="0"/>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69" w:type="dxa"/>
            </w:tcMar>
            <w:vAlign w:val="center"/>
          </w:tcPr>
          <w:p>
            <w:pPr>
              <w:pStyle w:val="TableContents"/>
              <w:bidi w:val="0"/>
              <w:spacing w:before="0" w:after="0"/>
              <w:jc w:val="right"/>
              <w:rPr/>
            </w:pPr>
            <w:r>
              <w:rPr/>
              <w:t>​</w:t>
            </w:r>
          </w:p>
        </w:tc>
        <w:tc>
          <w:tcPr>
            <w:tcW w:w="541" w:type="dxa"/>
            <w:tcBorders>
              <w:bottom w:val="single" w:sz="2" w:space="0" w:color="4B5088"/>
            </w:tcBorders>
            <w:tcMar>
              <w:bottom w:w="69" w:type="dxa"/>
            </w:tcMar>
            <w:vAlign w:val="center"/>
          </w:tcPr>
          <w:p>
            <w:pPr>
              <w:pStyle w:val="TableContents"/>
              <w:bidi w:val="0"/>
              <w:spacing w:before="0" w:after="0"/>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69" w:type="dxa"/>
            </w:tcMar>
            <w:vAlign w:val="center"/>
          </w:tcPr>
          <w:p>
            <w:pPr>
              <w:pStyle w:val="TableContents"/>
              <w:bidi w:val="0"/>
              <w:spacing w:before="0" w:after="0"/>
              <w:jc w:val="right"/>
              <w:rPr/>
            </w:pPr>
            <w:r>
              <w:rPr/>
              <w:t>​</w:t>
            </w:r>
          </w:p>
        </w:tc>
        <w:tc>
          <w:tcPr>
            <w:tcW w:w="616" w:type="dxa"/>
            <w:tcBorders>
              <w:bottom w:val="single" w:sz="2" w:space="0" w:color="4B5088"/>
            </w:tcBorders>
            <w:tcMar>
              <w:bottom w:w="69" w:type="dxa"/>
            </w:tcMar>
            <w:vAlign w:val="center"/>
          </w:tcPr>
          <w:p>
            <w:pPr>
              <w:pStyle w:val="TableContents"/>
              <w:bidi w:val="0"/>
              <w:spacing w:before="0" w:after="0"/>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69" w:type="dxa"/>
            </w:tcMar>
            <w:vAlign w:val="center"/>
          </w:tcPr>
          <w:p>
            <w:pPr>
              <w:pStyle w:val="TableContents"/>
              <w:bidi w:val="0"/>
              <w:spacing w:before="0" w:after="0"/>
              <w:jc w:val="right"/>
              <w:rPr/>
            </w:pPr>
            <w:r>
              <w:rPr/>
              <w:t>​</w:t>
            </w:r>
          </w:p>
        </w:tc>
        <w:tc>
          <w:tcPr>
            <w:tcW w:w="616" w:type="dxa"/>
            <w:tcBorders>
              <w:bottom w:val="single" w:sz="2" w:space="0" w:color="4B5088"/>
            </w:tcBorders>
            <w:tcMar>
              <w:bottom w:w="69" w:type="dxa"/>
            </w:tcMar>
            <w:vAlign w:val="center"/>
          </w:tcPr>
          <w:p>
            <w:pPr>
              <w:pStyle w:val="TableContents"/>
              <w:bidi w:val="0"/>
              <w:spacing w:before="0" w:after="0"/>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69" w:type="dxa"/>
            </w:tcMar>
            <w:vAlign w:val="center"/>
          </w:tcPr>
          <w:p>
            <w:pPr>
              <w:pStyle w:val="TableContents"/>
              <w:bidi w:val="0"/>
              <w:spacing w:before="0" w:after="0"/>
              <w:jc w:val="right"/>
              <w:rPr/>
            </w:pPr>
            <w:r>
              <w:rPr/>
              <w:t>​</w:t>
            </w:r>
          </w:p>
        </w:tc>
        <w:tc>
          <w:tcPr>
            <w:tcW w:w="346" w:type="dxa"/>
            <w:tcBorders>
              <w:bottom w:val="single" w:sz="2" w:space="0" w:color="4B5088"/>
            </w:tcBorders>
            <w:tcMar>
              <w:bottom w:w="69" w:type="dxa"/>
            </w:tcMar>
            <w:vAlign w:val="center"/>
          </w:tcPr>
          <w:p>
            <w:pPr>
              <w:pStyle w:val="TableContents"/>
              <w:bidi w:val="0"/>
              <w:spacing w:before="0" w:after="0"/>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0"/>
              <w:jc w:val="right"/>
              <w:rPr/>
            </w:pPr>
            <w:r>
              <w:rPr/>
              <w:t>​</w:t>
            </w:r>
          </w:p>
          <w:p>
            <w:pPr>
              <w:pStyle w:val="TableContents"/>
              <w:bidi w:val="0"/>
              <w:spacing w:before="0" w:after="0"/>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698" w:type="dxa"/>
            <w:vMerge w:val="restart"/>
            <w:tcBorders>
              <w:bottom w:val="single" w:sz="2" w:space="0" w:color="4B5088"/>
            </w:tcBorders>
            <w:tcMar>
              <w:bottom w:w="69" w:type="dxa"/>
            </w:tcMar>
            <w:vAlign w:val="center"/>
          </w:tcPr>
          <w:p>
            <w:pPr>
              <w:pStyle w:val="TableContents"/>
              <w:bidi w:val="0"/>
              <w:spacing w:before="0" w:after="0"/>
              <w:jc w:val="left"/>
              <w:rPr>
                <w:b/>
                <w:color w:val="1F2668"/>
                <w:sz w:val="14"/>
              </w:rPr>
            </w:pPr>
            <w:r>
              <w:rPr>
                <w:b/>
                <w:color w:val="1F2668"/>
                <w:spacing w:val="-1"/>
                <w:sz w:val="14"/>
              </w:rPr>
              <w:t>Matthew J. DiLiberto</w:t>
            </w:r>
            <w:r>
              <w:rPr>
                <w:b/>
                <w:color w:val="1F2668"/>
                <w:sz w:val="14"/>
              </w:rPr>
              <w:t xml:space="preserve">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69" w:type="dxa"/>
            </w:tcMar>
            <w:vAlign w:val="center"/>
          </w:tcPr>
          <w:p>
            <w:pPr>
              <w:pStyle w:val="TableContents"/>
              <w:bidi w:val="0"/>
              <w:spacing w:lineRule="atLeast" w:line="155" w:before="0" w:after="0"/>
              <w:jc w:val="right"/>
              <w:rPr/>
            </w:pPr>
            <w:r>
              <w:rPr/>
              <w:t>​</w:t>
            </w:r>
          </w:p>
        </w:tc>
        <w:tc>
          <w:tcPr>
            <w:tcW w:w="406" w:type="dxa"/>
            <w:tcBorders>
              <w:bottom w:val="single" w:sz="2" w:space="0" w:color="4B5088"/>
            </w:tcBorders>
            <w:shd w:fill="E9F9D8" w:val="clear"/>
            <w:tcMar>
              <w:bottom w:w="69" w:type="dxa"/>
            </w:tcMar>
            <w:vAlign w:val="center"/>
          </w:tcPr>
          <w:p>
            <w:pPr>
              <w:pStyle w:val="TableContents"/>
              <w:bidi w:val="0"/>
              <w:spacing w:lineRule="atLeast" w:line="155" w:before="0" w:after="0"/>
              <w:jc w:val="right"/>
              <w:rPr>
                <w:sz w:val="14"/>
              </w:rPr>
            </w:pPr>
            <w:r>
              <w:rPr>
                <w:sz w:val="14"/>
              </w:rPr>
              <w:t>01/29/2025</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69" w:type="dxa"/>
            </w:tcMar>
            <w:vAlign w:val="center"/>
          </w:tcPr>
          <w:p>
            <w:pPr>
              <w:pStyle w:val="TableContents"/>
              <w:bidi w:val="0"/>
              <w:spacing w:lineRule="atLeast" w:line="155" w:before="0" w:after="0"/>
              <w:jc w:val="right"/>
              <w:rPr/>
            </w:pPr>
            <w:r>
              <w:rPr/>
              <w:t>​</w:t>
            </w:r>
          </w:p>
        </w:tc>
        <w:tc>
          <w:tcPr>
            <w:tcW w:w="406" w:type="dxa"/>
            <w:tcBorders>
              <w:bottom w:val="single" w:sz="2" w:space="0" w:color="4B5088"/>
            </w:tcBorders>
            <w:shd w:fill="E9F9D8" w:val="clear"/>
            <w:tcMar>
              <w:bottom w:w="69" w:type="dxa"/>
            </w:tcMar>
            <w:vAlign w:val="center"/>
          </w:tcPr>
          <w:p>
            <w:pPr>
              <w:pStyle w:val="TableContents"/>
              <w:bidi w:val="0"/>
              <w:spacing w:lineRule="atLeast" w:line="155" w:before="0" w:after="0"/>
              <w:jc w:val="right"/>
              <w:rPr>
                <w:sz w:val="14"/>
              </w:rPr>
            </w:pPr>
            <w:r>
              <w:rPr>
                <w:sz w:val="14"/>
              </w:rPr>
              <w:t>01/29/2025</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81" w:type="dxa"/>
            <w:tcBorders>
              <w:bottom w:val="single" w:sz="2" w:space="0" w:color="4B5088"/>
            </w:tcBorders>
            <w:shd w:fill="E9F9D8" w:val="clear"/>
            <w:tcMar>
              <w:bottom w:w="69" w:type="dxa"/>
            </w:tcMar>
            <w:vAlign w:val="center"/>
          </w:tcPr>
          <w:p>
            <w:pPr>
              <w:pStyle w:val="TableContents"/>
              <w:bidi w:val="0"/>
              <w:spacing w:lineRule="atLeast" w:line="155" w:before="0" w:after="0"/>
              <w:jc w:val="right"/>
              <w:rPr/>
            </w:pPr>
            <w:r>
              <w:rPr/>
              <w:t>​</w:t>
            </w:r>
          </w:p>
        </w:tc>
        <w:tc>
          <w:tcPr>
            <w:tcW w:w="616" w:type="dxa"/>
            <w:tcBorders>
              <w:bottom w:val="single" w:sz="2" w:space="0" w:color="4B5088"/>
            </w:tcBorders>
            <w:shd w:fill="E9F9D8" w:val="clear"/>
            <w:tcMar>
              <w:bottom w:w="69" w:type="dxa"/>
            </w:tcMar>
            <w:vAlign w:val="center"/>
          </w:tcPr>
          <w:p>
            <w:pPr>
              <w:pStyle w:val="TableContents"/>
              <w:bidi w:val="0"/>
              <w:spacing w:lineRule="atLeast" w:line="155" w:before="0" w:after="0"/>
              <w:jc w:val="righ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81" w:type="dxa"/>
            <w:tcBorders>
              <w:bottom w:val="single" w:sz="2" w:space="0" w:color="4B5088"/>
            </w:tcBorders>
            <w:shd w:fill="E9F9D8" w:val="clear"/>
            <w:tcMar>
              <w:bottom w:w="69" w:type="dxa"/>
            </w:tcMar>
            <w:vAlign w:val="center"/>
          </w:tcPr>
          <w:p>
            <w:pPr>
              <w:pStyle w:val="TableContents"/>
              <w:bidi w:val="0"/>
              <w:spacing w:lineRule="atLeast" w:line="155" w:before="0" w:after="0"/>
              <w:jc w:val="right"/>
              <w:rPr/>
            </w:pPr>
            <w:r>
              <w:rPr/>
              <w:t>​</w:t>
            </w:r>
          </w:p>
        </w:tc>
        <w:tc>
          <w:tcPr>
            <w:tcW w:w="721" w:type="dxa"/>
            <w:tcBorders>
              <w:bottom w:val="single" w:sz="2" w:space="0" w:color="4B5088"/>
            </w:tcBorders>
            <w:shd w:fill="E9F9D8" w:val="clear"/>
            <w:tcMar>
              <w:bottom w:w="69" w:type="dxa"/>
            </w:tcMar>
            <w:vAlign w:val="center"/>
          </w:tcPr>
          <w:p>
            <w:pPr>
              <w:pStyle w:val="TableContents"/>
              <w:bidi w:val="0"/>
              <w:spacing w:lineRule="atLeast" w:line="155" w:before="0" w:after="0"/>
              <w:jc w:val="righ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81" w:type="dxa"/>
            <w:tcBorders>
              <w:bottom w:val="single" w:sz="2" w:space="0" w:color="4B5088"/>
            </w:tcBorders>
            <w:shd w:fill="E9F9D8" w:val="clear"/>
            <w:tcMar>
              <w:bottom w:w="69" w:type="dxa"/>
            </w:tcMar>
            <w:vAlign w:val="center"/>
          </w:tcPr>
          <w:p>
            <w:pPr>
              <w:pStyle w:val="TableContents"/>
              <w:bidi w:val="0"/>
              <w:spacing w:lineRule="atLeast" w:line="155" w:before="0" w:after="0"/>
              <w:jc w:val="right"/>
              <w:rPr/>
            </w:pPr>
            <w:r>
              <w:rPr/>
              <w:t>​</w:t>
            </w:r>
          </w:p>
        </w:tc>
        <w:tc>
          <w:tcPr>
            <w:tcW w:w="721" w:type="dxa"/>
            <w:tcBorders>
              <w:bottom w:val="single" w:sz="2" w:space="0" w:color="4B5088"/>
            </w:tcBorders>
            <w:shd w:fill="E9F9D8" w:val="clear"/>
            <w:tcMar>
              <w:bottom w:w="69" w:type="dxa"/>
            </w:tcMar>
            <w:vAlign w:val="center"/>
          </w:tcPr>
          <w:p>
            <w:pPr>
              <w:pStyle w:val="TableContents"/>
              <w:bidi w:val="0"/>
              <w:spacing w:lineRule="atLeast" w:line="155" w:before="0" w:after="0"/>
              <w:jc w:val="righ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69" w:type="dxa"/>
            </w:tcMar>
            <w:vAlign w:val="center"/>
          </w:tcPr>
          <w:p>
            <w:pPr>
              <w:pStyle w:val="TableContents"/>
              <w:bidi w:val="0"/>
              <w:spacing w:lineRule="atLeast" w:line="155" w:before="0" w:after="0"/>
              <w:jc w:val="right"/>
              <w:rPr/>
            </w:pPr>
            <w:r>
              <w:rPr/>
              <w:t>​</w:t>
            </w:r>
          </w:p>
        </w:tc>
        <w:tc>
          <w:tcPr>
            <w:tcW w:w="541" w:type="dxa"/>
            <w:tcBorders>
              <w:bottom w:val="single" w:sz="2" w:space="0" w:color="4B5088"/>
            </w:tcBorders>
            <w:shd w:fill="E9F9D8" w:val="clear"/>
            <w:tcMar>
              <w:bottom w:w="69" w:type="dxa"/>
            </w:tcMar>
            <w:vAlign w:val="center"/>
          </w:tcPr>
          <w:p>
            <w:pPr>
              <w:pStyle w:val="TableContents"/>
              <w:bidi w:val="0"/>
              <w:spacing w:lineRule="atLeast" w:line="155" w:before="0" w:after="0"/>
              <w:jc w:val="righ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69" w:type="dxa"/>
            </w:tcMar>
            <w:vAlign w:val="center"/>
          </w:tcPr>
          <w:p>
            <w:pPr>
              <w:pStyle w:val="TableContents"/>
              <w:bidi w:val="0"/>
              <w:spacing w:lineRule="atLeast" w:line="155" w:before="0" w:after="0"/>
              <w:jc w:val="right"/>
              <w:rPr/>
            </w:pPr>
            <w:r>
              <w:rPr/>
              <w:t>​</w:t>
            </w:r>
          </w:p>
        </w:tc>
        <w:tc>
          <w:tcPr>
            <w:tcW w:w="541" w:type="dxa"/>
            <w:tcBorders>
              <w:bottom w:val="single" w:sz="2" w:space="0" w:color="4B5088"/>
            </w:tcBorders>
            <w:shd w:fill="E9F9D8" w:val="clear"/>
            <w:tcMar>
              <w:bottom w:w="69" w:type="dxa"/>
            </w:tcMar>
            <w:vAlign w:val="center"/>
          </w:tcPr>
          <w:p>
            <w:pPr>
              <w:pStyle w:val="TableContents"/>
              <w:bidi w:val="0"/>
              <w:spacing w:lineRule="atLeast" w:line="155" w:before="0" w:after="0"/>
              <w:jc w:val="righ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69" w:type="dxa"/>
            </w:tcMar>
            <w:vAlign w:val="center"/>
          </w:tcPr>
          <w:p>
            <w:pPr>
              <w:pStyle w:val="TableContents"/>
              <w:bidi w:val="0"/>
              <w:spacing w:lineRule="atLeast" w:line="155" w:before="0" w:after="0"/>
              <w:jc w:val="right"/>
              <w:rPr/>
            </w:pPr>
            <w:r>
              <w:rPr/>
              <w:t>​</w:t>
            </w:r>
          </w:p>
        </w:tc>
        <w:tc>
          <w:tcPr>
            <w:tcW w:w="616" w:type="dxa"/>
            <w:tcBorders>
              <w:bottom w:val="single" w:sz="2" w:space="0" w:color="4B5088"/>
            </w:tcBorders>
            <w:shd w:fill="E9F9D8" w:val="clear"/>
            <w:tcMar>
              <w:bottom w:w="69" w:type="dxa"/>
            </w:tcMar>
            <w:vAlign w:val="center"/>
          </w:tcPr>
          <w:p>
            <w:pPr>
              <w:pStyle w:val="TableContents"/>
              <w:bidi w:val="0"/>
              <w:spacing w:lineRule="atLeast" w:line="155" w:before="0" w:after="0"/>
              <w:jc w:val="righ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69" w:type="dxa"/>
            </w:tcMar>
            <w:vAlign w:val="center"/>
          </w:tcPr>
          <w:p>
            <w:pPr>
              <w:pStyle w:val="TableContents"/>
              <w:bidi w:val="0"/>
              <w:spacing w:lineRule="atLeast" w:line="155" w:before="0" w:after="0"/>
              <w:jc w:val="right"/>
              <w:rPr/>
            </w:pPr>
            <w:r>
              <w:rPr/>
              <w:t>​</w:t>
            </w:r>
          </w:p>
        </w:tc>
        <w:tc>
          <w:tcPr>
            <w:tcW w:w="616" w:type="dxa"/>
            <w:tcBorders>
              <w:bottom w:val="single" w:sz="2" w:space="0" w:color="4B5088"/>
            </w:tcBorders>
            <w:shd w:fill="E9F9D8" w:val="clear"/>
            <w:tcMar>
              <w:bottom w:w="69" w:type="dxa"/>
            </w:tcMar>
            <w:vAlign w:val="center"/>
          </w:tcPr>
          <w:p>
            <w:pPr>
              <w:pStyle w:val="TableContents"/>
              <w:bidi w:val="0"/>
              <w:spacing w:lineRule="atLeast" w:line="155" w:before="0" w:after="0"/>
              <w:jc w:val="right"/>
              <w:rPr>
                <w:sz w:val="14"/>
              </w:rPr>
            </w:pPr>
            <w:r>
              <w:rPr>
                <w:sz w:val="14"/>
              </w:rPr>
              <w:t>30,778</w:t>
            </w:r>
            <w:r>
              <w:rPr>
                <w:sz w:val="9"/>
              </w:rPr>
              <w:t>(1)</w:t>
            </w:r>
            <w:r>
              <w:rPr>
                <w:sz w:val="14"/>
              </w:rPr>
              <w:t xml:space="preserve"> </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69" w:type="dxa"/>
            </w:tcMar>
            <w:vAlign w:val="center"/>
          </w:tcPr>
          <w:p>
            <w:pPr>
              <w:pStyle w:val="TableContents"/>
              <w:bidi w:val="0"/>
              <w:spacing w:lineRule="atLeast" w:line="155" w:before="0" w:after="0"/>
              <w:jc w:val="right"/>
              <w:rPr/>
            </w:pPr>
            <w:r>
              <w:rPr/>
              <w:t>​</w:t>
            </w:r>
          </w:p>
        </w:tc>
        <w:tc>
          <w:tcPr>
            <w:tcW w:w="346" w:type="dxa"/>
            <w:tcBorders>
              <w:bottom w:val="single" w:sz="2" w:space="0" w:color="4B5088"/>
            </w:tcBorders>
            <w:shd w:fill="E9F9D8" w:val="clear"/>
            <w:tcMar>
              <w:bottom w:w="69" w:type="dxa"/>
            </w:tcMar>
            <w:vAlign w:val="center"/>
          </w:tcPr>
          <w:p>
            <w:pPr>
              <w:pStyle w:val="TableContents"/>
              <w:bidi w:val="0"/>
              <w:spacing w:lineRule="atLeast" w:line="155" w:before="0" w:after="0"/>
              <w:jc w:val="righ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lineRule="atLeast" w:line="155" w:before="0" w:after="0"/>
              <w:jc w:val="right"/>
              <w:rPr/>
            </w:pPr>
            <w:r>
              <w:rPr/>
              <w:t>​</w:t>
            </w:r>
          </w:p>
          <w:p>
            <w:pPr>
              <w:pStyle w:val="TableContents"/>
              <w:bidi w:val="0"/>
              <w:spacing w:lineRule="atLeast" w:line="155" w:before="0" w:after="0"/>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lineRule="atLeast" w:line="155" w:before="0" w:after="0"/>
              <w:jc w:val="right"/>
              <w:rPr>
                <w:sz w:val="14"/>
              </w:rPr>
            </w:pPr>
            <w:r>
              <w:rPr>
                <w:sz w:val="14"/>
              </w:rPr>
              <w:t>$</w:t>
            </w:r>
          </w:p>
          <w:p>
            <w:pPr>
              <w:pStyle w:val="TableContents"/>
              <w:bidi w:val="0"/>
              <w:spacing w:lineRule="atLeast" w:line="155" w:before="0" w:after="0"/>
              <w:jc w:val="right"/>
              <w:rPr>
                <w:sz w:val="14"/>
              </w:rPr>
            </w:pPr>
            <w:r>
              <w:rPr>
                <w:sz w:val="14"/>
              </w:rPr>
              <w:t>1,576,449</w:t>
            </w:r>
          </w:p>
          <w:p>
            <w:pPr>
              <w:pStyle w:val="TableContents"/>
              <w:bidi w:val="0"/>
              <w:spacing w:before="0" w:after="283"/>
              <w:jc w:val="left"/>
              <w:rPr/>
            </w:pPr>
            <w:r>
              <w:rPr/>
              <w:t>​</w:t>
            </w:r>
          </w:p>
          <w:p>
            <w:pPr>
              <w:pStyle w:val="TableContents"/>
              <w:bidi w:val="0"/>
              <w:spacing w:before="0" w:after="283"/>
              <w:jc w:val="left"/>
              <w:rPr/>
            </w:pPr>
            <w:r>
              <w:rPr/>
              <w:t>​</w:t>
            </w:r>
          </w:p>
        </w:tc>
      </w:tr>
      <w:tr>
        <w:trPr/>
        <w:tc>
          <w:tcPr>
            <w:tcW w:w="698" w:type="dxa"/>
            <w:vMerge w:val="continue"/>
            <w:tcBorders>
              <w:bottom w:val="single" w:sz="2" w:space="0" w:color="4B5088"/>
            </w:tcBorders>
            <w:tcMar>
              <w:bottom w:w="69" w:type="dxa"/>
            </w:tcMar>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vMerge w:val="continue"/>
            <w:tcBorders>
              <w:bottom w:val="single" w:sz="2" w:space="0" w:color="FFFFFF"/>
            </w:tcBorders>
            <w:shd w:fill="FFFFFF" w:val="clear"/>
            <w:tcMar>
              <w:bottom w:w="28" w:type="dxa"/>
            </w:tcMar>
            <w:vAlign w:val="center"/>
          </w:tcPr>
          <w:p>
            <w:pPr>
              <w:pStyle w:val="Normal"/>
              <w:bidi w:val="0"/>
              <w:jc w:val="left"/>
              <w:rPr/>
            </w:pPr>
            <w:r>
              <w:rPr/>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69" w:type="dxa"/>
            </w:tcMar>
            <w:vAlign w:val="center"/>
          </w:tcPr>
          <w:p>
            <w:pPr>
              <w:pStyle w:val="TableContents"/>
              <w:bidi w:val="0"/>
              <w:spacing w:before="0" w:after="0"/>
              <w:jc w:val="right"/>
              <w:rPr/>
            </w:pPr>
            <w:r>
              <w:rPr/>
              <w:t>​</w:t>
            </w:r>
          </w:p>
        </w:tc>
        <w:tc>
          <w:tcPr>
            <w:tcW w:w="406" w:type="dxa"/>
            <w:tcBorders>
              <w:bottom w:val="single" w:sz="2" w:space="0" w:color="4B5088"/>
            </w:tcBorders>
            <w:tcMar>
              <w:bottom w:w="69" w:type="dxa"/>
            </w:tcMar>
            <w:vAlign w:val="center"/>
          </w:tcPr>
          <w:p>
            <w:pPr>
              <w:pStyle w:val="TableContents"/>
              <w:bidi w:val="0"/>
              <w:spacing w:before="0" w:after="0"/>
              <w:jc w:val="right"/>
              <w:rPr>
                <w:sz w:val="14"/>
              </w:rPr>
            </w:pPr>
            <w:r>
              <w:rPr>
                <w:sz w:val="14"/>
              </w:rPr>
              <w:t>01/29/2025</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69" w:type="dxa"/>
            </w:tcMar>
            <w:vAlign w:val="center"/>
          </w:tcPr>
          <w:p>
            <w:pPr>
              <w:pStyle w:val="TableContents"/>
              <w:bidi w:val="0"/>
              <w:spacing w:before="0" w:after="0"/>
              <w:jc w:val="right"/>
              <w:rPr/>
            </w:pPr>
            <w:r>
              <w:rPr/>
              <w:t>​</w:t>
            </w:r>
          </w:p>
        </w:tc>
        <w:tc>
          <w:tcPr>
            <w:tcW w:w="406" w:type="dxa"/>
            <w:tcBorders>
              <w:bottom w:val="single" w:sz="2" w:space="0" w:color="4B5088"/>
            </w:tcBorders>
            <w:tcMar>
              <w:bottom w:w="69" w:type="dxa"/>
            </w:tcMar>
            <w:vAlign w:val="center"/>
          </w:tcPr>
          <w:p>
            <w:pPr>
              <w:pStyle w:val="TableContents"/>
              <w:bidi w:val="0"/>
              <w:spacing w:before="0" w:after="0"/>
              <w:jc w:val="right"/>
              <w:rPr>
                <w:sz w:val="14"/>
              </w:rPr>
            </w:pPr>
            <w:r>
              <w:rPr>
                <w:sz w:val="14"/>
              </w:rPr>
              <w:t>01/29/2025</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81" w:type="dxa"/>
            <w:tcBorders>
              <w:bottom w:val="single" w:sz="2" w:space="0" w:color="4B5088"/>
            </w:tcBorders>
            <w:tcMar>
              <w:bottom w:w="69" w:type="dxa"/>
            </w:tcMar>
            <w:vAlign w:val="center"/>
          </w:tcPr>
          <w:p>
            <w:pPr>
              <w:pStyle w:val="TableContents"/>
              <w:bidi w:val="0"/>
              <w:spacing w:before="0" w:after="0"/>
              <w:jc w:val="right"/>
              <w:rPr/>
            </w:pPr>
            <w:r>
              <w:rPr/>
              <w:t>​</w:t>
            </w:r>
          </w:p>
        </w:tc>
        <w:tc>
          <w:tcPr>
            <w:tcW w:w="616" w:type="dxa"/>
            <w:tcBorders>
              <w:bottom w:val="single" w:sz="2" w:space="0" w:color="4B5088"/>
            </w:tcBorders>
            <w:tcMar>
              <w:bottom w:w="69" w:type="dxa"/>
            </w:tcMar>
            <w:vAlign w:val="center"/>
          </w:tcPr>
          <w:p>
            <w:pPr>
              <w:pStyle w:val="TableContents"/>
              <w:bidi w:val="0"/>
              <w:spacing w:before="0" w:after="0"/>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81" w:type="dxa"/>
            <w:tcBorders>
              <w:bottom w:val="single" w:sz="2" w:space="0" w:color="4B5088"/>
            </w:tcBorders>
            <w:tcMar>
              <w:bottom w:w="69" w:type="dxa"/>
            </w:tcMar>
            <w:vAlign w:val="center"/>
          </w:tcPr>
          <w:p>
            <w:pPr>
              <w:pStyle w:val="TableContents"/>
              <w:bidi w:val="0"/>
              <w:spacing w:before="0" w:after="0"/>
              <w:jc w:val="right"/>
              <w:rPr/>
            </w:pPr>
            <w:r>
              <w:rPr/>
              <w:t>​</w:t>
            </w:r>
          </w:p>
        </w:tc>
        <w:tc>
          <w:tcPr>
            <w:tcW w:w="721" w:type="dxa"/>
            <w:tcBorders>
              <w:bottom w:val="single" w:sz="2" w:space="0" w:color="4B5088"/>
            </w:tcBorders>
            <w:tcMar>
              <w:bottom w:w="69" w:type="dxa"/>
            </w:tcMar>
            <w:vAlign w:val="center"/>
          </w:tcPr>
          <w:p>
            <w:pPr>
              <w:pStyle w:val="TableContents"/>
              <w:bidi w:val="0"/>
              <w:spacing w:before="0" w:after="0"/>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81" w:type="dxa"/>
            <w:tcBorders>
              <w:bottom w:val="single" w:sz="2" w:space="0" w:color="4B5088"/>
            </w:tcBorders>
            <w:tcMar>
              <w:bottom w:w="69" w:type="dxa"/>
            </w:tcMar>
            <w:vAlign w:val="center"/>
          </w:tcPr>
          <w:p>
            <w:pPr>
              <w:pStyle w:val="TableContents"/>
              <w:bidi w:val="0"/>
              <w:spacing w:before="0" w:after="0"/>
              <w:jc w:val="right"/>
              <w:rPr/>
            </w:pPr>
            <w:r>
              <w:rPr/>
              <w:t>​</w:t>
            </w:r>
          </w:p>
        </w:tc>
        <w:tc>
          <w:tcPr>
            <w:tcW w:w="721" w:type="dxa"/>
            <w:tcBorders>
              <w:bottom w:val="single" w:sz="2" w:space="0" w:color="4B5088"/>
            </w:tcBorders>
            <w:tcMar>
              <w:bottom w:w="69" w:type="dxa"/>
            </w:tcMar>
            <w:vAlign w:val="center"/>
          </w:tcPr>
          <w:p>
            <w:pPr>
              <w:pStyle w:val="TableContents"/>
              <w:bidi w:val="0"/>
              <w:spacing w:before="0" w:after="0"/>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69" w:type="dxa"/>
            </w:tcMar>
            <w:vAlign w:val="center"/>
          </w:tcPr>
          <w:p>
            <w:pPr>
              <w:pStyle w:val="TableContents"/>
              <w:bidi w:val="0"/>
              <w:spacing w:before="0" w:after="0"/>
              <w:jc w:val="right"/>
              <w:rPr/>
            </w:pPr>
            <w:r>
              <w:rPr/>
              <w:t>​</w:t>
            </w:r>
          </w:p>
        </w:tc>
        <w:tc>
          <w:tcPr>
            <w:tcW w:w="541" w:type="dxa"/>
            <w:tcBorders>
              <w:bottom w:val="single" w:sz="2" w:space="0" w:color="4B5088"/>
            </w:tcBorders>
            <w:tcMar>
              <w:bottom w:w="69" w:type="dxa"/>
            </w:tcMar>
            <w:vAlign w:val="center"/>
          </w:tcPr>
          <w:p>
            <w:pPr>
              <w:pStyle w:val="TableContents"/>
              <w:bidi w:val="0"/>
              <w:spacing w:before="0" w:after="0"/>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69" w:type="dxa"/>
            </w:tcMar>
            <w:vAlign w:val="center"/>
          </w:tcPr>
          <w:p>
            <w:pPr>
              <w:pStyle w:val="TableContents"/>
              <w:bidi w:val="0"/>
              <w:spacing w:before="0" w:after="0"/>
              <w:jc w:val="right"/>
              <w:rPr/>
            </w:pPr>
            <w:r>
              <w:rPr/>
              <w:t>​</w:t>
            </w:r>
          </w:p>
        </w:tc>
        <w:tc>
          <w:tcPr>
            <w:tcW w:w="541" w:type="dxa"/>
            <w:tcBorders>
              <w:bottom w:val="single" w:sz="2" w:space="0" w:color="4B5088"/>
            </w:tcBorders>
            <w:tcMar>
              <w:bottom w:w="69" w:type="dxa"/>
            </w:tcMar>
            <w:vAlign w:val="center"/>
          </w:tcPr>
          <w:p>
            <w:pPr>
              <w:pStyle w:val="TableContents"/>
              <w:bidi w:val="0"/>
              <w:spacing w:before="0" w:after="0"/>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69" w:type="dxa"/>
            </w:tcMar>
            <w:vAlign w:val="center"/>
          </w:tcPr>
          <w:p>
            <w:pPr>
              <w:pStyle w:val="TableContents"/>
              <w:bidi w:val="0"/>
              <w:spacing w:before="0" w:after="0"/>
              <w:jc w:val="right"/>
              <w:rPr/>
            </w:pPr>
            <w:r>
              <w:rPr/>
              <w:t>​</w:t>
            </w:r>
          </w:p>
        </w:tc>
        <w:tc>
          <w:tcPr>
            <w:tcW w:w="616" w:type="dxa"/>
            <w:tcBorders>
              <w:bottom w:val="single" w:sz="2" w:space="0" w:color="4B5088"/>
            </w:tcBorders>
            <w:tcMar>
              <w:bottom w:w="69" w:type="dxa"/>
            </w:tcMar>
            <w:vAlign w:val="center"/>
          </w:tcPr>
          <w:p>
            <w:pPr>
              <w:pStyle w:val="TableContents"/>
              <w:bidi w:val="0"/>
              <w:spacing w:before="0" w:after="0"/>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69" w:type="dxa"/>
            </w:tcMar>
            <w:vAlign w:val="center"/>
          </w:tcPr>
          <w:p>
            <w:pPr>
              <w:pStyle w:val="TableContents"/>
              <w:bidi w:val="0"/>
              <w:spacing w:before="0" w:after="0"/>
              <w:jc w:val="right"/>
              <w:rPr/>
            </w:pPr>
            <w:r>
              <w:rPr/>
              <w:t>​</w:t>
            </w:r>
          </w:p>
        </w:tc>
        <w:tc>
          <w:tcPr>
            <w:tcW w:w="616" w:type="dxa"/>
            <w:tcBorders>
              <w:bottom w:val="single" w:sz="2" w:space="0" w:color="4B5088"/>
            </w:tcBorders>
            <w:tcMar>
              <w:bottom w:w="69" w:type="dxa"/>
            </w:tcMar>
            <w:vAlign w:val="center"/>
          </w:tcPr>
          <w:p>
            <w:pPr>
              <w:pStyle w:val="TableContents"/>
              <w:bidi w:val="0"/>
              <w:spacing w:before="0" w:after="0"/>
              <w:jc w:val="right"/>
              <w:rPr>
                <w:sz w:val="14"/>
              </w:rPr>
            </w:pPr>
            <w:r>
              <w:rPr>
                <w:sz w:val="14"/>
              </w:rPr>
              <w:t>32,360</w:t>
            </w:r>
            <w:r>
              <w:rPr>
                <w:sz w:val="9"/>
              </w:rPr>
              <w:t>(3)</w:t>
            </w:r>
            <w:r>
              <w:rPr>
                <w:sz w:val="14"/>
              </w:rPr>
              <w:t xml:space="preserve">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69" w:type="dxa"/>
            </w:tcMar>
            <w:vAlign w:val="center"/>
          </w:tcPr>
          <w:p>
            <w:pPr>
              <w:pStyle w:val="TableContents"/>
              <w:bidi w:val="0"/>
              <w:spacing w:before="0" w:after="0"/>
              <w:jc w:val="right"/>
              <w:rPr/>
            </w:pPr>
            <w:r>
              <w:rPr/>
              <w:t>​</w:t>
            </w:r>
          </w:p>
        </w:tc>
        <w:tc>
          <w:tcPr>
            <w:tcW w:w="346" w:type="dxa"/>
            <w:tcBorders>
              <w:bottom w:val="single" w:sz="2" w:space="0" w:color="4B5088"/>
            </w:tcBorders>
            <w:tcMar>
              <w:bottom w:w="69" w:type="dxa"/>
            </w:tcMar>
            <w:vAlign w:val="center"/>
          </w:tcPr>
          <w:p>
            <w:pPr>
              <w:pStyle w:val="TableContents"/>
              <w:bidi w:val="0"/>
              <w:spacing w:before="0" w:after="0"/>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0"/>
              <w:jc w:val="right"/>
              <w:rPr/>
            </w:pPr>
            <w:r>
              <w:rPr/>
              <w:t>​</w:t>
            </w:r>
          </w:p>
          <w:p>
            <w:pPr>
              <w:pStyle w:val="TableContents"/>
              <w:bidi w:val="0"/>
              <w:spacing w:before="0" w:after="0"/>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0"/>
              <w:jc w:val="right"/>
              <w:rPr>
                <w:sz w:val="14"/>
              </w:rPr>
            </w:pPr>
            <w:r>
              <w:rPr>
                <w:sz w:val="14"/>
              </w:rPr>
              <w:t>$</w:t>
            </w:r>
          </w:p>
          <w:p>
            <w:pPr>
              <w:pStyle w:val="TableContents"/>
              <w:bidi w:val="0"/>
              <w:spacing w:before="0" w:after="0"/>
              <w:jc w:val="right"/>
              <w:rPr>
                <w:sz w:val="14"/>
              </w:rPr>
            </w:pPr>
            <w:r>
              <w:rPr>
                <w:sz w:val="14"/>
              </w:rPr>
              <w:t>1,606,350</w:t>
            </w:r>
          </w:p>
          <w:p>
            <w:pPr>
              <w:pStyle w:val="TableContents"/>
              <w:bidi w:val="0"/>
              <w:spacing w:before="0" w:after="283"/>
              <w:jc w:val="left"/>
              <w:rPr/>
            </w:pPr>
            <w:r>
              <w:rPr/>
              <w:t>​</w:t>
            </w:r>
          </w:p>
          <w:p>
            <w:pPr>
              <w:pStyle w:val="TableContents"/>
              <w:bidi w:val="0"/>
              <w:spacing w:before="0" w:after="283"/>
              <w:jc w:val="left"/>
              <w:rPr/>
            </w:pPr>
            <w:r>
              <w:rPr/>
              <w:t>​</w:t>
            </w:r>
          </w:p>
        </w:tc>
      </w:tr>
      <w:tr>
        <w:trPr/>
        <w:tc>
          <w:tcPr>
            <w:tcW w:w="698" w:type="dxa"/>
            <w:vMerge w:val="continue"/>
            <w:tcBorders>
              <w:bottom w:val="single" w:sz="2" w:space="0" w:color="4B5088"/>
            </w:tcBorders>
            <w:tcMar>
              <w:bottom w:w="69" w:type="dxa"/>
            </w:tcMar>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vMerge w:val="continue"/>
            <w:tcBorders>
              <w:bottom w:val="single" w:sz="2" w:space="0" w:color="FFFFFF"/>
            </w:tcBorders>
            <w:shd w:fill="FFFFFF" w:val="clear"/>
            <w:tcMar>
              <w:bottom w:w="28" w:type="dxa"/>
            </w:tcMar>
            <w:vAlign w:val="center"/>
          </w:tcPr>
          <w:p>
            <w:pPr>
              <w:pStyle w:val="Normal"/>
              <w:bidi w:val="0"/>
              <w:jc w:val="left"/>
              <w:rPr/>
            </w:pPr>
            <w:r>
              <w:rPr/>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69" w:type="dxa"/>
            </w:tcMar>
            <w:vAlign w:val="center"/>
          </w:tcPr>
          <w:p>
            <w:pPr>
              <w:pStyle w:val="TableContents"/>
              <w:bidi w:val="0"/>
              <w:spacing w:before="0" w:after="0"/>
              <w:jc w:val="right"/>
              <w:rPr/>
            </w:pPr>
            <w:r>
              <w:rPr/>
              <w:t>​</w:t>
            </w:r>
          </w:p>
        </w:tc>
        <w:tc>
          <w:tcPr>
            <w:tcW w:w="406" w:type="dxa"/>
            <w:tcBorders>
              <w:bottom w:val="single" w:sz="2" w:space="0" w:color="4B5088"/>
            </w:tcBorders>
            <w:tcMar>
              <w:bottom w:w="69" w:type="dxa"/>
            </w:tcMar>
            <w:vAlign w:val="center"/>
          </w:tcPr>
          <w:p>
            <w:pPr>
              <w:pStyle w:val="TableContents"/>
              <w:bidi w:val="0"/>
              <w:spacing w:before="0" w:after="0"/>
              <w:jc w:val="right"/>
              <w:rPr>
                <w:sz w:val="14"/>
              </w:rPr>
            </w:pPr>
            <w:r>
              <w:rPr>
                <w:sz w:val="14"/>
              </w:rPr>
              <w:t>07/01/2025</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69" w:type="dxa"/>
            </w:tcMar>
            <w:vAlign w:val="center"/>
          </w:tcPr>
          <w:p>
            <w:pPr>
              <w:pStyle w:val="TableContents"/>
              <w:bidi w:val="0"/>
              <w:spacing w:before="0" w:after="0"/>
              <w:jc w:val="right"/>
              <w:rPr/>
            </w:pPr>
            <w:r>
              <w:rPr/>
              <w:t>​</w:t>
            </w:r>
          </w:p>
        </w:tc>
        <w:tc>
          <w:tcPr>
            <w:tcW w:w="406" w:type="dxa"/>
            <w:tcBorders>
              <w:bottom w:val="single" w:sz="2" w:space="0" w:color="4B5088"/>
            </w:tcBorders>
            <w:tcMar>
              <w:bottom w:w="69" w:type="dxa"/>
            </w:tcMar>
            <w:vAlign w:val="center"/>
          </w:tcPr>
          <w:p>
            <w:pPr>
              <w:pStyle w:val="TableContents"/>
              <w:bidi w:val="0"/>
              <w:spacing w:before="0" w:after="0"/>
              <w:jc w:val="right"/>
              <w:rPr>
                <w:sz w:val="14"/>
              </w:rPr>
            </w:pPr>
            <w:r>
              <w:rPr>
                <w:sz w:val="14"/>
              </w:rPr>
              <w:t>07/01/2025</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81" w:type="dxa"/>
            <w:tcBorders>
              <w:bottom w:val="single" w:sz="2" w:space="0" w:color="4B5088"/>
            </w:tcBorders>
            <w:tcMar>
              <w:bottom w:w="69" w:type="dxa"/>
            </w:tcMar>
            <w:vAlign w:val="center"/>
          </w:tcPr>
          <w:p>
            <w:pPr>
              <w:pStyle w:val="TableContents"/>
              <w:bidi w:val="0"/>
              <w:spacing w:before="0" w:after="0"/>
              <w:jc w:val="right"/>
              <w:rPr/>
            </w:pPr>
            <w:r>
              <w:rPr/>
              <w:t>​</w:t>
            </w:r>
          </w:p>
        </w:tc>
        <w:tc>
          <w:tcPr>
            <w:tcW w:w="616" w:type="dxa"/>
            <w:tcBorders>
              <w:bottom w:val="single" w:sz="2" w:space="0" w:color="4B5088"/>
            </w:tcBorders>
            <w:tcMar>
              <w:bottom w:w="69" w:type="dxa"/>
            </w:tcMar>
            <w:vAlign w:val="center"/>
          </w:tcPr>
          <w:p>
            <w:pPr>
              <w:pStyle w:val="TableContents"/>
              <w:bidi w:val="0"/>
              <w:spacing w:before="0" w:after="0"/>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81" w:type="dxa"/>
            <w:tcBorders>
              <w:bottom w:val="single" w:sz="2" w:space="0" w:color="4B5088"/>
            </w:tcBorders>
            <w:tcMar>
              <w:bottom w:w="69" w:type="dxa"/>
            </w:tcMar>
            <w:vAlign w:val="center"/>
          </w:tcPr>
          <w:p>
            <w:pPr>
              <w:pStyle w:val="TableContents"/>
              <w:bidi w:val="0"/>
              <w:spacing w:before="0" w:after="0"/>
              <w:jc w:val="right"/>
              <w:rPr/>
            </w:pPr>
            <w:r>
              <w:rPr/>
              <w:t>​</w:t>
            </w:r>
          </w:p>
        </w:tc>
        <w:tc>
          <w:tcPr>
            <w:tcW w:w="721" w:type="dxa"/>
            <w:tcBorders>
              <w:bottom w:val="single" w:sz="2" w:space="0" w:color="4B5088"/>
            </w:tcBorders>
            <w:tcMar>
              <w:bottom w:w="69" w:type="dxa"/>
            </w:tcMar>
            <w:vAlign w:val="center"/>
          </w:tcPr>
          <w:p>
            <w:pPr>
              <w:pStyle w:val="TableContents"/>
              <w:bidi w:val="0"/>
              <w:spacing w:before="0" w:after="0"/>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81" w:type="dxa"/>
            <w:tcBorders>
              <w:bottom w:val="single" w:sz="2" w:space="0" w:color="4B5088"/>
            </w:tcBorders>
            <w:tcMar>
              <w:bottom w:w="69" w:type="dxa"/>
            </w:tcMar>
            <w:vAlign w:val="center"/>
          </w:tcPr>
          <w:p>
            <w:pPr>
              <w:pStyle w:val="TableContents"/>
              <w:bidi w:val="0"/>
              <w:spacing w:before="0" w:after="0"/>
              <w:jc w:val="right"/>
              <w:rPr/>
            </w:pPr>
            <w:r>
              <w:rPr/>
              <w:t>​</w:t>
            </w:r>
          </w:p>
        </w:tc>
        <w:tc>
          <w:tcPr>
            <w:tcW w:w="721" w:type="dxa"/>
            <w:tcBorders>
              <w:bottom w:val="single" w:sz="2" w:space="0" w:color="4B5088"/>
            </w:tcBorders>
            <w:tcMar>
              <w:bottom w:w="69" w:type="dxa"/>
            </w:tcMar>
            <w:vAlign w:val="center"/>
          </w:tcPr>
          <w:p>
            <w:pPr>
              <w:pStyle w:val="TableContents"/>
              <w:bidi w:val="0"/>
              <w:spacing w:before="0" w:after="0"/>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69" w:type="dxa"/>
            </w:tcMar>
            <w:vAlign w:val="center"/>
          </w:tcPr>
          <w:p>
            <w:pPr>
              <w:pStyle w:val="TableContents"/>
              <w:bidi w:val="0"/>
              <w:spacing w:before="0" w:after="0"/>
              <w:jc w:val="right"/>
              <w:rPr/>
            </w:pPr>
            <w:r>
              <w:rPr/>
              <w:t>​</w:t>
            </w:r>
          </w:p>
        </w:tc>
        <w:tc>
          <w:tcPr>
            <w:tcW w:w="541" w:type="dxa"/>
            <w:tcBorders>
              <w:bottom w:val="single" w:sz="2" w:space="0" w:color="4B5088"/>
            </w:tcBorders>
            <w:tcMar>
              <w:bottom w:w="69" w:type="dxa"/>
            </w:tcMar>
            <w:vAlign w:val="center"/>
          </w:tcPr>
          <w:p>
            <w:pPr>
              <w:pStyle w:val="TableContents"/>
              <w:bidi w:val="0"/>
              <w:spacing w:before="0" w:after="0"/>
              <w:jc w:val="right"/>
              <w:rPr>
                <w:sz w:val="14"/>
              </w:rPr>
            </w:pPr>
            <w:r>
              <w:rPr>
                <w:sz w:val="14"/>
              </w:rPr>
              <w:t>5,152</w:t>
            </w:r>
            <w:r>
              <w:rPr>
                <w:sz w:val="9"/>
              </w:rPr>
              <w:t>(2)</w:t>
            </w:r>
            <w:r>
              <w:rPr>
                <w:sz w:val="14"/>
              </w:rPr>
              <w:t xml:space="preserve">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69" w:type="dxa"/>
            </w:tcMar>
            <w:vAlign w:val="center"/>
          </w:tcPr>
          <w:p>
            <w:pPr>
              <w:pStyle w:val="TableContents"/>
              <w:bidi w:val="0"/>
              <w:spacing w:before="0" w:after="0"/>
              <w:jc w:val="right"/>
              <w:rPr/>
            </w:pPr>
            <w:r>
              <w:rPr/>
              <w:t>​</w:t>
            </w:r>
          </w:p>
        </w:tc>
        <w:tc>
          <w:tcPr>
            <w:tcW w:w="541" w:type="dxa"/>
            <w:tcBorders>
              <w:bottom w:val="single" w:sz="2" w:space="0" w:color="4B5088"/>
            </w:tcBorders>
            <w:tcMar>
              <w:bottom w:w="69" w:type="dxa"/>
            </w:tcMar>
            <w:vAlign w:val="center"/>
          </w:tcPr>
          <w:p>
            <w:pPr>
              <w:pStyle w:val="TableContents"/>
              <w:bidi w:val="0"/>
              <w:spacing w:before="0" w:after="0"/>
              <w:jc w:val="right"/>
              <w:rPr>
                <w:sz w:val="14"/>
              </w:rPr>
            </w:pPr>
            <w:r>
              <w:rPr>
                <w:sz w:val="14"/>
              </w:rPr>
              <w:t>10,992</w:t>
            </w:r>
            <w:r>
              <w:rPr>
                <w:sz w:val="9"/>
              </w:rPr>
              <w:t>(2)</w:t>
            </w:r>
            <w:r>
              <w:rPr>
                <w:sz w:val="14"/>
              </w:rPr>
              <w:t xml:space="preserve">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69" w:type="dxa"/>
            </w:tcMar>
            <w:vAlign w:val="center"/>
          </w:tcPr>
          <w:p>
            <w:pPr>
              <w:pStyle w:val="TableContents"/>
              <w:bidi w:val="0"/>
              <w:spacing w:before="0" w:after="0"/>
              <w:jc w:val="right"/>
              <w:rPr/>
            </w:pPr>
            <w:r>
              <w:rPr/>
              <w:t>​</w:t>
            </w:r>
          </w:p>
        </w:tc>
        <w:tc>
          <w:tcPr>
            <w:tcW w:w="616" w:type="dxa"/>
            <w:tcBorders>
              <w:bottom w:val="single" w:sz="2" w:space="0" w:color="4B5088"/>
            </w:tcBorders>
            <w:tcMar>
              <w:bottom w:w="69" w:type="dxa"/>
            </w:tcMar>
            <w:vAlign w:val="center"/>
          </w:tcPr>
          <w:p>
            <w:pPr>
              <w:pStyle w:val="TableContents"/>
              <w:bidi w:val="0"/>
              <w:spacing w:before="0" w:after="0"/>
              <w:jc w:val="right"/>
              <w:rPr>
                <w:sz w:val="14"/>
              </w:rPr>
            </w:pPr>
            <w:r>
              <w:rPr>
                <w:sz w:val="14"/>
              </w:rPr>
              <w:t>24,732</w:t>
            </w:r>
            <w:r>
              <w:rPr>
                <w:sz w:val="9"/>
              </w:rPr>
              <w:t>(2)</w:t>
            </w:r>
            <w:r>
              <w:rPr>
                <w:sz w:val="14"/>
              </w:rPr>
              <w:t xml:space="preserve">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69" w:type="dxa"/>
            </w:tcMar>
            <w:vAlign w:val="center"/>
          </w:tcPr>
          <w:p>
            <w:pPr>
              <w:pStyle w:val="TableContents"/>
              <w:bidi w:val="0"/>
              <w:spacing w:before="0" w:after="0"/>
              <w:jc w:val="right"/>
              <w:rPr/>
            </w:pPr>
            <w:r>
              <w:rPr/>
              <w:t>​</w:t>
            </w:r>
          </w:p>
        </w:tc>
        <w:tc>
          <w:tcPr>
            <w:tcW w:w="616" w:type="dxa"/>
            <w:tcBorders>
              <w:bottom w:val="single" w:sz="2" w:space="0" w:color="4B5088"/>
            </w:tcBorders>
            <w:tcMar>
              <w:bottom w:w="69" w:type="dxa"/>
            </w:tcMar>
            <w:vAlign w:val="center"/>
          </w:tcPr>
          <w:p>
            <w:pPr>
              <w:pStyle w:val="TableContents"/>
              <w:bidi w:val="0"/>
              <w:spacing w:before="0" w:after="0"/>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69" w:type="dxa"/>
            </w:tcMar>
            <w:vAlign w:val="center"/>
          </w:tcPr>
          <w:p>
            <w:pPr>
              <w:pStyle w:val="TableContents"/>
              <w:bidi w:val="0"/>
              <w:spacing w:before="0" w:after="0"/>
              <w:jc w:val="right"/>
              <w:rPr/>
            </w:pPr>
            <w:r>
              <w:rPr/>
              <w:t>​</w:t>
            </w:r>
          </w:p>
        </w:tc>
        <w:tc>
          <w:tcPr>
            <w:tcW w:w="346" w:type="dxa"/>
            <w:tcBorders>
              <w:bottom w:val="single" w:sz="2" w:space="0" w:color="4B5088"/>
            </w:tcBorders>
            <w:tcMar>
              <w:bottom w:w="69" w:type="dxa"/>
            </w:tcMar>
            <w:vAlign w:val="center"/>
          </w:tcPr>
          <w:p>
            <w:pPr>
              <w:pStyle w:val="TableContents"/>
              <w:bidi w:val="0"/>
              <w:spacing w:before="0" w:after="0"/>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0"/>
              <w:jc w:val="right"/>
              <w:rPr/>
            </w:pPr>
            <w:r>
              <w:rPr/>
              <w:t>​</w:t>
            </w:r>
          </w:p>
          <w:p>
            <w:pPr>
              <w:pStyle w:val="TableContents"/>
              <w:bidi w:val="0"/>
              <w:spacing w:before="0" w:after="0"/>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0"/>
              <w:jc w:val="right"/>
              <w:rPr>
                <w:sz w:val="14"/>
              </w:rPr>
            </w:pPr>
            <w:r>
              <w:rPr>
                <w:sz w:val="14"/>
              </w:rPr>
              <w:t>$</w:t>
            </w:r>
          </w:p>
          <w:p>
            <w:pPr>
              <w:pStyle w:val="TableContents"/>
              <w:bidi w:val="0"/>
              <w:spacing w:before="0" w:after="0"/>
              <w:jc w:val="right"/>
              <w:rPr>
                <w:sz w:val="14"/>
              </w:rPr>
            </w:pPr>
            <w:r>
              <w:rPr>
                <w:sz w:val="14"/>
              </w:rPr>
              <w:t>737,893</w:t>
            </w:r>
          </w:p>
          <w:p>
            <w:pPr>
              <w:pStyle w:val="TableContents"/>
              <w:bidi w:val="0"/>
              <w:spacing w:before="0" w:after="283"/>
              <w:jc w:val="left"/>
              <w:rPr/>
            </w:pPr>
            <w:r>
              <w:rPr/>
              <w:t>​</w:t>
            </w:r>
          </w:p>
          <w:p>
            <w:pPr>
              <w:pStyle w:val="TableContents"/>
              <w:bidi w:val="0"/>
              <w:spacing w:before="0" w:after="283"/>
              <w:jc w:val="left"/>
              <w:rPr/>
            </w:pPr>
            <w:r>
              <w:rPr/>
              <w:t>​</w:t>
            </w:r>
          </w:p>
        </w:tc>
      </w:tr>
      <w:tr>
        <w:trPr/>
        <w:tc>
          <w:tcPr>
            <w:tcW w:w="698" w:type="dxa"/>
            <w:vMerge w:val="continue"/>
            <w:tcBorders>
              <w:bottom w:val="single" w:sz="2" w:space="0" w:color="4B5088"/>
            </w:tcBorders>
            <w:tcMar>
              <w:bottom w:w="69" w:type="dxa"/>
            </w:tcMar>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vMerge w:val="continue"/>
            <w:tcBorders>
              <w:bottom w:val="single" w:sz="2" w:space="0" w:color="FFFFFF"/>
            </w:tcBorders>
            <w:shd w:fill="FFFFFF" w:val="clear"/>
            <w:tcMar>
              <w:bottom w:w="28" w:type="dxa"/>
            </w:tcMar>
            <w:vAlign w:val="center"/>
          </w:tcPr>
          <w:p>
            <w:pPr>
              <w:pStyle w:val="Normal"/>
              <w:bidi w:val="0"/>
              <w:jc w:val="left"/>
              <w:rPr/>
            </w:pPr>
            <w:r>
              <w:rPr/>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69" w:type="dxa"/>
            </w:tcMar>
            <w:vAlign w:val="center"/>
          </w:tcPr>
          <w:p>
            <w:pPr>
              <w:pStyle w:val="TableContents"/>
              <w:bidi w:val="0"/>
              <w:spacing w:before="0" w:after="0"/>
              <w:jc w:val="right"/>
              <w:rPr/>
            </w:pPr>
            <w:r>
              <w:rPr/>
              <w:t>​</w:t>
            </w:r>
          </w:p>
        </w:tc>
        <w:tc>
          <w:tcPr>
            <w:tcW w:w="406" w:type="dxa"/>
            <w:tcBorders>
              <w:bottom w:val="single" w:sz="2" w:space="0" w:color="4B5088"/>
            </w:tcBorders>
            <w:tcMar>
              <w:bottom w:w="69" w:type="dxa"/>
            </w:tcMar>
            <w:vAlign w:val="center"/>
          </w:tcPr>
          <w:p>
            <w:pPr>
              <w:pStyle w:val="TableContents"/>
              <w:bidi w:val="0"/>
              <w:spacing w:before="0" w:after="0"/>
              <w:jc w:val="right"/>
              <w:rPr>
                <w:sz w:val="14"/>
              </w:rPr>
            </w:pPr>
            <w:r>
              <w:rPr>
                <w:sz w:val="14"/>
              </w:rPr>
              <w:t>N/A</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69" w:type="dxa"/>
            </w:tcMar>
            <w:vAlign w:val="center"/>
          </w:tcPr>
          <w:p>
            <w:pPr>
              <w:pStyle w:val="TableContents"/>
              <w:bidi w:val="0"/>
              <w:spacing w:before="0" w:after="0"/>
              <w:jc w:val="right"/>
              <w:rPr/>
            </w:pPr>
            <w:r>
              <w:rPr/>
              <w:t>​</w:t>
            </w:r>
          </w:p>
        </w:tc>
        <w:tc>
          <w:tcPr>
            <w:tcW w:w="406" w:type="dxa"/>
            <w:tcBorders>
              <w:bottom w:val="single" w:sz="2" w:space="0" w:color="4B5088"/>
            </w:tcBorders>
            <w:tcMar>
              <w:bottom w:w="69" w:type="dxa"/>
            </w:tcMar>
            <w:vAlign w:val="center"/>
          </w:tcPr>
          <w:p>
            <w:pPr>
              <w:pStyle w:val="TableContents"/>
              <w:bidi w:val="0"/>
              <w:spacing w:before="0" w:after="0"/>
              <w:jc w:val="right"/>
              <w:rPr>
                <w:sz w:val="14"/>
              </w:rPr>
            </w:pPr>
            <w:r>
              <w:rPr>
                <w:sz w:val="14"/>
              </w:rPr>
              <w:t>N/A</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81" w:type="dxa"/>
            <w:tcBorders>
              <w:bottom w:val="single" w:sz="2" w:space="0" w:color="4B5088"/>
            </w:tcBorders>
            <w:tcMar>
              <w:bottom w:w="69" w:type="dxa"/>
            </w:tcMar>
            <w:vAlign w:val="center"/>
          </w:tcPr>
          <w:p>
            <w:pPr>
              <w:pStyle w:val="TableContents"/>
              <w:bidi w:val="0"/>
              <w:spacing w:before="0" w:after="0"/>
              <w:jc w:val="right"/>
              <w:rPr>
                <w:sz w:val="14"/>
              </w:rPr>
            </w:pPr>
            <w:r>
              <w:rPr>
                <w:sz w:val="14"/>
              </w:rPr>
              <w:t>$</w:t>
            </w:r>
          </w:p>
        </w:tc>
        <w:tc>
          <w:tcPr>
            <w:tcW w:w="616" w:type="dxa"/>
            <w:tcBorders>
              <w:bottom w:val="single" w:sz="2" w:space="0" w:color="4B5088"/>
            </w:tcBorders>
            <w:tcMar>
              <w:bottom w:w="69" w:type="dxa"/>
            </w:tcMar>
            <w:vAlign w:val="center"/>
          </w:tcPr>
          <w:p>
            <w:pPr>
              <w:pStyle w:val="TableContents"/>
              <w:bidi w:val="0"/>
              <w:spacing w:before="0" w:after="0"/>
              <w:jc w:val="right"/>
              <w:rPr>
                <w:sz w:val="14"/>
              </w:rPr>
            </w:pPr>
            <w:r>
              <w:rPr>
                <w:sz w:val="14"/>
              </w:rPr>
              <w:t>300,000</w:t>
            </w:r>
            <w:r>
              <w:rPr>
                <w:sz w:val="9"/>
              </w:rPr>
              <w:t>(4)</w:t>
            </w:r>
            <w:r>
              <w:rPr>
                <w:sz w:val="14"/>
              </w:rPr>
              <w:t xml:space="preserve">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81" w:type="dxa"/>
            <w:tcBorders>
              <w:bottom w:val="single" w:sz="2" w:space="0" w:color="4B5088"/>
            </w:tcBorders>
            <w:tcMar>
              <w:bottom w:w="69" w:type="dxa"/>
            </w:tcMar>
            <w:vAlign w:val="center"/>
          </w:tcPr>
          <w:p>
            <w:pPr>
              <w:pStyle w:val="TableContents"/>
              <w:bidi w:val="0"/>
              <w:spacing w:before="0" w:after="0"/>
              <w:jc w:val="right"/>
              <w:rPr>
                <w:sz w:val="14"/>
              </w:rPr>
            </w:pPr>
            <w:r>
              <w:rPr>
                <w:sz w:val="14"/>
              </w:rPr>
              <w:t>$</w:t>
            </w:r>
          </w:p>
        </w:tc>
        <w:tc>
          <w:tcPr>
            <w:tcW w:w="721" w:type="dxa"/>
            <w:tcBorders>
              <w:bottom w:val="single" w:sz="2" w:space="0" w:color="4B5088"/>
            </w:tcBorders>
            <w:tcMar>
              <w:bottom w:w="69" w:type="dxa"/>
            </w:tcMar>
            <w:vAlign w:val="center"/>
          </w:tcPr>
          <w:p>
            <w:pPr>
              <w:pStyle w:val="TableContents"/>
              <w:bidi w:val="0"/>
              <w:spacing w:before="0" w:after="0"/>
              <w:jc w:val="right"/>
              <w:rPr>
                <w:sz w:val="14"/>
              </w:rPr>
            </w:pPr>
            <w:r>
              <w:rPr>
                <w:sz w:val="14"/>
              </w:rPr>
              <w:t>1,050,000</w:t>
            </w:r>
            <w:r>
              <w:rPr>
                <w:sz w:val="9"/>
              </w:rPr>
              <w:t>(4)</w:t>
            </w:r>
            <w:r>
              <w:rPr>
                <w:sz w:val="14"/>
              </w:rPr>
              <w:t xml:space="preserve">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81" w:type="dxa"/>
            <w:tcBorders>
              <w:bottom w:val="single" w:sz="2" w:space="0" w:color="4B5088"/>
            </w:tcBorders>
            <w:tcMar>
              <w:bottom w:w="69" w:type="dxa"/>
            </w:tcMar>
            <w:vAlign w:val="center"/>
          </w:tcPr>
          <w:p>
            <w:pPr>
              <w:pStyle w:val="TableContents"/>
              <w:bidi w:val="0"/>
              <w:spacing w:before="0" w:after="0"/>
              <w:jc w:val="right"/>
              <w:rPr>
                <w:sz w:val="14"/>
              </w:rPr>
            </w:pPr>
            <w:r>
              <w:rPr>
                <w:sz w:val="14"/>
              </w:rPr>
              <w:t>$</w:t>
            </w:r>
          </w:p>
        </w:tc>
        <w:tc>
          <w:tcPr>
            <w:tcW w:w="721" w:type="dxa"/>
            <w:tcBorders>
              <w:bottom w:val="single" w:sz="2" w:space="0" w:color="4B5088"/>
            </w:tcBorders>
            <w:tcMar>
              <w:bottom w:w="69" w:type="dxa"/>
            </w:tcMar>
            <w:vAlign w:val="center"/>
          </w:tcPr>
          <w:p>
            <w:pPr>
              <w:pStyle w:val="TableContents"/>
              <w:bidi w:val="0"/>
              <w:spacing w:before="0" w:after="0"/>
              <w:jc w:val="right"/>
              <w:rPr>
                <w:sz w:val="14"/>
              </w:rPr>
            </w:pPr>
            <w:r>
              <w:rPr>
                <w:sz w:val="14"/>
              </w:rPr>
              <w:t>1,500,000</w:t>
            </w:r>
            <w:r>
              <w:rPr>
                <w:sz w:val="9"/>
              </w:rPr>
              <w:t>(4)</w:t>
            </w:r>
            <w:r>
              <w:rPr>
                <w:sz w:val="14"/>
              </w:rPr>
              <w:t xml:space="preserve">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69" w:type="dxa"/>
            </w:tcMar>
            <w:vAlign w:val="center"/>
          </w:tcPr>
          <w:p>
            <w:pPr>
              <w:pStyle w:val="TableContents"/>
              <w:bidi w:val="0"/>
              <w:spacing w:before="0" w:after="0"/>
              <w:jc w:val="right"/>
              <w:rPr/>
            </w:pPr>
            <w:r>
              <w:rPr/>
              <w:t>​</w:t>
            </w:r>
          </w:p>
        </w:tc>
        <w:tc>
          <w:tcPr>
            <w:tcW w:w="541" w:type="dxa"/>
            <w:tcBorders>
              <w:bottom w:val="single" w:sz="2" w:space="0" w:color="4B5088"/>
            </w:tcBorders>
            <w:tcMar>
              <w:bottom w:w="69" w:type="dxa"/>
            </w:tcMar>
            <w:vAlign w:val="center"/>
          </w:tcPr>
          <w:p>
            <w:pPr>
              <w:pStyle w:val="TableContents"/>
              <w:bidi w:val="0"/>
              <w:spacing w:before="0" w:after="0"/>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69" w:type="dxa"/>
            </w:tcMar>
            <w:vAlign w:val="center"/>
          </w:tcPr>
          <w:p>
            <w:pPr>
              <w:pStyle w:val="TableContents"/>
              <w:bidi w:val="0"/>
              <w:spacing w:before="0" w:after="0"/>
              <w:jc w:val="right"/>
              <w:rPr/>
            </w:pPr>
            <w:r>
              <w:rPr/>
              <w:t>​</w:t>
            </w:r>
          </w:p>
        </w:tc>
        <w:tc>
          <w:tcPr>
            <w:tcW w:w="541" w:type="dxa"/>
            <w:tcBorders>
              <w:bottom w:val="single" w:sz="2" w:space="0" w:color="4B5088"/>
            </w:tcBorders>
            <w:tcMar>
              <w:bottom w:w="69" w:type="dxa"/>
            </w:tcMar>
            <w:vAlign w:val="center"/>
          </w:tcPr>
          <w:p>
            <w:pPr>
              <w:pStyle w:val="TableContents"/>
              <w:bidi w:val="0"/>
              <w:spacing w:before="0" w:after="0"/>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69" w:type="dxa"/>
            </w:tcMar>
            <w:vAlign w:val="center"/>
          </w:tcPr>
          <w:p>
            <w:pPr>
              <w:pStyle w:val="TableContents"/>
              <w:bidi w:val="0"/>
              <w:spacing w:before="0" w:after="283"/>
              <w:jc w:val="right"/>
              <w:rPr/>
            </w:pPr>
            <w:r>
              <w:rPr/>
              <w:t>​</w:t>
            </w:r>
          </w:p>
        </w:tc>
        <w:tc>
          <w:tcPr>
            <w:tcW w:w="616" w:type="dxa"/>
            <w:tcBorders>
              <w:bottom w:val="single" w:sz="2" w:space="0" w:color="4B5088"/>
            </w:tcBorders>
            <w:tcMar>
              <w:bottom w:w="69"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69" w:type="dxa"/>
            </w:tcMar>
            <w:vAlign w:val="center"/>
          </w:tcPr>
          <w:p>
            <w:pPr>
              <w:pStyle w:val="TableContents"/>
              <w:bidi w:val="0"/>
              <w:spacing w:before="0" w:after="0"/>
              <w:jc w:val="right"/>
              <w:rPr/>
            </w:pPr>
            <w:r>
              <w:rPr/>
              <w:t>​</w:t>
            </w:r>
          </w:p>
        </w:tc>
        <w:tc>
          <w:tcPr>
            <w:tcW w:w="616" w:type="dxa"/>
            <w:tcBorders>
              <w:bottom w:val="single" w:sz="2" w:space="0" w:color="4B5088"/>
            </w:tcBorders>
            <w:tcMar>
              <w:bottom w:w="69" w:type="dxa"/>
            </w:tcMar>
            <w:vAlign w:val="center"/>
          </w:tcPr>
          <w:p>
            <w:pPr>
              <w:pStyle w:val="TableContents"/>
              <w:bidi w:val="0"/>
              <w:spacing w:before="0" w:after="0"/>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69" w:type="dxa"/>
            </w:tcMar>
            <w:vAlign w:val="center"/>
          </w:tcPr>
          <w:p>
            <w:pPr>
              <w:pStyle w:val="TableContents"/>
              <w:bidi w:val="0"/>
              <w:spacing w:before="0" w:after="0"/>
              <w:jc w:val="right"/>
              <w:rPr/>
            </w:pPr>
            <w:r>
              <w:rPr/>
              <w:t>​</w:t>
            </w:r>
          </w:p>
        </w:tc>
        <w:tc>
          <w:tcPr>
            <w:tcW w:w="346" w:type="dxa"/>
            <w:tcBorders>
              <w:bottom w:val="single" w:sz="2" w:space="0" w:color="4B5088"/>
            </w:tcBorders>
            <w:tcMar>
              <w:bottom w:w="69" w:type="dxa"/>
            </w:tcMar>
            <w:vAlign w:val="center"/>
          </w:tcPr>
          <w:p>
            <w:pPr>
              <w:pStyle w:val="TableContents"/>
              <w:bidi w:val="0"/>
              <w:spacing w:before="0" w:after="0"/>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0"/>
              <w:jc w:val="right"/>
              <w:rPr/>
            </w:pPr>
            <w:r>
              <w:rPr/>
              <w:t>​</w:t>
            </w:r>
          </w:p>
          <w:p>
            <w:pPr>
              <w:pStyle w:val="TableContents"/>
              <w:bidi w:val="0"/>
              <w:spacing w:before="0" w:after="0"/>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0"/>
              <w:jc w:val="right"/>
              <w:rPr/>
            </w:pPr>
            <w:r>
              <w:rPr/>
              <w:t>​</w:t>
            </w:r>
          </w:p>
          <w:p>
            <w:pPr>
              <w:pStyle w:val="TableContents"/>
              <w:bidi w:val="0"/>
              <w:spacing w:before="0" w:after="0"/>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698" w:type="dxa"/>
            <w:vMerge w:val="restart"/>
            <w:tcBorders>
              <w:bottom w:val="single" w:sz="2" w:space="0" w:color="1F2668"/>
            </w:tcBorders>
            <w:tcMar>
              <w:bottom w:w="69" w:type="dxa"/>
            </w:tcMar>
            <w:vAlign w:val="center"/>
          </w:tcPr>
          <w:p>
            <w:pPr>
              <w:pStyle w:val="TableContents"/>
              <w:bidi w:val="0"/>
              <w:spacing w:before="0" w:after="0"/>
              <w:jc w:val="left"/>
              <w:rPr>
                <w:b/>
                <w:color w:val="1F2668"/>
                <w:sz w:val="14"/>
              </w:rPr>
            </w:pPr>
            <w:r>
              <w:rPr>
                <w:b/>
                <w:color w:val="1F2668"/>
                <w:spacing w:val="-1"/>
                <w:sz w:val="14"/>
              </w:rPr>
              <w:t>Andrew S. Levine</w:t>
            </w:r>
            <w:r>
              <w:rPr>
                <w:b/>
                <w:color w:val="1F2668"/>
                <w:sz w:val="14"/>
              </w:rPr>
              <w:t xml:space="preserve">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69" w:type="dxa"/>
            </w:tcMar>
            <w:vAlign w:val="center"/>
          </w:tcPr>
          <w:p>
            <w:pPr>
              <w:pStyle w:val="TableContents"/>
              <w:bidi w:val="0"/>
              <w:spacing w:lineRule="atLeast" w:line="155" w:before="0" w:after="0"/>
              <w:jc w:val="right"/>
              <w:rPr/>
            </w:pPr>
            <w:r>
              <w:rPr/>
              <w:t>​</w:t>
            </w:r>
          </w:p>
        </w:tc>
        <w:tc>
          <w:tcPr>
            <w:tcW w:w="406" w:type="dxa"/>
            <w:tcBorders>
              <w:bottom w:val="single" w:sz="2" w:space="0" w:color="4B5088"/>
            </w:tcBorders>
            <w:shd w:fill="E9F9D8" w:val="clear"/>
            <w:tcMar>
              <w:bottom w:w="69" w:type="dxa"/>
            </w:tcMar>
            <w:vAlign w:val="center"/>
          </w:tcPr>
          <w:p>
            <w:pPr>
              <w:pStyle w:val="TableContents"/>
              <w:bidi w:val="0"/>
              <w:spacing w:lineRule="atLeast" w:line="155" w:before="0" w:after="0"/>
              <w:jc w:val="right"/>
              <w:rPr>
                <w:sz w:val="14"/>
              </w:rPr>
            </w:pPr>
            <w:r>
              <w:rPr>
                <w:sz w:val="14"/>
              </w:rPr>
              <w:t>01/29/2025</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69" w:type="dxa"/>
            </w:tcMar>
            <w:vAlign w:val="center"/>
          </w:tcPr>
          <w:p>
            <w:pPr>
              <w:pStyle w:val="TableContents"/>
              <w:bidi w:val="0"/>
              <w:spacing w:lineRule="atLeast" w:line="155" w:before="0" w:after="0"/>
              <w:jc w:val="right"/>
              <w:rPr/>
            </w:pPr>
            <w:r>
              <w:rPr/>
              <w:t>​</w:t>
            </w:r>
          </w:p>
        </w:tc>
        <w:tc>
          <w:tcPr>
            <w:tcW w:w="406" w:type="dxa"/>
            <w:tcBorders>
              <w:bottom w:val="single" w:sz="2" w:space="0" w:color="4B5088"/>
            </w:tcBorders>
            <w:shd w:fill="E9F9D8" w:val="clear"/>
            <w:tcMar>
              <w:bottom w:w="69" w:type="dxa"/>
            </w:tcMar>
            <w:vAlign w:val="center"/>
          </w:tcPr>
          <w:p>
            <w:pPr>
              <w:pStyle w:val="TableContents"/>
              <w:bidi w:val="0"/>
              <w:spacing w:lineRule="atLeast" w:line="155" w:before="0" w:after="0"/>
              <w:jc w:val="right"/>
              <w:rPr>
                <w:sz w:val="14"/>
              </w:rPr>
            </w:pPr>
            <w:r>
              <w:rPr>
                <w:sz w:val="14"/>
              </w:rPr>
              <w:t>01/29/2025</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81" w:type="dxa"/>
            <w:tcBorders>
              <w:bottom w:val="single" w:sz="2" w:space="0" w:color="4B5088"/>
            </w:tcBorders>
            <w:shd w:fill="E9F9D8" w:val="clear"/>
            <w:tcMar>
              <w:bottom w:w="69" w:type="dxa"/>
            </w:tcMar>
            <w:vAlign w:val="center"/>
          </w:tcPr>
          <w:p>
            <w:pPr>
              <w:pStyle w:val="TableContents"/>
              <w:bidi w:val="0"/>
              <w:spacing w:lineRule="atLeast" w:line="155" w:before="0" w:after="0"/>
              <w:jc w:val="right"/>
              <w:rPr/>
            </w:pPr>
            <w:r>
              <w:rPr/>
              <w:t>​</w:t>
            </w:r>
          </w:p>
        </w:tc>
        <w:tc>
          <w:tcPr>
            <w:tcW w:w="616" w:type="dxa"/>
            <w:tcBorders>
              <w:bottom w:val="single" w:sz="2" w:space="0" w:color="4B5088"/>
            </w:tcBorders>
            <w:shd w:fill="E9F9D8" w:val="clear"/>
            <w:tcMar>
              <w:bottom w:w="69" w:type="dxa"/>
            </w:tcMar>
            <w:vAlign w:val="center"/>
          </w:tcPr>
          <w:p>
            <w:pPr>
              <w:pStyle w:val="TableContents"/>
              <w:bidi w:val="0"/>
              <w:spacing w:lineRule="atLeast" w:line="155" w:before="0" w:after="0"/>
              <w:jc w:val="righ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81" w:type="dxa"/>
            <w:tcBorders>
              <w:bottom w:val="single" w:sz="2" w:space="0" w:color="4B5088"/>
            </w:tcBorders>
            <w:shd w:fill="E9F9D8" w:val="clear"/>
            <w:tcMar>
              <w:bottom w:w="69" w:type="dxa"/>
            </w:tcMar>
            <w:vAlign w:val="center"/>
          </w:tcPr>
          <w:p>
            <w:pPr>
              <w:pStyle w:val="TableContents"/>
              <w:bidi w:val="0"/>
              <w:spacing w:lineRule="atLeast" w:line="155" w:before="0" w:after="0"/>
              <w:jc w:val="right"/>
              <w:rPr/>
            </w:pPr>
            <w:r>
              <w:rPr/>
              <w:t>​</w:t>
            </w:r>
          </w:p>
        </w:tc>
        <w:tc>
          <w:tcPr>
            <w:tcW w:w="721" w:type="dxa"/>
            <w:tcBorders>
              <w:bottom w:val="single" w:sz="2" w:space="0" w:color="4B5088"/>
            </w:tcBorders>
            <w:shd w:fill="E9F9D8" w:val="clear"/>
            <w:tcMar>
              <w:bottom w:w="69" w:type="dxa"/>
            </w:tcMar>
            <w:vAlign w:val="center"/>
          </w:tcPr>
          <w:p>
            <w:pPr>
              <w:pStyle w:val="TableContents"/>
              <w:bidi w:val="0"/>
              <w:spacing w:lineRule="atLeast" w:line="155" w:before="0" w:after="0"/>
              <w:jc w:val="righ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81" w:type="dxa"/>
            <w:tcBorders>
              <w:bottom w:val="single" w:sz="2" w:space="0" w:color="4B5088"/>
            </w:tcBorders>
            <w:shd w:fill="E9F9D8" w:val="clear"/>
            <w:tcMar>
              <w:bottom w:w="69" w:type="dxa"/>
            </w:tcMar>
            <w:vAlign w:val="center"/>
          </w:tcPr>
          <w:p>
            <w:pPr>
              <w:pStyle w:val="TableContents"/>
              <w:bidi w:val="0"/>
              <w:spacing w:lineRule="atLeast" w:line="155" w:before="0" w:after="0"/>
              <w:jc w:val="right"/>
              <w:rPr/>
            </w:pPr>
            <w:r>
              <w:rPr/>
              <w:t>​</w:t>
            </w:r>
          </w:p>
        </w:tc>
        <w:tc>
          <w:tcPr>
            <w:tcW w:w="721" w:type="dxa"/>
            <w:tcBorders>
              <w:bottom w:val="single" w:sz="2" w:space="0" w:color="4B5088"/>
            </w:tcBorders>
            <w:shd w:fill="E9F9D8" w:val="clear"/>
            <w:tcMar>
              <w:bottom w:w="69" w:type="dxa"/>
            </w:tcMar>
            <w:vAlign w:val="center"/>
          </w:tcPr>
          <w:p>
            <w:pPr>
              <w:pStyle w:val="TableContents"/>
              <w:bidi w:val="0"/>
              <w:spacing w:lineRule="atLeast" w:line="155" w:before="0" w:after="0"/>
              <w:jc w:val="righ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69" w:type="dxa"/>
            </w:tcMar>
            <w:vAlign w:val="center"/>
          </w:tcPr>
          <w:p>
            <w:pPr>
              <w:pStyle w:val="TableContents"/>
              <w:bidi w:val="0"/>
              <w:spacing w:lineRule="atLeast" w:line="155" w:before="0" w:after="0"/>
              <w:jc w:val="right"/>
              <w:rPr/>
            </w:pPr>
            <w:r>
              <w:rPr/>
              <w:t>​</w:t>
            </w:r>
          </w:p>
        </w:tc>
        <w:tc>
          <w:tcPr>
            <w:tcW w:w="541" w:type="dxa"/>
            <w:tcBorders>
              <w:bottom w:val="single" w:sz="2" w:space="0" w:color="4B5088"/>
            </w:tcBorders>
            <w:shd w:fill="E9F9D8" w:val="clear"/>
            <w:tcMar>
              <w:bottom w:w="69" w:type="dxa"/>
            </w:tcMar>
            <w:vAlign w:val="center"/>
          </w:tcPr>
          <w:p>
            <w:pPr>
              <w:pStyle w:val="TableContents"/>
              <w:bidi w:val="0"/>
              <w:spacing w:lineRule="atLeast" w:line="155" w:before="0" w:after="0"/>
              <w:jc w:val="righ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69" w:type="dxa"/>
            </w:tcMar>
            <w:vAlign w:val="center"/>
          </w:tcPr>
          <w:p>
            <w:pPr>
              <w:pStyle w:val="TableContents"/>
              <w:bidi w:val="0"/>
              <w:spacing w:lineRule="atLeast" w:line="155" w:before="0" w:after="0"/>
              <w:jc w:val="right"/>
              <w:rPr/>
            </w:pPr>
            <w:r>
              <w:rPr/>
              <w:t>​</w:t>
            </w:r>
          </w:p>
        </w:tc>
        <w:tc>
          <w:tcPr>
            <w:tcW w:w="541" w:type="dxa"/>
            <w:tcBorders>
              <w:bottom w:val="single" w:sz="2" w:space="0" w:color="4B5088"/>
            </w:tcBorders>
            <w:shd w:fill="E9F9D8" w:val="clear"/>
            <w:tcMar>
              <w:bottom w:w="69" w:type="dxa"/>
            </w:tcMar>
            <w:vAlign w:val="center"/>
          </w:tcPr>
          <w:p>
            <w:pPr>
              <w:pStyle w:val="TableContents"/>
              <w:bidi w:val="0"/>
              <w:spacing w:lineRule="atLeast" w:line="155" w:before="0" w:after="0"/>
              <w:jc w:val="righ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69" w:type="dxa"/>
            </w:tcMar>
            <w:vAlign w:val="center"/>
          </w:tcPr>
          <w:p>
            <w:pPr>
              <w:pStyle w:val="TableContents"/>
              <w:bidi w:val="0"/>
              <w:spacing w:lineRule="atLeast" w:line="155" w:before="0" w:after="0"/>
              <w:jc w:val="right"/>
              <w:rPr/>
            </w:pPr>
            <w:r>
              <w:rPr/>
              <w:t>​</w:t>
            </w:r>
          </w:p>
        </w:tc>
        <w:tc>
          <w:tcPr>
            <w:tcW w:w="616" w:type="dxa"/>
            <w:tcBorders>
              <w:bottom w:val="single" w:sz="2" w:space="0" w:color="4B5088"/>
            </w:tcBorders>
            <w:shd w:fill="E9F9D8" w:val="clear"/>
            <w:tcMar>
              <w:bottom w:w="69" w:type="dxa"/>
            </w:tcMar>
            <w:vAlign w:val="center"/>
          </w:tcPr>
          <w:p>
            <w:pPr>
              <w:pStyle w:val="TableContents"/>
              <w:bidi w:val="0"/>
              <w:spacing w:lineRule="atLeast" w:line="155" w:before="0" w:after="0"/>
              <w:jc w:val="righ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69" w:type="dxa"/>
            </w:tcMar>
            <w:vAlign w:val="center"/>
          </w:tcPr>
          <w:p>
            <w:pPr>
              <w:pStyle w:val="TableContents"/>
              <w:bidi w:val="0"/>
              <w:spacing w:lineRule="atLeast" w:line="155" w:before="0" w:after="0"/>
              <w:jc w:val="right"/>
              <w:rPr/>
            </w:pPr>
            <w:r>
              <w:rPr/>
              <w:t>​</w:t>
            </w:r>
          </w:p>
        </w:tc>
        <w:tc>
          <w:tcPr>
            <w:tcW w:w="616" w:type="dxa"/>
            <w:tcBorders>
              <w:bottom w:val="single" w:sz="2" w:space="0" w:color="4B5088"/>
            </w:tcBorders>
            <w:shd w:fill="E9F9D8" w:val="clear"/>
            <w:tcMar>
              <w:bottom w:w="69" w:type="dxa"/>
            </w:tcMar>
            <w:vAlign w:val="center"/>
          </w:tcPr>
          <w:p>
            <w:pPr>
              <w:pStyle w:val="TableContents"/>
              <w:bidi w:val="0"/>
              <w:spacing w:lineRule="atLeast" w:line="155" w:before="0" w:after="0"/>
              <w:jc w:val="right"/>
              <w:rPr>
                <w:sz w:val="14"/>
              </w:rPr>
            </w:pPr>
            <w:r>
              <w:rPr>
                <w:sz w:val="14"/>
              </w:rPr>
              <w:t>26,564</w:t>
            </w:r>
            <w:r>
              <w:rPr>
                <w:sz w:val="9"/>
              </w:rPr>
              <w:t>(1)</w:t>
            </w:r>
            <w:r>
              <w:rPr>
                <w:sz w:val="14"/>
              </w:rPr>
              <w:t xml:space="preserve"> </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69" w:type="dxa"/>
            </w:tcMar>
            <w:vAlign w:val="center"/>
          </w:tcPr>
          <w:p>
            <w:pPr>
              <w:pStyle w:val="TableContents"/>
              <w:bidi w:val="0"/>
              <w:spacing w:lineRule="atLeast" w:line="155" w:before="0" w:after="0"/>
              <w:jc w:val="right"/>
              <w:rPr/>
            </w:pPr>
            <w:r>
              <w:rPr/>
              <w:t>​</w:t>
            </w:r>
          </w:p>
        </w:tc>
        <w:tc>
          <w:tcPr>
            <w:tcW w:w="346" w:type="dxa"/>
            <w:tcBorders>
              <w:bottom w:val="single" w:sz="2" w:space="0" w:color="4B5088"/>
            </w:tcBorders>
            <w:shd w:fill="E9F9D8" w:val="clear"/>
            <w:tcMar>
              <w:bottom w:w="69" w:type="dxa"/>
            </w:tcMar>
            <w:vAlign w:val="center"/>
          </w:tcPr>
          <w:p>
            <w:pPr>
              <w:pStyle w:val="TableContents"/>
              <w:bidi w:val="0"/>
              <w:spacing w:lineRule="atLeast" w:line="155" w:before="0" w:after="0"/>
              <w:jc w:val="righ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lineRule="atLeast" w:line="155" w:before="0" w:after="0"/>
              <w:jc w:val="right"/>
              <w:rPr/>
            </w:pPr>
            <w:r>
              <w:rPr/>
              <w:t>​</w:t>
            </w:r>
          </w:p>
          <w:p>
            <w:pPr>
              <w:pStyle w:val="TableContents"/>
              <w:bidi w:val="0"/>
              <w:spacing w:lineRule="atLeast" w:line="155" w:before="0" w:after="0"/>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lineRule="atLeast" w:line="155" w:before="0" w:after="0"/>
              <w:jc w:val="right"/>
              <w:rPr>
                <w:sz w:val="14"/>
              </w:rPr>
            </w:pPr>
            <w:r>
              <w:rPr>
                <w:sz w:val="14"/>
              </w:rPr>
              <w:t>$</w:t>
            </w:r>
          </w:p>
          <w:p>
            <w:pPr>
              <w:pStyle w:val="TableContents"/>
              <w:bidi w:val="0"/>
              <w:spacing w:lineRule="atLeast" w:line="155" w:before="0" w:after="0"/>
              <w:jc w:val="right"/>
              <w:rPr>
                <w:sz w:val="14"/>
              </w:rPr>
            </w:pPr>
            <w:r>
              <w:rPr>
                <w:sz w:val="14"/>
              </w:rPr>
              <w:t>1,458,629</w:t>
            </w:r>
          </w:p>
          <w:p>
            <w:pPr>
              <w:pStyle w:val="TableContents"/>
              <w:bidi w:val="0"/>
              <w:spacing w:before="0" w:after="283"/>
              <w:jc w:val="left"/>
              <w:rPr/>
            </w:pPr>
            <w:r>
              <w:rPr/>
              <w:t>​</w:t>
            </w:r>
          </w:p>
          <w:p>
            <w:pPr>
              <w:pStyle w:val="TableContents"/>
              <w:bidi w:val="0"/>
              <w:spacing w:before="0" w:after="283"/>
              <w:jc w:val="left"/>
              <w:rPr/>
            </w:pPr>
            <w:r>
              <w:rPr/>
              <w:t>​</w:t>
            </w:r>
          </w:p>
        </w:tc>
      </w:tr>
      <w:tr>
        <w:trPr/>
        <w:tc>
          <w:tcPr>
            <w:tcW w:w="698" w:type="dxa"/>
            <w:vMerge w:val="continue"/>
            <w:tcBorders>
              <w:bottom w:val="single" w:sz="2" w:space="0" w:color="1F2668"/>
            </w:tcBorders>
            <w:tcMar>
              <w:bottom w:w="69" w:type="dxa"/>
            </w:tcMar>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vMerge w:val="continue"/>
            <w:tcBorders>
              <w:bottom w:val="single" w:sz="2" w:space="0" w:color="FFFFFF"/>
            </w:tcBorders>
            <w:shd w:fill="FFFFFF" w:val="clear"/>
            <w:tcMar>
              <w:bottom w:w="28" w:type="dxa"/>
            </w:tcMar>
            <w:vAlign w:val="center"/>
          </w:tcPr>
          <w:p>
            <w:pPr>
              <w:pStyle w:val="Normal"/>
              <w:bidi w:val="0"/>
              <w:jc w:val="left"/>
              <w:rPr/>
            </w:pPr>
            <w:r>
              <w:rPr/>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69" w:type="dxa"/>
            </w:tcMar>
            <w:vAlign w:val="center"/>
          </w:tcPr>
          <w:p>
            <w:pPr>
              <w:pStyle w:val="TableContents"/>
              <w:bidi w:val="0"/>
              <w:spacing w:before="0" w:after="0"/>
              <w:jc w:val="right"/>
              <w:rPr/>
            </w:pPr>
            <w:r>
              <w:rPr/>
              <w:t>​</w:t>
            </w:r>
          </w:p>
        </w:tc>
        <w:tc>
          <w:tcPr>
            <w:tcW w:w="406" w:type="dxa"/>
            <w:tcBorders>
              <w:bottom w:val="single" w:sz="2" w:space="0" w:color="4B5088"/>
            </w:tcBorders>
            <w:tcMar>
              <w:bottom w:w="69" w:type="dxa"/>
            </w:tcMar>
            <w:vAlign w:val="center"/>
          </w:tcPr>
          <w:p>
            <w:pPr>
              <w:pStyle w:val="TableContents"/>
              <w:bidi w:val="0"/>
              <w:spacing w:before="0" w:after="0"/>
              <w:jc w:val="right"/>
              <w:rPr>
                <w:sz w:val="14"/>
              </w:rPr>
            </w:pPr>
            <w:r>
              <w:rPr>
                <w:sz w:val="14"/>
              </w:rPr>
              <w:t>01/29/2025</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69" w:type="dxa"/>
            </w:tcMar>
            <w:vAlign w:val="center"/>
          </w:tcPr>
          <w:p>
            <w:pPr>
              <w:pStyle w:val="TableContents"/>
              <w:bidi w:val="0"/>
              <w:spacing w:before="0" w:after="0"/>
              <w:jc w:val="right"/>
              <w:rPr/>
            </w:pPr>
            <w:r>
              <w:rPr/>
              <w:t>​</w:t>
            </w:r>
          </w:p>
        </w:tc>
        <w:tc>
          <w:tcPr>
            <w:tcW w:w="406" w:type="dxa"/>
            <w:tcBorders>
              <w:bottom w:val="single" w:sz="2" w:space="0" w:color="4B5088"/>
            </w:tcBorders>
            <w:tcMar>
              <w:bottom w:w="69" w:type="dxa"/>
            </w:tcMar>
            <w:vAlign w:val="center"/>
          </w:tcPr>
          <w:p>
            <w:pPr>
              <w:pStyle w:val="TableContents"/>
              <w:bidi w:val="0"/>
              <w:spacing w:before="0" w:after="0"/>
              <w:jc w:val="right"/>
              <w:rPr>
                <w:sz w:val="14"/>
              </w:rPr>
            </w:pPr>
            <w:r>
              <w:rPr>
                <w:sz w:val="14"/>
              </w:rPr>
              <w:t>01/29/2025</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81" w:type="dxa"/>
            <w:tcBorders>
              <w:bottom w:val="single" w:sz="2" w:space="0" w:color="4B5088"/>
            </w:tcBorders>
            <w:tcMar>
              <w:bottom w:w="69" w:type="dxa"/>
            </w:tcMar>
            <w:vAlign w:val="center"/>
          </w:tcPr>
          <w:p>
            <w:pPr>
              <w:pStyle w:val="TableContents"/>
              <w:bidi w:val="0"/>
              <w:spacing w:before="0" w:after="0"/>
              <w:jc w:val="right"/>
              <w:rPr/>
            </w:pPr>
            <w:r>
              <w:rPr/>
              <w:t>​</w:t>
            </w:r>
          </w:p>
        </w:tc>
        <w:tc>
          <w:tcPr>
            <w:tcW w:w="616" w:type="dxa"/>
            <w:tcBorders>
              <w:bottom w:val="single" w:sz="2" w:space="0" w:color="4B5088"/>
            </w:tcBorders>
            <w:tcMar>
              <w:bottom w:w="69" w:type="dxa"/>
            </w:tcMar>
            <w:vAlign w:val="center"/>
          </w:tcPr>
          <w:p>
            <w:pPr>
              <w:pStyle w:val="TableContents"/>
              <w:bidi w:val="0"/>
              <w:spacing w:before="0" w:after="0"/>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81" w:type="dxa"/>
            <w:tcBorders>
              <w:bottom w:val="single" w:sz="2" w:space="0" w:color="4B5088"/>
            </w:tcBorders>
            <w:tcMar>
              <w:bottom w:w="69" w:type="dxa"/>
            </w:tcMar>
            <w:vAlign w:val="center"/>
          </w:tcPr>
          <w:p>
            <w:pPr>
              <w:pStyle w:val="TableContents"/>
              <w:bidi w:val="0"/>
              <w:spacing w:before="0" w:after="0"/>
              <w:jc w:val="right"/>
              <w:rPr/>
            </w:pPr>
            <w:r>
              <w:rPr/>
              <w:t>​</w:t>
            </w:r>
          </w:p>
        </w:tc>
        <w:tc>
          <w:tcPr>
            <w:tcW w:w="721" w:type="dxa"/>
            <w:tcBorders>
              <w:bottom w:val="single" w:sz="2" w:space="0" w:color="4B5088"/>
            </w:tcBorders>
            <w:tcMar>
              <w:bottom w:w="69" w:type="dxa"/>
            </w:tcMar>
            <w:vAlign w:val="center"/>
          </w:tcPr>
          <w:p>
            <w:pPr>
              <w:pStyle w:val="TableContents"/>
              <w:bidi w:val="0"/>
              <w:spacing w:before="0" w:after="0"/>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81" w:type="dxa"/>
            <w:tcBorders>
              <w:bottom w:val="single" w:sz="2" w:space="0" w:color="4B5088"/>
            </w:tcBorders>
            <w:tcMar>
              <w:bottom w:w="69" w:type="dxa"/>
            </w:tcMar>
            <w:vAlign w:val="center"/>
          </w:tcPr>
          <w:p>
            <w:pPr>
              <w:pStyle w:val="TableContents"/>
              <w:bidi w:val="0"/>
              <w:spacing w:before="0" w:after="0"/>
              <w:jc w:val="right"/>
              <w:rPr/>
            </w:pPr>
            <w:r>
              <w:rPr/>
              <w:t>​</w:t>
            </w:r>
          </w:p>
        </w:tc>
        <w:tc>
          <w:tcPr>
            <w:tcW w:w="721" w:type="dxa"/>
            <w:tcBorders>
              <w:bottom w:val="single" w:sz="2" w:space="0" w:color="4B5088"/>
            </w:tcBorders>
            <w:tcMar>
              <w:bottom w:w="69" w:type="dxa"/>
            </w:tcMar>
            <w:vAlign w:val="center"/>
          </w:tcPr>
          <w:p>
            <w:pPr>
              <w:pStyle w:val="TableContents"/>
              <w:bidi w:val="0"/>
              <w:spacing w:before="0" w:after="0"/>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69" w:type="dxa"/>
            </w:tcMar>
            <w:vAlign w:val="center"/>
          </w:tcPr>
          <w:p>
            <w:pPr>
              <w:pStyle w:val="TableContents"/>
              <w:bidi w:val="0"/>
              <w:spacing w:before="0" w:after="0"/>
              <w:jc w:val="right"/>
              <w:rPr/>
            </w:pPr>
            <w:r>
              <w:rPr/>
              <w:t>​</w:t>
            </w:r>
          </w:p>
        </w:tc>
        <w:tc>
          <w:tcPr>
            <w:tcW w:w="541" w:type="dxa"/>
            <w:tcBorders>
              <w:bottom w:val="single" w:sz="2" w:space="0" w:color="4B5088"/>
            </w:tcBorders>
            <w:tcMar>
              <w:bottom w:w="69" w:type="dxa"/>
            </w:tcMar>
            <w:vAlign w:val="center"/>
          </w:tcPr>
          <w:p>
            <w:pPr>
              <w:pStyle w:val="TableContents"/>
              <w:bidi w:val="0"/>
              <w:spacing w:before="0" w:after="0"/>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69" w:type="dxa"/>
            </w:tcMar>
            <w:vAlign w:val="center"/>
          </w:tcPr>
          <w:p>
            <w:pPr>
              <w:pStyle w:val="TableContents"/>
              <w:bidi w:val="0"/>
              <w:spacing w:before="0" w:after="0"/>
              <w:jc w:val="right"/>
              <w:rPr/>
            </w:pPr>
            <w:r>
              <w:rPr/>
              <w:t>​</w:t>
            </w:r>
          </w:p>
        </w:tc>
        <w:tc>
          <w:tcPr>
            <w:tcW w:w="541" w:type="dxa"/>
            <w:tcBorders>
              <w:bottom w:val="single" w:sz="2" w:space="0" w:color="4B5088"/>
            </w:tcBorders>
            <w:tcMar>
              <w:bottom w:w="69" w:type="dxa"/>
            </w:tcMar>
            <w:vAlign w:val="center"/>
          </w:tcPr>
          <w:p>
            <w:pPr>
              <w:pStyle w:val="TableContents"/>
              <w:bidi w:val="0"/>
              <w:spacing w:before="0" w:after="0"/>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69" w:type="dxa"/>
            </w:tcMar>
            <w:vAlign w:val="center"/>
          </w:tcPr>
          <w:p>
            <w:pPr>
              <w:pStyle w:val="TableContents"/>
              <w:bidi w:val="0"/>
              <w:spacing w:before="0" w:after="0"/>
              <w:jc w:val="right"/>
              <w:rPr/>
            </w:pPr>
            <w:r>
              <w:rPr/>
              <w:t>​</w:t>
            </w:r>
          </w:p>
        </w:tc>
        <w:tc>
          <w:tcPr>
            <w:tcW w:w="616" w:type="dxa"/>
            <w:tcBorders>
              <w:bottom w:val="single" w:sz="2" w:space="0" w:color="4B5088"/>
            </w:tcBorders>
            <w:tcMar>
              <w:bottom w:w="69" w:type="dxa"/>
            </w:tcMar>
            <w:vAlign w:val="center"/>
          </w:tcPr>
          <w:p>
            <w:pPr>
              <w:pStyle w:val="TableContents"/>
              <w:bidi w:val="0"/>
              <w:spacing w:before="0" w:after="0"/>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69" w:type="dxa"/>
            </w:tcMar>
            <w:vAlign w:val="center"/>
          </w:tcPr>
          <w:p>
            <w:pPr>
              <w:pStyle w:val="TableContents"/>
              <w:bidi w:val="0"/>
              <w:spacing w:before="0" w:after="0"/>
              <w:jc w:val="right"/>
              <w:rPr/>
            </w:pPr>
            <w:r>
              <w:rPr/>
              <w:t>​</w:t>
            </w:r>
          </w:p>
        </w:tc>
        <w:tc>
          <w:tcPr>
            <w:tcW w:w="616" w:type="dxa"/>
            <w:tcBorders>
              <w:bottom w:val="single" w:sz="2" w:space="0" w:color="4B5088"/>
            </w:tcBorders>
            <w:tcMar>
              <w:bottom w:w="69" w:type="dxa"/>
            </w:tcMar>
            <w:vAlign w:val="center"/>
          </w:tcPr>
          <w:p>
            <w:pPr>
              <w:pStyle w:val="TableContents"/>
              <w:bidi w:val="0"/>
              <w:spacing w:before="0" w:after="0"/>
              <w:jc w:val="right"/>
              <w:rPr>
                <w:sz w:val="14"/>
              </w:rPr>
            </w:pPr>
            <w:r>
              <w:rPr>
                <w:sz w:val="14"/>
              </w:rPr>
              <w:t>14,900</w:t>
            </w:r>
            <w:r>
              <w:rPr>
                <w:sz w:val="9"/>
              </w:rPr>
              <w:t>(3)</w:t>
            </w:r>
            <w:r>
              <w:rPr>
                <w:sz w:val="14"/>
              </w:rPr>
              <w:t xml:space="preserve">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69" w:type="dxa"/>
            </w:tcMar>
            <w:vAlign w:val="center"/>
          </w:tcPr>
          <w:p>
            <w:pPr>
              <w:pStyle w:val="TableContents"/>
              <w:bidi w:val="0"/>
              <w:spacing w:before="0" w:after="0"/>
              <w:jc w:val="right"/>
              <w:rPr/>
            </w:pPr>
            <w:r>
              <w:rPr/>
              <w:t>​</w:t>
            </w:r>
          </w:p>
        </w:tc>
        <w:tc>
          <w:tcPr>
            <w:tcW w:w="346" w:type="dxa"/>
            <w:tcBorders>
              <w:bottom w:val="single" w:sz="2" w:space="0" w:color="4B5088"/>
            </w:tcBorders>
            <w:tcMar>
              <w:bottom w:w="69" w:type="dxa"/>
            </w:tcMar>
            <w:vAlign w:val="center"/>
          </w:tcPr>
          <w:p>
            <w:pPr>
              <w:pStyle w:val="TableContents"/>
              <w:bidi w:val="0"/>
              <w:spacing w:before="0" w:after="0"/>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0"/>
              <w:jc w:val="right"/>
              <w:rPr/>
            </w:pPr>
            <w:r>
              <w:rPr/>
              <w:t>​</w:t>
            </w:r>
          </w:p>
          <w:p>
            <w:pPr>
              <w:pStyle w:val="TableContents"/>
              <w:bidi w:val="0"/>
              <w:spacing w:before="0" w:after="0"/>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0"/>
              <w:jc w:val="right"/>
              <w:rPr>
                <w:sz w:val="14"/>
              </w:rPr>
            </w:pPr>
            <w:r>
              <w:rPr>
                <w:sz w:val="14"/>
              </w:rPr>
              <w:t>$</w:t>
            </w:r>
          </w:p>
          <w:p>
            <w:pPr>
              <w:pStyle w:val="TableContents"/>
              <w:bidi w:val="0"/>
              <w:spacing w:before="0" w:after="0"/>
              <w:jc w:val="right"/>
              <w:rPr>
                <w:sz w:val="14"/>
              </w:rPr>
            </w:pPr>
            <w:r>
              <w:rPr>
                <w:sz w:val="14"/>
              </w:rPr>
              <w:t>739,636</w:t>
            </w:r>
          </w:p>
          <w:p>
            <w:pPr>
              <w:pStyle w:val="TableContents"/>
              <w:bidi w:val="0"/>
              <w:spacing w:before="0" w:after="283"/>
              <w:jc w:val="left"/>
              <w:rPr/>
            </w:pPr>
            <w:r>
              <w:rPr/>
              <w:t>​</w:t>
            </w:r>
          </w:p>
          <w:p>
            <w:pPr>
              <w:pStyle w:val="TableContents"/>
              <w:bidi w:val="0"/>
              <w:spacing w:before="0" w:after="283"/>
              <w:jc w:val="left"/>
              <w:rPr/>
            </w:pPr>
            <w:r>
              <w:rPr/>
              <w:t>​</w:t>
            </w:r>
          </w:p>
        </w:tc>
      </w:tr>
      <w:tr>
        <w:trPr/>
        <w:tc>
          <w:tcPr>
            <w:tcW w:w="698" w:type="dxa"/>
            <w:vMerge w:val="continue"/>
            <w:tcBorders>
              <w:bottom w:val="single" w:sz="2" w:space="0" w:color="1F2668"/>
            </w:tcBorders>
            <w:tcMar>
              <w:bottom w:w="69" w:type="dxa"/>
            </w:tcMar>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vMerge w:val="continue"/>
            <w:tcBorders>
              <w:bottom w:val="single" w:sz="2" w:space="0" w:color="FFFFFF"/>
            </w:tcBorders>
            <w:shd w:fill="FFFFFF" w:val="clear"/>
            <w:tcMar>
              <w:bottom w:w="28" w:type="dxa"/>
            </w:tcMar>
            <w:vAlign w:val="center"/>
          </w:tcPr>
          <w:p>
            <w:pPr>
              <w:pStyle w:val="Normal"/>
              <w:bidi w:val="0"/>
              <w:jc w:val="left"/>
              <w:rPr/>
            </w:pPr>
            <w:r>
              <w:rPr/>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69" w:type="dxa"/>
            </w:tcMar>
            <w:vAlign w:val="center"/>
          </w:tcPr>
          <w:p>
            <w:pPr>
              <w:pStyle w:val="TableContents"/>
              <w:bidi w:val="0"/>
              <w:spacing w:before="0" w:after="0"/>
              <w:jc w:val="right"/>
              <w:rPr/>
            </w:pPr>
            <w:r>
              <w:rPr/>
              <w:t>​</w:t>
            </w:r>
          </w:p>
        </w:tc>
        <w:tc>
          <w:tcPr>
            <w:tcW w:w="406" w:type="dxa"/>
            <w:tcBorders>
              <w:bottom w:val="single" w:sz="2" w:space="0" w:color="4B5088"/>
            </w:tcBorders>
            <w:tcMar>
              <w:bottom w:w="69" w:type="dxa"/>
            </w:tcMar>
            <w:vAlign w:val="center"/>
          </w:tcPr>
          <w:p>
            <w:pPr>
              <w:pStyle w:val="TableContents"/>
              <w:bidi w:val="0"/>
              <w:spacing w:before="0" w:after="0"/>
              <w:jc w:val="right"/>
              <w:rPr>
                <w:sz w:val="14"/>
              </w:rPr>
            </w:pPr>
            <w:r>
              <w:rPr>
                <w:sz w:val="14"/>
              </w:rPr>
              <w:t>07/01/2025</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69" w:type="dxa"/>
            </w:tcMar>
            <w:vAlign w:val="center"/>
          </w:tcPr>
          <w:p>
            <w:pPr>
              <w:pStyle w:val="TableContents"/>
              <w:bidi w:val="0"/>
              <w:spacing w:before="0" w:after="0"/>
              <w:jc w:val="right"/>
              <w:rPr/>
            </w:pPr>
            <w:r>
              <w:rPr/>
              <w:t>​</w:t>
            </w:r>
          </w:p>
        </w:tc>
        <w:tc>
          <w:tcPr>
            <w:tcW w:w="406" w:type="dxa"/>
            <w:tcBorders>
              <w:bottom w:val="single" w:sz="2" w:space="0" w:color="4B5088"/>
            </w:tcBorders>
            <w:tcMar>
              <w:bottom w:w="69" w:type="dxa"/>
            </w:tcMar>
            <w:vAlign w:val="center"/>
          </w:tcPr>
          <w:p>
            <w:pPr>
              <w:pStyle w:val="TableContents"/>
              <w:bidi w:val="0"/>
              <w:spacing w:before="0" w:after="0"/>
              <w:jc w:val="right"/>
              <w:rPr>
                <w:sz w:val="14"/>
              </w:rPr>
            </w:pPr>
            <w:r>
              <w:rPr>
                <w:sz w:val="14"/>
              </w:rPr>
              <w:t>07/01/2025</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81" w:type="dxa"/>
            <w:tcBorders>
              <w:bottom w:val="single" w:sz="2" w:space="0" w:color="4B5088"/>
            </w:tcBorders>
            <w:tcMar>
              <w:bottom w:w="69" w:type="dxa"/>
            </w:tcMar>
            <w:vAlign w:val="center"/>
          </w:tcPr>
          <w:p>
            <w:pPr>
              <w:pStyle w:val="TableContents"/>
              <w:bidi w:val="0"/>
              <w:spacing w:before="0" w:after="0"/>
              <w:jc w:val="right"/>
              <w:rPr/>
            </w:pPr>
            <w:r>
              <w:rPr/>
              <w:t>​</w:t>
            </w:r>
          </w:p>
        </w:tc>
        <w:tc>
          <w:tcPr>
            <w:tcW w:w="616" w:type="dxa"/>
            <w:tcBorders>
              <w:bottom w:val="single" w:sz="2" w:space="0" w:color="4B5088"/>
            </w:tcBorders>
            <w:tcMar>
              <w:bottom w:w="69" w:type="dxa"/>
            </w:tcMar>
            <w:vAlign w:val="center"/>
          </w:tcPr>
          <w:p>
            <w:pPr>
              <w:pStyle w:val="TableContents"/>
              <w:bidi w:val="0"/>
              <w:spacing w:before="0" w:after="0"/>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81" w:type="dxa"/>
            <w:tcBorders>
              <w:bottom w:val="single" w:sz="2" w:space="0" w:color="4B5088"/>
            </w:tcBorders>
            <w:tcMar>
              <w:bottom w:w="69" w:type="dxa"/>
            </w:tcMar>
            <w:vAlign w:val="center"/>
          </w:tcPr>
          <w:p>
            <w:pPr>
              <w:pStyle w:val="TableContents"/>
              <w:bidi w:val="0"/>
              <w:spacing w:before="0" w:after="0"/>
              <w:jc w:val="right"/>
              <w:rPr/>
            </w:pPr>
            <w:r>
              <w:rPr/>
              <w:t>​</w:t>
            </w:r>
          </w:p>
        </w:tc>
        <w:tc>
          <w:tcPr>
            <w:tcW w:w="721" w:type="dxa"/>
            <w:tcBorders>
              <w:bottom w:val="single" w:sz="2" w:space="0" w:color="4B5088"/>
            </w:tcBorders>
            <w:tcMar>
              <w:bottom w:w="69" w:type="dxa"/>
            </w:tcMar>
            <w:vAlign w:val="center"/>
          </w:tcPr>
          <w:p>
            <w:pPr>
              <w:pStyle w:val="TableContents"/>
              <w:bidi w:val="0"/>
              <w:spacing w:before="0" w:after="0"/>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81" w:type="dxa"/>
            <w:tcBorders>
              <w:bottom w:val="single" w:sz="2" w:space="0" w:color="4B5088"/>
            </w:tcBorders>
            <w:tcMar>
              <w:bottom w:w="69" w:type="dxa"/>
            </w:tcMar>
            <w:vAlign w:val="center"/>
          </w:tcPr>
          <w:p>
            <w:pPr>
              <w:pStyle w:val="TableContents"/>
              <w:bidi w:val="0"/>
              <w:spacing w:before="0" w:after="0"/>
              <w:jc w:val="right"/>
              <w:rPr/>
            </w:pPr>
            <w:r>
              <w:rPr/>
              <w:t>​</w:t>
            </w:r>
          </w:p>
        </w:tc>
        <w:tc>
          <w:tcPr>
            <w:tcW w:w="721" w:type="dxa"/>
            <w:tcBorders>
              <w:bottom w:val="single" w:sz="2" w:space="0" w:color="4B5088"/>
            </w:tcBorders>
            <w:tcMar>
              <w:bottom w:w="69" w:type="dxa"/>
            </w:tcMar>
            <w:vAlign w:val="center"/>
          </w:tcPr>
          <w:p>
            <w:pPr>
              <w:pStyle w:val="TableContents"/>
              <w:bidi w:val="0"/>
              <w:spacing w:before="0" w:after="0"/>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69" w:type="dxa"/>
            </w:tcMar>
            <w:vAlign w:val="center"/>
          </w:tcPr>
          <w:p>
            <w:pPr>
              <w:pStyle w:val="TableContents"/>
              <w:bidi w:val="0"/>
              <w:spacing w:before="0" w:after="0"/>
              <w:jc w:val="right"/>
              <w:rPr/>
            </w:pPr>
            <w:r>
              <w:rPr/>
              <w:t>​</w:t>
            </w:r>
          </w:p>
        </w:tc>
        <w:tc>
          <w:tcPr>
            <w:tcW w:w="541" w:type="dxa"/>
            <w:tcBorders>
              <w:bottom w:val="single" w:sz="2" w:space="0" w:color="4B5088"/>
            </w:tcBorders>
            <w:tcMar>
              <w:bottom w:w="69" w:type="dxa"/>
            </w:tcMar>
            <w:vAlign w:val="center"/>
          </w:tcPr>
          <w:p>
            <w:pPr>
              <w:pStyle w:val="TableContents"/>
              <w:bidi w:val="0"/>
              <w:spacing w:before="0" w:after="0"/>
              <w:jc w:val="right"/>
              <w:rPr>
                <w:sz w:val="14"/>
              </w:rPr>
            </w:pPr>
            <w:r>
              <w:rPr>
                <w:sz w:val="14"/>
              </w:rPr>
              <w:t>3,023</w:t>
            </w:r>
            <w:r>
              <w:rPr>
                <w:sz w:val="9"/>
              </w:rPr>
              <w:t>(2)</w:t>
            </w:r>
            <w:r>
              <w:rPr>
                <w:sz w:val="14"/>
              </w:rPr>
              <w:t xml:space="preserve">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69" w:type="dxa"/>
            </w:tcMar>
            <w:vAlign w:val="center"/>
          </w:tcPr>
          <w:p>
            <w:pPr>
              <w:pStyle w:val="TableContents"/>
              <w:bidi w:val="0"/>
              <w:spacing w:before="0" w:after="0"/>
              <w:jc w:val="right"/>
              <w:rPr/>
            </w:pPr>
            <w:r>
              <w:rPr/>
              <w:t>​</w:t>
            </w:r>
          </w:p>
        </w:tc>
        <w:tc>
          <w:tcPr>
            <w:tcW w:w="541" w:type="dxa"/>
            <w:tcBorders>
              <w:bottom w:val="single" w:sz="2" w:space="0" w:color="4B5088"/>
            </w:tcBorders>
            <w:tcMar>
              <w:bottom w:w="69" w:type="dxa"/>
            </w:tcMar>
            <w:vAlign w:val="center"/>
          </w:tcPr>
          <w:p>
            <w:pPr>
              <w:pStyle w:val="TableContents"/>
              <w:bidi w:val="0"/>
              <w:spacing w:before="0" w:after="0"/>
              <w:jc w:val="right"/>
              <w:rPr>
                <w:sz w:val="14"/>
              </w:rPr>
            </w:pPr>
            <w:r>
              <w:rPr>
                <w:sz w:val="14"/>
              </w:rPr>
              <w:t>8,794</w:t>
            </w:r>
            <w:r>
              <w:rPr>
                <w:sz w:val="9"/>
              </w:rPr>
              <w:t>(2)</w:t>
            </w:r>
            <w:r>
              <w:rPr>
                <w:sz w:val="14"/>
              </w:rPr>
              <w:t xml:space="preserve">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69" w:type="dxa"/>
            </w:tcMar>
            <w:vAlign w:val="center"/>
          </w:tcPr>
          <w:p>
            <w:pPr>
              <w:pStyle w:val="TableContents"/>
              <w:bidi w:val="0"/>
              <w:spacing w:before="0" w:after="0"/>
              <w:jc w:val="right"/>
              <w:rPr/>
            </w:pPr>
            <w:r>
              <w:rPr/>
              <w:t>​</w:t>
            </w:r>
          </w:p>
        </w:tc>
        <w:tc>
          <w:tcPr>
            <w:tcW w:w="616" w:type="dxa"/>
            <w:tcBorders>
              <w:bottom w:val="single" w:sz="2" w:space="0" w:color="4B5088"/>
            </w:tcBorders>
            <w:tcMar>
              <w:bottom w:w="69" w:type="dxa"/>
            </w:tcMar>
            <w:vAlign w:val="center"/>
          </w:tcPr>
          <w:p>
            <w:pPr>
              <w:pStyle w:val="TableContents"/>
              <w:bidi w:val="0"/>
              <w:spacing w:before="0" w:after="0"/>
              <w:jc w:val="right"/>
              <w:rPr>
                <w:sz w:val="14"/>
              </w:rPr>
            </w:pPr>
            <w:r>
              <w:rPr>
                <w:sz w:val="14"/>
              </w:rPr>
              <w:t>21,985</w:t>
            </w:r>
            <w:r>
              <w:rPr>
                <w:sz w:val="9"/>
              </w:rPr>
              <w:t>(2)</w:t>
            </w:r>
            <w:r>
              <w:rPr>
                <w:sz w:val="14"/>
              </w:rPr>
              <w:t xml:space="preserve">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69" w:type="dxa"/>
            </w:tcMar>
            <w:vAlign w:val="center"/>
          </w:tcPr>
          <w:p>
            <w:pPr>
              <w:pStyle w:val="TableContents"/>
              <w:bidi w:val="0"/>
              <w:spacing w:before="0" w:after="0"/>
              <w:jc w:val="right"/>
              <w:rPr/>
            </w:pPr>
            <w:r>
              <w:rPr/>
              <w:t>​</w:t>
            </w:r>
          </w:p>
        </w:tc>
        <w:tc>
          <w:tcPr>
            <w:tcW w:w="616" w:type="dxa"/>
            <w:tcBorders>
              <w:bottom w:val="single" w:sz="2" w:space="0" w:color="4B5088"/>
            </w:tcBorders>
            <w:tcMar>
              <w:bottom w:w="69" w:type="dxa"/>
            </w:tcMar>
            <w:vAlign w:val="center"/>
          </w:tcPr>
          <w:p>
            <w:pPr>
              <w:pStyle w:val="TableContents"/>
              <w:bidi w:val="0"/>
              <w:spacing w:before="0" w:after="0"/>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69" w:type="dxa"/>
            </w:tcMar>
            <w:vAlign w:val="center"/>
          </w:tcPr>
          <w:p>
            <w:pPr>
              <w:pStyle w:val="TableContents"/>
              <w:bidi w:val="0"/>
              <w:spacing w:before="0" w:after="0"/>
              <w:jc w:val="right"/>
              <w:rPr/>
            </w:pPr>
            <w:r>
              <w:rPr/>
              <w:t>​</w:t>
            </w:r>
          </w:p>
        </w:tc>
        <w:tc>
          <w:tcPr>
            <w:tcW w:w="346" w:type="dxa"/>
            <w:tcBorders>
              <w:bottom w:val="single" w:sz="2" w:space="0" w:color="4B5088"/>
            </w:tcBorders>
            <w:tcMar>
              <w:bottom w:w="69" w:type="dxa"/>
            </w:tcMar>
            <w:vAlign w:val="center"/>
          </w:tcPr>
          <w:p>
            <w:pPr>
              <w:pStyle w:val="TableContents"/>
              <w:bidi w:val="0"/>
              <w:spacing w:before="0" w:after="0"/>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0"/>
              <w:jc w:val="right"/>
              <w:rPr/>
            </w:pPr>
            <w:r>
              <w:rPr/>
              <w:t>​</w:t>
            </w:r>
          </w:p>
          <w:p>
            <w:pPr>
              <w:pStyle w:val="TableContents"/>
              <w:bidi w:val="0"/>
              <w:spacing w:before="0" w:after="0"/>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0"/>
              <w:jc w:val="right"/>
              <w:rPr>
                <w:sz w:val="14"/>
              </w:rPr>
            </w:pPr>
            <w:r>
              <w:rPr>
                <w:sz w:val="14"/>
              </w:rPr>
              <w:t>$</w:t>
            </w:r>
          </w:p>
          <w:p>
            <w:pPr>
              <w:pStyle w:val="TableContents"/>
              <w:bidi w:val="0"/>
              <w:spacing w:before="0" w:after="0"/>
              <w:jc w:val="right"/>
              <w:rPr>
                <w:sz w:val="14"/>
              </w:rPr>
            </w:pPr>
            <w:r>
              <w:rPr>
                <w:sz w:val="14"/>
              </w:rPr>
              <w:t>660,088</w:t>
            </w:r>
          </w:p>
          <w:p>
            <w:pPr>
              <w:pStyle w:val="TableContents"/>
              <w:bidi w:val="0"/>
              <w:spacing w:before="0" w:after="283"/>
              <w:jc w:val="left"/>
              <w:rPr/>
            </w:pPr>
            <w:r>
              <w:rPr/>
              <w:t>​</w:t>
            </w:r>
          </w:p>
          <w:p>
            <w:pPr>
              <w:pStyle w:val="TableContents"/>
              <w:bidi w:val="0"/>
              <w:spacing w:before="0" w:after="283"/>
              <w:jc w:val="left"/>
              <w:rPr/>
            </w:pPr>
            <w:r>
              <w:rPr/>
              <w:t>​</w:t>
            </w:r>
          </w:p>
        </w:tc>
      </w:tr>
      <w:tr>
        <w:trPr/>
        <w:tc>
          <w:tcPr>
            <w:tcW w:w="698" w:type="dxa"/>
            <w:vMerge w:val="continue"/>
            <w:tcBorders>
              <w:bottom w:val="single" w:sz="2" w:space="0" w:color="1F2668"/>
            </w:tcBorders>
            <w:tcMar>
              <w:bottom w:w="69" w:type="dxa"/>
            </w:tcMar>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vMerge w:val="continue"/>
            <w:tcBorders>
              <w:bottom w:val="single" w:sz="2" w:space="0" w:color="FFFFFF"/>
            </w:tcBorders>
            <w:shd w:fill="FFFFFF" w:val="clear"/>
            <w:tcMar>
              <w:bottom w:w="28" w:type="dxa"/>
            </w:tcMar>
            <w:vAlign w:val="center"/>
          </w:tcPr>
          <w:p>
            <w:pPr>
              <w:pStyle w:val="Normal"/>
              <w:bidi w:val="0"/>
              <w:jc w:val="left"/>
              <w:rPr/>
            </w:pPr>
            <w:r>
              <w:rPr/>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69" w:type="dxa"/>
            </w:tcMar>
            <w:vAlign w:val="center"/>
          </w:tcPr>
          <w:p>
            <w:pPr>
              <w:pStyle w:val="TableContents"/>
              <w:bidi w:val="0"/>
              <w:spacing w:before="0" w:after="0"/>
              <w:jc w:val="right"/>
              <w:rPr/>
            </w:pPr>
            <w:r>
              <w:rPr/>
              <w:t>​</w:t>
            </w:r>
          </w:p>
        </w:tc>
        <w:tc>
          <w:tcPr>
            <w:tcW w:w="406" w:type="dxa"/>
            <w:tcBorders>
              <w:bottom w:val="single" w:sz="2" w:space="0" w:color="1F2668"/>
            </w:tcBorders>
            <w:tcMar>
              <w:bottom w:w="69" w:type="dxa"/>
            </w:tcMar>
            <w:vAlign w:val="center"/>
          </w:tcPr>
          <w:p>
            <w:pPr>
              <w:pStyle w:val="TableContents"/>
              <w:bidi w:val="0"/>
              <w:spacing w:before="0" w:after="0"/>
              <w:jc w:val="right"/>
              <w:rPr>
                <w:sz w:val="14"/>
              </w:rPr>
            </w:pPr>
            <w:r>
              <w:rPr>
                <w:sz w:val="14"/>
              </w:rPr>
              <w:t>N/A</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69" w:type="dxa"/>
            </w:tcMar>
            <w:vAlign w:val="center"/>
          </w:tcPr>
          <w:p>
            <w:pPr>
              <w:pStyle w:val="TableContents"/>
              <w:bidi w:val="0"/>
              <w:spacing w:before="0" w:after="0"/>
              <w:jc w:val="right"/>
              <w:rPr/>
            </w:pPr>
            <w:r>
              <w:rPr/>
              <w:t>​</w:t>
            </w:r>
          </w:p>
        </w:tc>
        <w:tc>
          <w:tcPr>
            <w:tcW w:w="406" w:type="dxa"/>
            <w:tcBorders>
              <w:bottom w:val="single" w:sz="2" w:space="0" w:color="1F2668"/>
            </w:tcBorders>
            <w:tcMar>
              <w:bottom w:w="69" w:type="dxa"/>
            </w:tcMar>
            <w:vAlign w:val="center"/>
          </w:tcPr>
          <w:p>
            <w:pPr>
              <w:pStyle w:val="TableContents"/>
              <w:bidi w:val="0"/>
              <w:spacing w:before="0" w:after="0"/>
              <w:jc w:val="right"/>
              <w:rPr>
                <w:sz w:val="14"/>
              </w:rPr>
            </w:pPr>
            <w:r>
              <w:rPr>
                <w:sz w:val="14"/>
              </w:rPr>
              <w:t>N/A</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81" w:type="dxa"/>
            <w:tcBorders>
              <w:bottom w:val="single" w:sz="2" w:space="0" w:color="1F2668"/>
            </w:tcBorders>
            <w:tcMar>
              <w:bottom w:w="69" w:type="dxa"/>
            </w:tcMar>
            <w:vAlign w:val="center"/>
          </w:tcPr>
          <w:p>
            <w:pPr>
              <w:pStyle w:val="TableContents"/>
              <w:bidi w:val="0"/>
              <w:spacing w:before="0" w:after="0"/>
              <w:jc w:val="right"/>
              <w:rPr>
                <w:sz w:val="14"/>
              </w:rPr>
            </w:pPr>
            <w:r>
              <w:rPr>
                <w:sz w:val="14"/>
              </w:rPr>
              <w:t>$</w:t>
            </w:r>
          </w:p>
        </w:tc>
        <w:tc>
          <w:tcPr>
            <w:tcW w:w="616" w:type="dxa"/>
            <w:tcBorders>
              <w:bottom w:val="single" w:sz="2" w:space="0" w:color="1F2668"/>
            </w:tcBorders>
            <w:tcMar>
              <w:bottom w:w="69" w:type="dxa"/>
            </w:tcMar>
            <w:vAlign w:val="center"/>
          </w:tcPr>
          <w:p>
            <w:pPr>
              <w:pStyle w:val="TableContents"/>
              <w:bidi w:val="0"/>
              <w:spacing w:before="0" w:after="0"/>
              <w:jc w:val="right"/>
              <w:rPr>
                <w:sz w:val="14"/>
              </w:rPr>
            </w:pPr>
            <w:r>
              <w:rPr>
                <w:sz w:val="14"/>
              </w:rPr>
              <w:t>300,000</w:t>
            </w:r>
            <w:r>
              <w:rPr>
                <w:sz w:val="9"/>
              </w:rPr>
              <w:t>(4)</w:t>
            </w:r>
            <w:r>
              <w:rPr>
                <w:sz w:val="14"/>
              </w:rPr>
              <w:t xml:space="preserve"> </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81" w:type="dxa"/>
            <w:tcBorders>
              <w:bottom w:val="single" w:sz="2" w:space="0" w:color="1F2668"/>
            </w:tcBorders>
            <w:tcMar>
              <w:bottom w:w="69" w:type="dxa"/>
            </w:tcMar>
            <w:vAlign w:val="center"/>
          </w:tcPr>
          <w:p>
            <w:pPr>
              <w:pStyle w:val="TableContents"/>
              <w:bidi w:val="0"/>
              <w:spacing w:before="0" w:after="0"/>
              <w:jc w:val="right"/>
              <w:rPr>
                <w:sz w:val="14"/>
              </w:rPr>
            </w:pPr>
            <w:r>
              <w:rPr>
                <w:sz w:val="14"/>
              </w:rPr>
              <w:t>$</w:t>
            </w:r>
          </w:p>
        </w:tc>
        <w:tc>
          <w:tcPr>
            <w:tcW w:w="721" w:type="dxa"/>
            <w:tcBorders>
              <w:bottom w:val="single" w:sz="2" w:space="0" w:color="1F2668"/>
            </w:tcBorders>
            <w:tcMar>
              <w:bottom w:w="69" w:type="dxa"/>
            </w:tcMar>
            <w:vAlign w:val="center"/>
          </w:tcPr>
          <w:p>
            <w:pPr>
              <w:pStyle w:val="TableContents"/>
              <w:bidi w:val="0"/>
              <w:spacing w:before="0" w:after="0"/>
              <w:jc w:val="right"/>
              <w:rPr>
                <w:sz w:val="14"/>
              </w:rPr>
            </w:pPr>
            <w:r>
              <w:rPr>
                <w:sz w:val="14"/>
              </w:rPr>
              <w:t>600,000</w:t>
            </w:r>
            <w:r>
              <w:rPr>
                <w:sz w:val="9"/>
              </w:rPr>
              <w:t>(4)</w:t>
            </w:r>
            <w:r>
              <w:rPr>
                <w:sz w:val="14"/>
              </w:rPr>
              <w:t xml:space="preserve"> </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81" w:type="dxa"/>
            <w:tcBorders>
              <w:bottom w:val="single" w:sz="2" w:space="0" w:color="1F2668"/>
            </w:tcBorders>
            <w:tcMar>
              <w:bottom w:w="69" w:type="dxa"/>
            </w:tcMar>
            <w:vAlign w:val="center"/>
          </w:tcPr>
          <w:p>
            <w:pPr>
              <w:pStyle w:val="TableContents"/>
              <w:bidi w:val="0"/>
              <w:spacing w:before="0" w:after="0"/>
              <w:jc w:val="right"/>
              <w:rPr>
                <w:sz w:val="14"/>
              </w:rPr>
            </w:pPr>
            <w:r>
              <w:rPr>
                <w:sz w:val="14"/>
              </w:rPr>
              <w:t>$</w:t>
            </w:r>
          </w:p>
        </w:tc>
        <w:tc>
          <w:tcPr>
            <w:tcW w:w="721" w:type="dxa"/>
            <w:tcBorders>
              <w:bottom w:val="single" w:sz="2" w:space="0" w:color="1F2668"/>
            </w:tcBorders>
            <w:tcMar>
              <w:bottom w:w="69" w:type="dxa"/>
            </w:tcMar>
            <w:vAlign w:val="center"/>
          </w:tcPr>
          <w:p>
            <w:pPr>
              <w:pStyle w:val="TableContents"/>
              <w:bidi w:val="0"/>
              <w:spacing w:before="0" w:after="0"/>
              <w:jc w:val="right"/>
              <w:rPr>
                <w:sz w:val="14"/>
              </w:rPr>
            </w:pPr>
            <w:r>
              <w:rPr>
                <w:sz w:val="14"/>
              </w:rPr>
              <w:t>900,000</w:t>
            </w:r>
            <w:r>
              <w:rPr>
                <w:sz w:val="9"/>
              </w:rPr>
              <w:t>(4)</w:t>
            </w:r>
            <w:r>
              <w:rPr>
                <w:sz w:val="14"/>
              </w:rPr>
              <w:t xml:space="preserve"> </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69" w:type="dxa"/>
            </w:tcMar>
            <w:vAlign w:val="center"/>
          </w:tcPr>
          <w:p>
            <w:pPr>
              <w:pStyle w:val="TableContents"/>
              <w:bidi w:val="0"/>
              <w:spacing w:before="0" w:after="0"/>
              <w:jc w:val="right"/>
              <w:rPr/>
            </w:pPr>
            <w:r>
              <w:rPr/>
              <w:t>​</w:t>
            </w:r>
          </w:p>
        </w:tc>
        <w:tc>
          <w:tcPr>
            <w:tcW w:w="541" w:type="dxa"/>
            <w:tcBorders>
              <w:bottom w:val="single" w:sz="2" w:space="0" w:color="1F2668"/>
            </w:tcBorders>
            <w:tcMar>
              <w:bottom w:w="69" w:type="dxa"/>
            </w:tcMar>
            <w:vAlign w:val="center"/>
          </w:tcPr>
          <w:p>
            <w:pPr>
              <w:pStyle w:val="TableContents"/>
              <w:bidi w:val="0"/>
              <w:spacing w:before="0" w:after="0"/>
              <w:jc w:val="righ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69" w:type="dxa"/>
            </w:tcMar>
            <w:vAlign w:val="center"/>
          </w:tcPr>
          <w:p>
            <w:pPr>
              <w:pStyle w:val="TableContents"/>
              <w:bidi w:val="0"/>
              <w:spacing w:before="0" w:after="0"/>
              <w:jc w:val="right"/>
              <w:rPr/>
            </w:pPr>
            <w:r>
              <w:rPr/>
              <w:t>​</w:t>
            </w:r>
          </w:p>
        </w:tc>
        <w:tc>
          <w:tcPr>
            <w:tcW w:w="541" w:type="dxa"/>
            <w:tcBorders>
              <w:bottom w:val="single" w:sz="2" w:space="0" w:color="1F2668"/>
            </w:tcBorders>
            <w:tcMar>
              <w:bottom w:w="69" w:type="dxa"/>
            </w:tcMar>
            <w:vAlign w:val="center"/>
          </w:tcPr>
          <w:p>
            <w:pPr>
              <w:pStyle w:val="TableContents"/>
              <w:bidi w:val="0"/>
              <w:spacing w:before="0" w:after="0"/>
              <w:jc w:val="righ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69" w:type="dxa"/>
            </w:tcMar>
            <w:vAlign w:val="center"/>
          </w:tcPr>
          <w:p>
            <w:pPr>
              <w:pStyle w:val="TableContents"/>
              <w:bidi w:val="0"/>
              <w:spacing w:before="0" w:after="0"/>
              <w:jc w:val="right"/>
              <w:rPr/>
            </w:pPr>
            <w:r>
              <w:rPr/>
              <w:t>​</w:t>
            </w:r>
          </w:p>
        </w:tc>
        <w:tc>
          <w:tcPr>
            <w:tcW w:w="616" w:type="dxa"/>
            <w:tcBorders>
              <w:bottom w:val="single" w:sz="2" w:space="0" w:color="1F2668"/>
            </w:tcBorders>
            <w:tcMar>
              <w:bottom w:w="69" w:type="dxa"/>
            </w:tcMar>
            <w:vAlign w:val="center"/>
          </w:tcPr>
          <w:p>
            <w:pPr>
              <w:pStyle w:val="TableContents"/>
              <w:bidi w:val="0"/>
              <w:spacing w:before="0" w:after="0"/>
              <w:jc w:val="righ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69" w:type="dxa"/>
            </w:tcMar>
            <w:vAlign w:val="center"/>
          </w:tcPr>
          <w:p>
            <w:pPr>
              <w:pStyle w:val="TableContents"/>
              <w:bidi w:val="0"/>
              <w:spacing w:before="0" w:after="0"/>
              <w:jc w:val="right"/>
              <w:rPr/>
            </w:pPr>
            <w:r>
              <w:rPr/>
              <w:t>​</w:t>
            </w:r>
          </w:p>
        </w:tc>
        <w:tc>
          <w:tcPr>
            <w:tcW w:w="616" w:type="dxa"/>
            <w:tcBorders>
              <w:bottom w:val="single" w:sz="2" w:space="0" w:color="1F2668"/>
            </w:tcBorders>
            <w:tcMar>
              <w:bottom w:w="69" w:type="dxa"/>
            </w:tcMar>
            <w:vAlign w:val="center"/>
          </w:tcPr>
          <w:p>
            <w:pPr>
              <w:pStyle w:val="TableContents"/>
              <w:bidi w:val="0"/>
              <w:spacing w:before="0" w:after="0"/>
              <w:jc w:val="righ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69" w:type="dxa"/>
            </w:tcMar>
            <w:vAlign w:val="center"/>
          </w:tcPr>
          <w:p>
            <w:pPr>
              <w:pStyle w:val="TableContents"/>
              <w:bidi w:val="0"/>
              <w:spacing w:before="0" w:after="0"/>
              <w:jc w:val="right"/>
              <w:rPr/>
            </w:pPr>
            <w:r>
              <w:rPr/>
              <w:t>​</w:t>
            </w:r>
          </w:p>
        </w:tc>
        <w:tc>
          <w:tcPr>
            <w:tcW w:w="346" w:type="dxa"/>
            <w:tcBorders>
              <w:bottom w:val="single" w:sz="2" w:space="0" w:color="1F2668"/>
            </w:tcBorders>
            <w:tcMar>
              <w:bottom w:w="69" w:type="dxa"/>
            </w:tcMar>
            <w:vAlign w:val="center"/>
          </w:tcPr>
          <w:p>
            <w:pPr>
              <w:pStyle w:val="TableContents"/>
              <w:bidi w:val="0"/>
              <w:spacing w:before="0" w:after="0"/>
              <w:jc w:val="righ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0"/>
              <w:jc w:val="right"/>
              <w:rPr/>
            </w:pPr>
            <w:r>
              <w:rPr/>
              <w:t>​</w:t>
            </w:r>
          </w:p>
          <w:p>
            <w:pPr>
              <w:pStyle w:val="TableContents"/>
              <w:bidi w:val="0"/>
              <w:spacing w:before="0" w:after="0"/>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0"/>
              <w:jc w:val="right"/>
              <w:rPr/>
            </w:pPr>
            <w:r>
              <w:rPr/>
              <w:t>​</w:t>
            </w:r>
          </w:p>
          <w:p>
            <w:pPr>
              <w:pStyle w:val="TableContents"/>
              <w:bidi w:val="0"/>
              <w:spacing w:before="0" w:after="0"/>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bl>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240"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Represents grants of LTIP units awarded in connection with our respective employment agreements with Mr. Holliday, Mr. DiLiberto and Mr. Levine. For Mr. Holliday and Mr. Levine, the LTIP units vest in three equal installments on each of January 1, 2026, January 1, 2027 and January 1, 2028 and for Mr. DiLiberto, the LTIP units vest on January 1, 2026, subject in each case to continued employment.</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52400" distB="0" distL="0" distR="0" simplePos="0" locked="0" layoutInCell="1" allowOverlap="1" relativeHeight="711">
                <wp:simplePos x="0" y="0"/>
                <wp:positionH relativeFrom="column">
                  <wp:align>left</wp:align>
                </wp:positionH>
                <wp:positionV relativeFrom="line">
                  <wp:align>top</wp:align>
                </wp:positionV>
                <wp:extent cx="254000" cy="254000"/>
                <wp:effectExtent l="0" t="0" r="0" b="0"/>
                <wp:wrapSquare wrapText="right"/>
                <wp:docPr id="812" name="Frame462"/>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2"/>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2"/>
                          <w:sz w:val="16"/>
                        </w:rPr>
                        <w:t>(1)</w:t>
                      </w:r>
                      <w:r>
                        <w:rPr>
                          <w:sz w:val="16"/>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Represents LTIP units granted as 2025 annual performance-based equity awards that were subject to performance-based vesting hurdles. The amount shown in the “Threshold” column of the table reflects the total number of LTIP units that would be earned at threshold performance with respect to the operating performance metrics and the relative TSR metrics, as applicable, after giving effect to the applicable maximum downward modifier. The amount shown in the “Maximum” column reflects the total number of LTIP units that would be earned at maximum performance with respect to the operating performance metrics and the relative TSR metrics, as applicable, after giving effect to the applicable maximum upward modifier. See “—Compensation Discussion and Analysis-Our 2025 Executive Compensation Program” for a description of the terms of these performance-based awards and the Company’s estimated performance as of December 31, 2025.</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712">
                <wp:simplePos x="0" y="0"/>
                <wp:positionH relativeFrom="column">
                  <wp:align>left</wp:align>
                </wp:positionH>
                <wp:positionV relativeFrom="line">
                  <wp:align>top</wp:align>
                </wp:positionV>
                <wp:extent cx="254000" cy="254000"/>
                <wp:effectExtent l="0" t="0" r="0" b="0"/>
                <wp:wrapSquare wrapText="right"/>
                <wp:docPr id="813" name="Frame463"/>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2"/>
                                <w:sz w:val="16"/>
                              </w:rPr>
                              <w:t>(2)</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2"/>
                          <w:sz w:val="16"/>
                        </w:rPr>
                        <w:t>(2)</w:t>
                      </w:r>
                      <w:r>
                        <w:rPr>
                          <w:sz w:val="16"/>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This grant of LTIP units vested immediately upon grant, but remains subject to a three-year restriction on transfer from the date of grant.</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713">
                <wp:simplePos x="0" y="0"/>
                <wp:positionH relativeFrom="column">
                  <wp:align>left</wp:align>
                </wp:positionH>
                <wp:positionV relativeFrom="line">
                  <wp:align>top</wp:align>
                </wp:positionV>
                <wp:extent cx="254000" cy="254000"/>
                <wp:effectExtent l="0" t="0" r="0" b="0"/>
                <wp:wrapSquare wrapText="right"/>
                <wp:docPr id="814" name="Frame464"/>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2"/>
                                <w:sz w:val="16"/>
                              </w:rPr>
                              <w:t>(3)</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2"/>
                          <w:sz w:val="16"/>
                        </w:rPr>
                        <w:t>(3)</w:t>
                      </w:r>
                      <w:r>
                        <w:rPr>
                          <w:sz w:val="16"/>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Represents cash payouts that were possible pursuant to the formulaic component of our annual bonus program for 2025. See “—Compensation Discussion and Analysis-Our 2025 Executive Compensation Program” for a description of these awards. Grants of all equity awards were made pursuant to the Fifth Amended and Restated 2005 Stock Option and Incentive Plan. LTIP units that are only subject to time-based vesting based on continued employment through a specified date (and have not been forfeited) generally entitle executives to receive cash dividends, dividend equivalents or distributions whether or not then vested. LTIP units that are subject to performance-based vesting hurdles do not entitle the holder to receive distributions prior to the achievement of these hurdles. If and when performance-based vesting occurs, the holders are entitled to receive a combination of cash payments and distributions with respect to all LTIP units that are earned equal to the amounts that would have been received if the earned LTIP units had been entitled to receive full distributions from the beginning of the applicable performance period.</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714">
                <wp:simplePos x="0" y="0"/>
                <wp:positionH relativeFrom="column">
                  <wp:align>left</wp:align>
                </wp:positionH>
                <wp:positionV relativeFrom="line">
                  <wp:align>top</wp:align>
                </wp:positionV>
                <wp:extent cx="254000" cy="254000"/>
                <wp:effectExtent l="0" t="0" r="0" b="0"/>
                <wp:wrapSquare wrapText="right"/>
                <wp:docPr id="815" name="Frame465"/>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2"/>
                                <w:sz w:val="16"/>
                              </w:rPr>
                              <w:t>(4)</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2"/>
                          <w:sz w:val="16"/>
                        </w:rPr>
                        <w:t>(4)</w:t>
                      </w:r>
                      <w:r>
                        <w:rPr>
                          <w:sz w:val="16"/>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Arial;Helvetica;sans-serif" w:hAnsi="Arial;Helvetica;sans-serif"/>
          <w:b w:val="false"/>
          <w:i w:val="false"/>
          <w:caps w:val="false"/>
          <w:smallCaps w:val="false"/>
          <w:color w:val="000000"/>
          <w:spacing w:val="-2"/>
          <w:sz w:val="18"/>
        </w:rPr>
      </w:pPr>
      <w:r>
        <w:rPr>
          <w:rFonts w:ascii="Arial;Helvetica;sans-serif" w:hAnsi="Arial;Helvetica;sans-serif"/>
          <w:b w:val="false"/>
          <w:i w:val="false"/>
          <w:caps w:val="false"/>
          <w:smallCaps w:val="false"/>
          <w:color w:val="000000"/>
          <w:spacing w:val="-2"/>
          <w:sz w:val="18"/>
        </w:rPr>
        <w:t xml:space="preserve">See “Potential Payments Upon Termination or Change in Control” below, for a discussion regarding potential acceleration of the equity awards and a description of the material terms of each named executive officer’s employment agreement.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4330" w:type="dxa"/>
        <w:jc w:val="left"/>
        <w:tblInd w:w="900" w:type="dxa"/>
        <w:tblLayout w:type="fixed"/>
        <w:tblCellMar>
          <w:top w:w="0" w:type="dxa"/>
          <w:left w:w="0" w:type="dxa"/>
          <w:bottom w:w="0" w:type="dxa"/>
          <w:right w:w="0" w:type="dxa"/>
        </w:tblCellMar>
      </w:tblPr>
      <w:tblGrid>
        <w:gridCol w:w="124"/>
        <w:gridCol w:w="3488"/>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3488" w:type="dxa"/>
            <w:tcBorders/>
            <w:vAlign w:val="center"/>
          </w:tcPr>
          <w:p>
            <w:pPr>
              <w:pStyle w:val="TableContents"/>
              <w:bidi w:val="0"/>
              <w:spacing w:lineRule="atLeast" w:line="200" w:before="0" w:after="0"/>
              <w:jc w:val="left"/>
              <w:rPr/>
            </w:pPr>
            <w:r>
              <w:rPr>
                <w:spacing w:val="-2"/>
              </w:rPr>
              <w:t>EXECUTIVE COMPENSATION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color w:val="1F2668"/>
                <w:sz w:val="24"/>
              </w:rPr>
            </w:pPr>
            <w:r>
              <w:rPr>
                <w:color w:val="1F2668"/>
                <w:sz w:val="24"/>
              </w:rPr>
              <w:t>69</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300" w:before="560" w:after="154"/>
        <w:ind w:left="900" w:right="0" w:hanging="0"/>
        <w:jc w:val="left"/>
        <w:rPr>
          <w:rFonts w:ascii="Arial;Helvetica;sans-serif" w:hAnsi="Arial;Helvetica;sans-serif"/>
          <w:b/>
          <w:i w:val="false"/>
          <w:caps w:val="false"/>
          <w:smallCaps w:val="false"/>
          <w:color w:val="1F2668"/>
          <w:sz w:val="26"/>
        </w:rPr>
      </w:pPr>
      <w:r>
        <w:rPr>
          <w:rFonts w:ascii="Arial;Helvetica;sans-serif" w:hAnsi="Arial;Helvetica;sans-serif"/>
          <w:b/>
          <w:i w:val="false"/>
          <w:caps w:val="false"/>
          <w:smallCaps w:val="false"/>
          <w:color w:val="1F2668"/>
          <w:spacing w:val="-3"/>
          <w:sz w:val="26"/>
        </w:rPr>
        <w:t>Outstanding Equity Awards at Fiscal Year-End 2025</w:t>
      </w:r>
      <w:r>
        <w:rPr>
          <w:rFonts w:ascii="Arial;Helvetica;sans-serif" w:hAnsi="Arial;Helvetica;sans-serif"/>
          <w:b/>
          <w:i w:val="false"/>
          <w:caps w:val="false"/>
          <w:smallCaps w:val="false"/>
          <w:color w:val="000000"/>
          <w:spacing w:val="5"/>
          <w:sz w:val="26"/>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The following table sets forth certain information with respect to outstanding equity awards held by each named executive officer at the fiscal year ended December 31, 2025.</w:t>
      </w:r>
      <w:r>
        <w:rPr>
          <w:rFonts w:ascii="Arial;Helvetica;sans-serif" w:hAnsi="Arial;Helvetica;sans-serif"/>
          <w:b w:val="false"/>
          <w:i w:val="false"/>
          <w:caps w:val="false"/>
          <w:smallCaps w:val="false"/>
          <w:color w:val="000000"/>
          <w:spacing w:val="4"/>
          <w:sz w:val="18"/>
        </w:rPr>
        <w:t xml:space="preserve"> </w:t>
      </w:r>
    </w:p>
    <w:tbl>
      <w:tblPr>
        <w:tblW w:w="11212" w:type="dxa"/>
        <w:jc w:val="left"/>
        <w:tblInd w:w="900" w:type="dxa"/>
        <w:tblLayout w:type="fixed"/>
        <w:tblCellMar>
          <w:top w:w="0" w:type="dxa"/>
          <w:left w:w="0" w:type="dxa"/>
          <w:bottom w:w="0" w:type="dxa"/>
          <w:right w:w="0" w:type="dxa"/>
        </w:tblCellMar>
      </w:tblPr>
      <w:tblGrid>
        <w:gridCol w:w="855"/>
        <w:gridCol w:w="109"/>
        <w:gridCol w:w="109"/>
        <w:gridCol w:w="109"/>
        <w:gridCol w:w="109"/>
        <w:gridCol w:w="631"/>
        <w:gridCol w:w="109"/>
        <w:gridCol w:w="109"/>
        <w:gridCol w:w="109"/>
        <w:gridCol w:w="109"/>
        <w:gridCol w:w="109"/>
        <w:gridCol w:w="730"/>
        <w:gridCol w:w="109"/>
        <w:gridCol w:w="109"/>
        <w:gridCol w:w="109"/>
        <w:gridCol w:w="109"/>
        <w:gridCol w:w="196"/>
        <w:gridCol w:w="601"/>
        <w:gridCol w:w="109"/>
        <w:gridCol w:w="109"/>
        <w:gridCol w:w="109"/>
        <w:gridCol w:w="109"/>
        <w:gridCol w:w="109"/>
        <w:gridCol w:w="496"/>
        <w:gridCol w:w="109"/>
        <w:gridCol w:w="109"/>
        <w:gridCol w:w="109"/>
        <w:gridCol w:w="109"/>
        <w:gridCol w:w="109"/>
        <w:gridCol w:w="691"/>
        <w:gridCol w:w="109"/>
        <w:gridCol w:w="109"/>
        <w:gridCol w:w="109"/>
        <w:gridCol w:w="109"/>
        <w:gridCol w:w="196"/>
        <w:gridCol w:w="916"/>
        <w:gridCol w:w="109"/>
        <w:gridCol w:w="109"/>
        <w:gridCol w:w="109"/>
        <w:gridCol w:w="109"/>
        <w:gridCol w:w="109"/>
        <w:gridCol w:w="691"/>
        <w:gridCol w:w="109"/>
        <w:gridCol w:w="109"/>
        <w:gridCol w:w="109"/>
        <w:gridCol w:w="109"/>
        <w:gridCol w:w="196"/>
        <w:gridCol w:w="826"/>
        <w:gridCol w:w="109"/>
        <w:gridCol w:w="154"/>
      </w:tblGrid>
      <w:tr>
        <w:trPr/>
        <w:tc>
          <w:tcPr>
            <w:tcW w:w="85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4507" w:type="dxa"/>
            <w:gridSpan w:val="22"/>
            <w:tcBorders>
              <w:bottom w:val="single" w:sz="2" w:space="0" w:color="1F2668"/>
            </w:tcBorders>
            <w:tcMar>
              <w:bottom w:w="70" w:type="dxa"/>
            </w:tcMar>
            <w:vAlign w:val="center"/>
          </w:tcPr>
          <w:p>
            <w:pPr>
              <w:pStyle w:val="TableContents"/>
              <w:bidi w:val="0"/>
              <w:spacing w:lineRule="atLeast" w:line="180" w:before="0" w:after="0"/>
              <w:jc w:val="center"/>
              <w:rPr>
                <w:spacing w:val="-2"/>
                <w:sz w:val="16"/>
              </w:rPr>
            </w:pPr>
            <w:r>
              <w:rPr>
                <w:spacing w:val="-2"/>
                <w:sz w:val="16"/>
              </w:rPr>
              <w:t xml:space="preserve">Option Awards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260" w:type="dxa"/>
            <w:gridSpan w:val="22"/>
            <w:tcBorders>
              <w:bottom w:val="single" w:sz="2" w:space="0" w:color="1F2668"/>
            </w:tcBorders>
            <w:tcMar>
              <w:bottom w:w="70" w:type="dxa"/>
            </w:tcMar>
            <w:vAlign w:val="center"/>
          </w:tcPr>
          <w:p>
            <w:pPr>
              <w:pStyle w:val="TableContents"/>
              <w:bidi w:val="0"/>
              <w:spacing w:lineRule="atLeast" w:line="180" w:before="0" w:after="0"/>
              <w:jc w:val="center"/>
              <w:rPr>
                <w:spacing w:val="-2"/>
                <w:sz w:val="16"/>
              </w:rPr>
            </w:pPr>
            <w:r>
              <w:rPr>
                <w:spacing w:val="-2"/>
                <w:sz w:val="16"/>
              </w:rPr>
              <w:t xml:space="preserve">Stock Awards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855" w:type="dxa"/>
            <w:tcBorders>
              <w:bottom w:val="single" w:sz="2" w:space="0" w:color="1F2668"/>
            </w:tcBorders>
            <w:tcMar>
              <w:bottom w:w="63" w:type="dxa"/>
            </w:tcMar>
            <w:vAlign w:val="center"/>
          </w:tcPr>
          <w:p>
            <w:pPr>
              <w:pStyle w:val="TableContents"/>
              <w:bidi w:val="0"/>
              <w:spacing w:lineRule="atLeast" w:line="180" w:before="0" w:after="0"/>
              <w:jc w:val="left"/>
              <w:rPr>
                <w:spacing w:val="-2"/>
                <w:sz w:val="16"/>
              </w:rPr>
            </w:pPr>
            <w:r>
              <w:rPr>
                <w:spacing w:val="-2"/>
                <w:sz w:val="16"/>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58" w:type="dxa"/>
            <w:gridSpan w:val="4"/>
            <w:tcBorders>
              <w:bottom w:val="single" w:sz="2" w:space="0" w:color="1F2668"/>
            </w:tcBorders>
            <w:tcMar>
              <w:bottom w:w="63" w:type="dxa"/>
            </w:tcMar>
            <w:vAlign w:val="center"/>
          </w:tcPr>
          <w:p>
            <w:pPr>
              <w:pStyle w:val="TableContents"/>
              <w:bidi w:val="0"/>
              <w:spacing w:lineRule="atLeast" w:line="180" w:before="0" w:after="0"/>
              <w:jc w:val="right"/>
              <w:rPr>
                <w:sz w:val="16"/>
              </w:rPr>
            </w:pPr>
            <w:r>
              <w:rPr>
                <w:spacing w:val="-2"/>
                <w:sz w:val="16"/>
              </w:rPr>
              <w:t xml:space="preserve">Number of </w:t>
              <w:br/>
              <w:t xml:space="preserve">Securities </w:t>
              <w:br/>
              <w:t xml:space="preserve">Underlying </w:t>
              <w:br/>
              <w:t xml:space="preserve">Unexercised </w:t>
              <w:br/>
              <w:t xml:space="preserve">Options (#) </w:t>
              <w:br/>
              <w:t>Exercisable</w:t>
            </w:r>
            <w:r>
              <w:rPr>
                <w:sz w:val="16"/>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57" w:type="dxa"/>
            <w:gridSpan w:val="4"/>
            <w:tcBorders>
              <w:bottom w:val="single" w:sz="2" w:space="0" w:color="1F2668"/>
            </w:tcBorders>
            <w:tcMar>
              <w:bottom w:w="63" w:type="dxa"/>
            </w:tcMar>
            <w:vAlign w:val="center"/>
          </w:tcPr>
          <w:p>
            <w:pPr>
              <w:pStyle w:val="TableContents"/>
              <w:bidi w:val="0"/>
              <w:spacing w:lineRule="atLeast" w:line="180" w:before="0" w:after="0"/>
              <w:jc w:val="right"/>
              <w:rPr>
                <w:sz w:val="16"/>
              </w:rPr>
            </w:pPr>
            <w:r>
              <w:rPr>
                <w:spacing w:val="-2"/>
                <w:sz w:val="16"/>
              </w:rPr>
              <w:t xml:space="preserve">Number of </w:t>
              <w:br/>
              <w:t xml:space="preserve">Securities </w:t>
              <w:br/>
              <w:t xml:space="preserve">Underlying </w:t>
              <w:br/>
              <w:t xml:space="preserve">Unexercised </w:t>
              <w:br/>
              <w:t xml:space="preserve">Options (#) </w:t>
              <w:br/>
              <w:t>Unexercisable</w:t>
            </w:r>
            <w:r>
              <w:rPr>
                <w:sz w:val="16"/>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15" w:type="dxa"/>
            <w:gridSpan w:val="4"/>
            <w:tcBorders>
              <w:bottom w:val="single" w:sz="2" w:space="0" w:color="1F2668"/>
            </w:tcBorders>
            <w:tcMar>
              <w:bottom w:w="63" w:type="dxa"/>
            </w:tcMar>
            <w:vAlign w:val="center"/>
          </w:tcPr>
          <w:p>
            <w:pPr>
              <w:pStyle w:val="TableContents"/>
              <w:bidi w:val="0"/>
              <w:spacing w:lineRule="atLeast" w:line="180" w:before="0" w:after="0"/>
              <w:jc w:val="right"/>
              <w:rPr>
                <w:sz w:val="16"/>
              </w:rPr>
            </w:pPr>
            <w:r>
              <w:rPr>
                <w:spacing w:val="-2"/>
                <w:sz w:val="16"/>
              </w:rPr>
              <w:t xml:space="preserve">Option </w:t>
              <w:br/>
              <w:t xml:space="preserve">Exercise </w:t>
              <w:br/>
              <w:t xml:space="preserve">Price </w:t>
              <w:br/>
              <w:t>($)</w:t>
            </w:r>
            <w:r>
              <w:rPr>
                <w:sz w:val="16"/>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23" w:type="dxa"/>
            <w:gridSpan w:val="4"/>
            <w:tcBorders>
              <w:bottom w:val="single" w:sz="2" w:space="0" w:color="1F2668"/>
            </w:tcBorders>
            <w:tcMar>
              <w:bottom w:w="63" w:type="dxa"/>
            </w:tcMar>
            <w:vAlign w:val="center"/>
          </w:tcPr>
          <w:p>
            <w:pPr>
              <w:pStyle w:val="TableContents"/>
              <w:bidi w:val="0"/>
              <w:spacing w:lineRule="atLeast" w:line="180" w:before="0" w:after="0"/>
              <w:jc w:val="right"/>
              <w:rPr>
                <w:sz w:val="16"/>
              </w:rPr>
            </w:pPr>
            <w:r>
              <w:rPr>
                <w:spacing w:val="-2"/>
                <w:sz w:val="16"/>
              </w:rPr>
              <w:t xml:space="preserve">Option </w:t>
              <w:br/>
              <w:t xml:space="preserve">Expiration </w:t>
              <w:br/>
              <w:t>Date</w:t>
            </w:r>
            <w:r>
              <w:rPr>
                <w:sz w:val="16"/>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18" w:type="dxa"/>
            <w:gridSpan w:val="4"/>
            <w:tcBorders>
              <w:bottom w:val="single" w:sz="2" w:space="0" w:color="1F2668"/>
            </w:tcBorders>
            <w:tcMar>
              <w:bottom w:w="63" w:type="dxa"/>
            </w:tcMar>
            <w:vAlign w:val="center"/>
          </w:tcPr>
          <w:p>
            <w:pPr>
              <w:pStyle w:val="TableContents"/>
              <w:bidi w:val="0"/>
              <w:spacing w:lineRule="atLeast" w:line="142" w:before="0" w:after="0"/>
              <w:jc w:val="right"/>
              <w:rPr>
                <w:sz w:val="16"/>
              </w:rPr>
            </w:pPr>
            <w:r>
              <w:rPr>
                <w:spacing w:val="-2"/>
                <w:sz w:val="16"/>
              </w:rPr>
              <w:t xml:space="preserve">Number </w:t>
              <w:br/>
              <w:t xml:space="preserve">of Shares </w:t>
              <w:br/>
              <w:t xml:space="preserve">or Units of </w:t>
              <w:br/>
              <w:t xml:space="preserve">Stock That </w:t>
              <w:br/>
              <w:t xml:space="preserve">Have Not </w:t>
              <w:br/>
              <w:t>Vested(#)</w:t>
            </w:r>
            <w:r>
              <w:rPr>
                <w:b/>
                <w:spacing w:val="-1"/>
                <w:sz w:val="10"/>
              </w:rPr>
              <w:t>(1)</w:t>
            </w:r>
            <w:r>
              <w:rPr>
                <w:sz w:val="16"/>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30" w:type="dxa"/>
            <w:gridSpan w:val="4"/>
            <w:tcBorders>
              <w:bottom w:val="single" w:sz="2" w:space="0" w:color="1F2668"/>
            </w:tcBorders>
            <w:tcMar>
              <w:bottom w:w="63" w:type="dxa"/>
            </w:tcMar>
            <w:vAlign w:val="center"/>
          </w:tcPr>
          <w:p>
            <w:pPr>
              <w:pStyle w:val="TableContents"/>
              <w:bidi w:val="0"/>
              <w:spacing w:lineRule="atLeast" w:line="142" w:before="0" w:after="0"/>
              <w:jc w:val="right"/>
              <w:rPr>
                <w:sz w:val="16"/>
              </w:rPr>
            </w:pPr>
            <w:r>
              <w:rPr>
                <w:spacing w:val="-2"/>
                <w:sz w:val="16"/>
              </w:rPr>
              <w:t xml:space="preserve">Market Value </w:t>
              <w:br/>
              <w:t xml:space="preserve">of Shares or </w:t>
              <w:br/>
              <w:t xml:space="preserve">Units of Stock </w:t>
              <w:br/>
              <w:t xml:space="preserve">That Have Not </w:t>
              <w:br/>
              <w:t>Vested</w:t>
            </w:r>
            <w:r>
              <w:rPr>
                <w:b/>
                <w:spacing w:val="-1"/>
                <w:sz w:val="10"/>
              </w:rPr>
              <w:t>(2)</w:t>
            </w:r>
            <w:r>
              <w:rPr>
                <w:sz w:val="16"/>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18" w:type="dxa"/>
            <w:gridSpan w:val="4"/>
            <w:tcBorders>
              <w:bottom w:val="single" w:sz="2" w:space="0" w:color="1F2668"/>
            </w:tcBorders>
            <w:tcMar>
              <w:bottom w:w="63" w:type="dxa"/>
            </w:tcMar>
            <w:vAlign w:val="center"/>
          </w:tcPr>
          <w:p>
            <w:pPr>
              <w:pStyle w:val="TableContents"/>
              <w:bidi w:val="0"/>
              <w:spacing w:lineRule="atLeast" w:line="142" w:before="0" w:after="0"/>
              <w:jc w:val="right"/>
              <w:rPr>
                <w:sz w:val="16"/>
              </w:rPr>
            </w:pPr>
            <w:r>
              <w:rPr>
                <w:spacing w:val="-2"/>
                <w:sz w:val="16"/>
              </w:rPr>
              <w:t xml:space="preserve">Equity </w:t>
              <w:br/>
              <w:t xml:space="preserve">Incentive </w:t>
              <w:br/>
              <w:t xml:space="preserve">Plan Awards: </w:t>
              <w:br/>
              <w:t xml:space="preserve">Number of </w:t>
              <w:br/>
              <w:t xml:space="preserve">Unearned </w:t>
              <w:br/>
              <w:t xml:space="preserve">Shares, Units </w:t>
              <w:br/>
              <w:t xml:space="preserve">or Other Rights </w:t>
              <w:br/>
              <w:t xml:space="preserve">That Have Not </w:t>
              <w:br/>
              <w:t>Vested (#)</w:t>
            </w:r>
            <w:r>
              <w:rPr>
                <w:b/>
                <w:spacing w:val="-1"/>
                <w:sz w:val="10"/>
              </w:rPr>
              <w:t>(3)</w:t>
            </w:r>
            <w:r>
              <w:rPr>
                <w:sz w:val="16"/>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40" w:type="dxa"/>
            <w:gridSpan w:val="4"/>
            <w:tcBorders>
              <w:bottom w:val="single" w:sz="2" w:space="0" w:color="1F2668"/>
            </w:tcBorders>
            <w:tcMar>
              <w:bottom w:w="63" w:type="dxa"/>
            </w:tcMar>
            <w:vAlign w:val="center"/>
          </w:tcPr>
          <w:p>
            <w:pPr>
              <w:pStyle w:val="TableContents"/>
              <w:bidi w:val="0"/>
              <w:spacing w:lineRule="atLeast" w:line="142" w:before="0" w:after="0"/>
              <w:jc w:val="right"/>
              <w:rPr>
                <w:sz w:val="16"/>
              </w:rPr>
            </w:pPr>
            <w:r>
              <w:rPr>
                <w:spacing w:val="-2"/>
                <w:sz w:val="16"/>
              </w:rPr>
              <w:t xml:space="preserve">Equity </w:t>
              <w:br/>
              <w:t xml:space="preserve">Incentive Plan  </w:t>
              <w:br/>
              <w:t xml:space="preserve">Awards: Market </w:t>
              <w:br/>
              <w:t xml:space="preserve">or Payout Value </w:t>
              <w:br/>
              <w:t xml:space="preserve">of Unearned </w:t>
              <w:br/>
              <w:t xml:space="preserve">Shares or Units </w:t>
              <w:br/>
              <w:t xml:space="preserve">or Other Rights </w:t>
              <w:br/>
              <w:t xml:space="preserve">that Have Not </w:t>
              <w:br/>
              <w:t>Vested</w:t>
            </w:r>
            <w:r>
              <w:rPr>
                <w:b/>
                <w:spacing w:val="-1"/>
                <w:sz w:val="10"/>
              </w:rPr>
              <w:t>(2)</w:t>
            </w:r>
            <w:r>
              <w:rPr>
                <w:sz w:val="16"/>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855" w:type="dxa"/>
            <w:vMerge w:val="restart"/>
            <w:tcBorders>
              <w:bottom w:val="single" w:sz="2" w:space="0" w:color="4B5088"/>
            </w:tcBorders>
            <w:tcMar>
              <w:bottom w:w="70" w:type="dxa"/>
            </w:tcMar>
            <w:vAlign w:val="center"/>
          </w:tcPr>
          <w:p>
            <w:pPr>
              <w:pStyle w:val="TableContents"/>
              <w:bidi w:val="0"/>
              <w:spacing w:before="0" w:after="0"/>
              <w:jc w:val="left"/>
              <w:rPr>
                <w:b/>
                <w:color w:val="1F2668"/>
                <w:sz w:val="18"/>
              </w:rPr>
            </w:pPr>
            <w:r>
              <w:rPr>
                <w:b/>
                <w:color w:val="1F2668"/>
                <w:spacing w:val="-2"/>
                <w:sz w:val="18"/>
              </w:rPr>
              <w:t>Marc Holliday</w:t>
            </w:r>
            <w:r>
              <w:rPr>
                <w:b/>
                <w:color w:val="1F2668"/>
                <w:sz w:val="18"/>
              </w:rPr>
              <w:t xml:space="preserve">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70" w:type="dxa"/>
            </w:tcMar>
            <w:vAlign w:val="center"/>
          </w:tcPr>
          <w:p>
            <w:pPr>
              <w:pStyle w:val="TableContents"/>
              <w:bidi w:val="0"/>
              <w:spacing w:lineRule="atLeast" w:line="200" w:before="0" w:after="0"/>
              <w:jc w:val="right"/>
              <w:rPr/>
            </w:pPr>
            <w:r>
              <w:rPr/>
              <w:t>​</w:t>
            </w:r>
          </w:p>
        </w:tc>
        <w:tc>
          <w:tcPr>
            <w:tcW w:w="631" w:type="dxa"/>
            <w:tcBorders>
              <w:bottom w:val="single" w:sz="2" w:space="0" w:color="4B5088"/>
            </w:tcBorders>
            <w:shd w:fill="E9F9D8" w:val="clear"/>
            <w:tcMar>
              <w:bottom w:w="70" w:type="dxa"/>
            </w:tcMar>
            <w:vAlign w:val="center"/>
          </w:tcPr>
          <w:p>
            <w:pPr>
              <w:pStyle w:val="TableContents"/>
              <w:bidi w:val="0"/>
              <w:spacing w:lineRule="atLeast" w:line="200" w:before="0" w:after="0"/>
              <w:jc w:val="right"/>
              <w:rPr>
                <w:sz w:val="18"/>
              </w:rPr>
            </w:pPr>
            <w:r>
              <w:rPr>
                <w:sz w:val="18"/>
              </w:rPr>
              <w:t>52,500</w:t>
            </w:r>
            <w:r>
              <w:rPr>
                <w:sz w:val="11"/>
              </w:rPr>
              <w:t>(4)</w:t>
            </w:r>
            <w:r>
              <w:rPr>
                <w:sz w:val="18"/>
              </w:rPr>
              <w:t xml:space="preserve"> </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70" w:type="dxa"/>
            </w:tcMar>
            <w:vAlign w:val="center"/>
          </w:tcPr>
          <w:p>
            <w:pPr>
              <w:pStyle w:val="TableContents"/>
              <w:bidi w:val="0"/>
              <w:spacing w:lineRule="atLeast" w:line="200" w:before="0" w:after="0"/>
              <w:jc w:val="right"/>
              <w:rPr/>
            </w:pPr>
            <w:r>
              <w:rPr/>
              <w:t>​</w:t>
            </w:r>
          </w:p>
        </w:tc>
        <w:tc>
          <w:tcPr>
            <w:tcW w:w="730" w:type="dxa"/>
            <w:tcBorders>
              <w:bottom w:val="single" w:sz="2" w:space="0" w:color="4B5088"/>
            </w:tcBorders>
            <w:shd w:fill="E9F9D8" w:val="clear"/>
            <w:tcMar>
              <w:bottom w:w="70" w:type="dxa"/>
            </w:tcMar>
            <w:vAlign w:val="center"/>
          </w:tcPr>
          <w:p>
            <w:pPr>
              <w:pStyle w:val="TableContents"/>
              <w:bidi w:val="0"/>
              <w:spacing w:lineRule="atLeast" w:line="200" w:before="0" w:after="0"/>
              <w:jc w:val="righ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96" w:type="dxa"/>
            <w:tcBorders>
              <w:bottom w:val="single" w:sz="2" w:space="0" w:color="4B5088"/>
            </w:tcBorders>
            <w:shd w:fill="E9F9D8" w:val="clear"/>
            <w:tcMar>
              <w:bottom w:w="70" w:type="dxa"/>
            </w:tcMar>
            <w:vAlign w:val="center"/>
          </w:tcPr>
          <w:p>
            <w:pPr>
              <w:pStyle w:val="TableContents"/>
              <w:bidi w:val="0"/>
              <w:spacing w:lineRule="atLeast" w:line="200" w:before="0" w:after="0"/>
              <w:jc w:val="right"/>
              <w:rPr>
                <w:sz w:val="18"/>
              </w:rPr>
            </w:pPr>
            <w:r>
              <w:rPr>
                <w:sz w:val="18"/>
              </w:rPr>
              <w:t>$</w:t>
            </w:r>
          </w:p>
        </w:tc>
        <w:tc>
          <w:tcPr>
            <w:tcW w:w="601" w:type="dxa"/>
            <w:tcBorders>
              <w:bottom w:val="single" w:sz="2" w:space="0" w:color="4B5088"/>
            </w:tcBorders>
            <w:shd w:fill="E9F9D8" w:val="clear"/>
            <w:tcMar>
              <w:bottom w:w="70" w:type="dxa"/>
            </w:tcMar>
            <w:vAlign w:val="center"/>
          </w:tcPr>
          <w:p>
            <w:pPr>
              <w:pStyle w:val="TableContents"/>
              <w:bidi w:val="0"/>
              <w:spacing w:lineRule="atLeast" w:line="200" w:before="0" w:after="0"/>
              <w:jc w:val="right"/>
              <w:rPr>
                <w:sz w:val="18"/>
              </w:rPr>
            </w:pPr>
            <w:r>
              <w:rPr>
                <w:sz w:val="18"/>
              </w:rPr>
              <w:t>99.86</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70" w:type="dxa"/>
            </w:tcMar>
            <w:vAlign w:val="center"/>
          </w:tcPr>
          <w:p>
            <w:pPr>
              <w:pStyle w:val="TableContents"/>
              <w:bidi w:val="0"/>
              <w:spacing w:lineRule="atLeast" w:line="200" w:before="0" w:after="0"/>
              <w:jc w:val="right"/>
              <w:rPr/>
            </w:pPr>
            <w:r>
              <w:rPr/>
              <w:t>​</w:t>
            </w:r>
          </w:p>
        </w:tc>
        <w:tc>
          <w:tcPr>
            <w:tcW w:w="496" w:type="dxa"/>
            <w:tcBorders>
              <w:bottom w:val="single" w:sz="2" w:space="0" w:color="4B5088"/>
            </w:tcBorders>
            <w:shd w:fill="E9F9D8" w:val="clear"/>
            <w:tcMar>
              <w:bottom w:w="70" w:type="dxa"/>
            </w:tcMar>
            <w:vAlign w:val="center"/>
          </w:tcPr>
          <w:p>
            <w:pPr>
              <w:pStyle w:val="TableContents"/>
              <w:bidi w:val="0"/>
              <w:spacing w:lineRule="atLeast" w:line="200" w:before="0" w:after="0"/>
              <w:jc w:val="right"/>
              <w:rPr>
                <w:sz w:val="18"/>
              </w:rPr>
            </w:pPr>
            <w:r>
              <w:rPr>
                <w:sz w:val="18"/>
              </w:rPr>
              <w:t>06/17/2026</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70" w:type="dxa"/>
            </w:tcMar>
            <w:vAlign w:val="center"/>
          </w:tcPr>
          <w:p>
            <w:pPr>
              <w:pStyle w:val="TableContents"/>
              <w:bidi w:val="0"/>
              <w:spacing w:lineRule="atLeast" w:line="200" w:before="0" w:after="0"/>
              <w:jc w:val="right"/>
              <w:rPr/>
            </w:pPr>
            <w:r>
              <w:rPr/>
              <w:t>​</w:t>
            </w:r>
          </w:p>
        </w:tc>
        <w:tc>
          <w:tcPr>
            <w:tcW w:w="691" w:type="dxa"/>
            <w:tcBorders>
              <w:bottom w:val="single" w:sz="2" w:space="0" w:color="4B5088"/>
            </w:tcBorders>
            <w:shd w:fill="E9F9D8" w:val="clear"/>
            <w:tcMar>
              <w:bottom w:w="70" w:type="dxa"/>
            </w:tcMar>
            <w:vAlign w:val="center"/>
          </w:tcPr>
          <w:p>
            <w:pPr>
              <w:pStyle w:val="TableContents"/>
              <w:bidi w:val="0"/>
              <w:spacing w:lineRule="atLeast" w:line="200" w:before="0" w:after="0"/>
              <w:jc w:val="right"/>
              <w:rPr>
                <w:sz w:val="18"/>
              </w:rPr>
            </w:pPr>
            <w:r>
              <w:rPr>
                <w:sz w:val="18"/>
              </w:rPr>
              <w:t>338,146</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96" w:type="dxa"/>
            <w:tcBorders>
              <w:bottom w:val="single" w:sz="2" w:space="0" w:color="4B5088"/>
            </w:tcBorders>
            <w:shd w:fill="E9F9D8" w:val="clear"/>
            <w:tcMar>
              <w:bottom w:w="70" w:type="dxa"/>
            </w:tcMar>
            <w:vAlign w:val="center"/>
          </w:tcPr>
          <w:p>
            <w:pPr>
              <w:pStyle w:val="TableContents"/>
              <w:bidi w:val="0"/>
              <w:spacing w:lineRule="atLeast" w:line="200" w:before="0" w:after="0"/>
              <w:jc w:val="right"/>
              <w:rPr>
                <w:sz w:val="18"/>
              </w:rPr>
            </w:pPr>
            <w:r>
              <w:rPr>
                <w:sz w:val="18"/>
              </w:rPr>
              <w:t>$</w:t>
            </w:r>
          </w:p>
        </w:tc>
        <w:tc>
          <w:tcPr>
            <w:tcW w:w="916" w:type="dxa"/>
            <w:tcBorders>
              <w:bottom w:val="single" w:sz="2" w:space="0" w:color="4B5088"/>
            </w:tcBorders>
            <w:shd w:fill="E9F9D8" w:val="clear"/>
            <w:tcMar>
              <w:bottom w:w="70" w:type="dxa"/>
            </w:tcMar>
            <w:vAlign w:val="center"/>
          </w:tcPr>
          <w:p>
            <w:pPr>
              <w:pStyle w:val="TableContents"/>
              <w:bidi w:val="0"/>
              <w:spacing w:lineRule="atLeast" w:line="200" w:before="0" w:after="0"/>
              <w:jc w:val="right"/>
              <w:rPr>
                <w:sz w:val="18"/>
              </w:rPr>
            </w:pPr>
            <w:r>
              <w:rPr>
                <w:sz w:val="18"/>
              </w:rPr>
              <w:t>15,510,757</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70" w:type="dxa"/>
            </w:tcMar>
            <w:vAlign w:val="center"/>
          </w:tcPr>
          <w:p>
            <w:pPr>
              <w:pStyle w:val="TableContents"/>
              <w:bidi w:val="0"/>
              <w:spacing w:lineRule="atLeast" w:line="200" w:before="0" w:after="0"/>
              <w:jc w:val="right"/>
              <w:rPr/>
            </w:pPr>
            <w:r>
              <w:rPr/>
              <w:t>​</w:t>
            </w:r>
          </w:p>
        </w:tc>
        <w:tc>
          <w:tcPr>
            <w:tcW w:w="691" w:type="dxa"/>
            <w:tcBorders>
              <w:bottom w:val="single" w:sz="2" w:space="0" w:color="4B5088"/>
            </w:tcBorders>
            <w:shd w:fill="E9F9D8" w:val="clear"/>
            <w:tcMar>
              <w:bottom w:w="70" w:type="dxa"/>
            </w:tcMar>
            <w:vAlign w:val="center"/>
          </w:tcPr>
          <w:p>
            <w:pPr>
              <w:pStyle w:val="TableContents"/>
              <w:bidi w:val="0"/>
              <w:spacing w:lineRule="atLeast" w:line="200" w:before="0" w:after="0"/>
              <w:jc w:val="right"/>
              <w:rPr>
                <w:sz w:val="18"/>
              </w:rPr>
            </w:pPr>
            <w:r>
              <w:rPr>
                <w:sz w:val="18"/>
              </w:rPr>
              <w:t>190,403</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96" w:type="dxa"/>
            <w:tcBorders>
              <w:bottom w:val="single" w:sz="2" w:space="0" w:color="4B5088"/>
            </w:tcBorders>
            <w:shd w:fill="E9F9D8" w:val="clear"/>
            <w:tcMar>
              <w:bottom w:w="70" w:type="dxa"/>
            </w:tcMar>
            <w:vAlign w:val="center"/>
          </w:tcPr>
          <w:p>
            <w:pPr>
              <w:pStyle w:val="TableContents"/>
              <w:bidi w:val="0"/>
              <w:spacing w:lineRule="atLeast" w:line="200" w:before="0" w:after="0"/>
              <w:jc w:val="right"/>
              <w:rPr>
                <w:sz w:val="18"/>
              </w:rPr>
            </w:pPr>
            <w:r>
              <w:rPr>
                <w:sz w:val="18"/>
              </w:rPr>
              <w:t>$</w:t>
            </w:r>
          </w:p>
        </w:tc>
        <w:tc>
          <w:tcPr>
            <w:tcW w:w="826" w:type="dxa"/>
            <w:tcBorders>
              <w:bottom w:val="single" w:sz="2" w:space="0" w:color="4B5088"/>
            </w:tcBorders>
            <w:shd w:fill="E9F9D8" w:val="clear"/>
            <w:tcMar>
              <w:bottom w:w="70" w:type="dxa"/>
            </w:tcMar>
            <w:vAlign w:val="center"/>
          </w:tcPr>
          <w:p>
            <w:pPr>
              <w:pStyle w:val="TableContents"/>
              <w:bidi w:val="0"/>
              <w:spacing w:lineRule="atLeast" w:line="200" w:before="0" w:after="0"/>
              <w:jc w:val="right"/>
              <w:rPr>
                <w:sz w:val="18"/>
              </w:rPr>
            </w:pPr>
            <w:r>
              <w:rPr>
                <w:sz w:val="18"/>
              </w:rPr>
              <w:t>8,733,786</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855" w:type="dxa"/>
            <w:vMerge w:val="continue"/>
            <w:tcBorders>
              <w:bottom w:val="single" w:sz="2" w:space="0" w:color="4B5088"/>
            </w:tcBorders>
            <w:tcMar>
              <w:bottom w:w="70" w:type="dxa"/>
            </w:tcMar>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0"/>
              <w:jc w:val="right"/>
              <w:rPr/>
            </w:pPr>
            <w:r>
              <w:rPr/>
              <w:t>​</w:t>
            </w:r>
          </w:p>
        </w:tc>
        <w:tc>
          <w:tcPr>
            <w:tcW w:w="631" w:type="dxa"/>
            <w:tcBorders>
              <w:bottom w:val="single" w:sz="2" w:space="0" w:color="4B5088"/>
            </w:tcBorders>
            <w:tcMar>
              <w:bottom w:w="70" w:type="dxa"/>
            </w:tcMar>
            <w:vAlign w:val="center"/>
          </w:tcPr>
          <w:p>
            <w:pPr>
              <w:pStyle w:val="TableContents"/>
              <w:bidi w:val="0"/>
              <w:spacing w:before="0" w:after="0"/>
              <w:jc w:val="right"/>
              <w:rPr>
                <w:sz w:val="18"/>
              </w:rPr>
            </w:pPr>
            <w:r>
              <w:rPr>
                <w:sz w:val="18"/>
              </w:rPr>
              <w:t>52,500</w:t>
            </w:r>
            <w:r>
              <w:rPr>
                <w:sz w:val="11"/>
              </w:rPr>
              <w:t>(4)</w:t>
            </w:r>
            <w:r>
              <w:rPr>
                <w:sz w:val="18"/>
              </w:rPr>
              <w:t xml:space="preserve">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0"/>
              <w:jc w:val="right"/>
              <w:rPr/>
            </w:pPr>
            <w:r>
              <w:rPr/>
              <w:t>​</w:t>
            </w:r>
          </w:p>
        </w:tc>
        <w:tc>
          <w:tcPr>
            <w:tcW w:w="730" w:type="dxa"/>
            <w:tcBorders>
              <w:bottom w:val="single" w:sz="2" w:space="0" w:color="4B5088"/>
            </w:tcBorders>
            <w:tcMar>
              <w:bottom w:w="70" w:type="dxa"/>
            </w:tcMar>
            <w:vAlign w:val="center"/>
          </w:tcPr>
          <w:p>
            <w:pPr>
              <w:pStyle w:val="TableContents"/>
              <w:bidi w:val="0"/>
              <w:spacing w:before="0" w:after="0"/>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96" w:type="dxa"/>
            <w:tcBorders>
              <w:bottom w:val="single" w:sz="2" w:space="0" w:color="4B5088"/>
            </w:tcBorders>
            <w:tcMar>
              <w:bottom w:w="70" w:type="dxa"/>
            </w:tcMar>
            <w:vAlign w:val="center"/>
          </w:tcPr>
          <w:p>
            <w:pPr>
              <w:pStyle w:val="TableContents"/>
              <w:bidi w:val="0"/>
              <w:spacing w:before="0" w:after="0"/>
              <w:jc w:val="right"/>
              <w:rPr>
                <w:sz w:val="18"/>
              </w:rPr>
            </w:pPr>
            <w:r>
              <w:rPr>
                <w:sz w:val="18"/>
              </w:rPr>
              <w:t>$</w:t>
            </w:r>
          </w:p>
        </w:tc>
        <w:tc>
          <w:tcPr>
            <w:tcW w:w="601" w:type="dxa"/>
            <w:tcBorders>
              <w:bottom w:val="single" w:sz="2" w:space="0" w:color="4B5088"/>
            </w:tcBorders>
            <w:tcMar>
              <w:bottom w:w="70" w:type="dxa"/>
            </w:tcMar>
            <w:vAlign w:val="center"/>
          </w:tcPr>
          <w:p>
            <w:pPr>
              <w:pStyle w:val="TableContents"/>
              <w:bidi w:val="0"/>
              <w:spacing w:before="0" w:after="0"/>
              <w:jc w:val="right"/>
              <w:rPr>
                <w:sz w:val="18"/>
              </w:rPr>
            </w:pPr>
            <w:r>
              <w:rPr>
                <w:sz w:val="18"/>
              </w:rPr>
              <w:t>105.73</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0"/>
              <w:jc w:val="right"/>
              <w:rPr/>
            </w:pPr>
            <w:r>
              <w:rPr/>
              <w:t>​</w:t>
            </w:r>
          </w:p>
        </w:tc>
        <w:tc>
          <w:tcPr>
            <w:tcW w:w="496" w:type="dxa"/>
            <w:tcBorders>
              <w:bottom w:val="single" w:sz="2" w:space="0" w:color="4B5088"/>
            </w:tcBorders>
            <w:tcMar>
              <w:bottom w:w="70" w:type="dxa"/>
            </w:tcMar>
            <w:vAlign w:val="center"/>
          </w:tcPr>
          <w:p>
            <w:pPr>
              <w:pStyle w:val="TableContents"/>
              <w:bidi w:val="0"/>
              <w:spacing w:before="0" w:after="0"/>
              <w:jc w:val="right"/>
              <w:rPr>
                <w:sz w:val="18"/>
              </w:rPr>
            </w:pPr>
            <w:r>
              <w:rPr>
                <w:sz w:val="18"/>
              </w:rPr>
              <w:t>06/17/2027</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0"/>
              <w:jc w:val="right"/>
              <w:rPr/>
            </w:pPr>
            <w:r>
              <w:rPr/>
              <w:t>​</w:t>
            </w:r>
          </w:p>
        </w:tc>
        <w:tc>
          <w:tcPr>
            <w:tcW w:w="691" w:type="dxa"/>
            <w:tcBorders>
              <w:bottom w:val="single" w:sz="2" w:space="0" w:color="4B5088"/>
            </w:tcBorders>
            <w:tcMar>
              <w:bottom w:w="70" w:type="dxa"/>
            </w:tcMar>
            <w:vAlign w:val="center"/>
          </w:tcPr>
          <w:p>
            <w:pPr>
              <w:pStyle w:val="TableContents"/>
              <w:bidi w:val="0"/>
              <w:spacing w:before="0" w:after="0"/>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96" w:type="dxa"/>
            <w:tcBorders>
              <w:bottom w:val="single" w:sz="2" w:space="0" w:color="4B5088"/>
            </w:tcBorders>
            <w:tcMar>
              <w:bottom w:w="70" w:type="dxa"/>
            </w:tcMar>
            <w:vAlign w:val="center"/>
          </w:tcPr>
          <w:p>
            <w:pPr>
              <w:pStyle w:val="TableContents"/>
              <w:bidi w:val="0"/>
              <w:spacing w:before="0" w:after="0"/>
              <w:jc w:val="right"/>
              <w:rPr/>
            </w:pPr>
            <w:r>
              <w:rPr/>
              <w:t>​</w:t>
            </w:r>
          </w:p>
        </w:tc>
        <w:tc>
          <w:tcPr>
            <w:tcW w:w="916" w:type="dxa"/>
            <w:tcBorders>
              <w:bottom w:val="single" w:sz="2" w:space="0" w:color="4B5088"/>
            </w:tcBorders>
            <w:tcMar>
              <w:bottom w:w="70" w:type="dxa"/>
            </w:tcMar>
            <w:vAlign w:val="center"/>
          </w:tcPr>
          <w:p>
            <w:pPr>
              <w:pStyle w:val="TableContents"/>
              <w:bidi w:val="0"/>
              <w:spacing w:before="0" w:after="0"/>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0"/>
              <w:jc w:val="right"/>
              <w:rPr/>
            </w:pPr>
            <w:r>
              <w:rPr/>
              <w:t>​</w:t>
            </w:r>
          </w:p>
        </w:tc>
        <w:tc>
          <w:tcPr>
            <w:tcW w:w="691" w:type="dxa"/>
            <w:tcBorders>
              <w:bottom w:val="single" w:sz="2" w:space="0" w:color="4B5088"/>
            </w:tcBorders>
            <w:tcMar>
              <w:bottom w:w="70" w:type="dxa"/>
            </w:tcMar>
            <w:vAlign w:val="center"/>
          </w:tcPr>
          <w:p>
            <w:pPr>
              <w:pStyle w:val="TableContents"/>
              <w:bidi w:val="0"/>
              <w:spacing w:before="0" w:after="0"/>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96" w:type="dxa"/>
            <w:tcBorders>
              <w:bottom w:val="single" w:sz="2" w:space="0" w:color="4B5088"/>
            </w:tcBorders>
            <w:tcMar>
              <w:bottom w:w="70" w:type="dxa"/>
            </w:tcMar>
            <w:vAlign w:val="center"/>
          </w:tcPr>
          <w:p>
            <w:pPr>
              <w:pStyle w:val="TableContents"/>
              <w:bidi w:val="0"/>
              <w:spacing w:before="0" w:after="0"/>
              <w:jc w:val="right"/>
              <w:rPr/>
            </w:pPr>
            <w:r>
              <w:rPr/>
              <w:t>​</w:t>
            </w:r>
          </w:p>
        </w:tc>
        <w:tc>
          <w:tcPr>
            <w:tcW w:w="826" w:type="dxa"/>
            <w:tcBorders>
              <w:bottom w:val="single" w:sz="2" w:space="0" w:color="4B5088"/>
            </w:tcBorders>
            <w:tcMar>
              <w:bottom w:w="70" w:type="dxa"/>
            </w:tcMar>
            <w:vAlign w:val="center"/>
          </w:tcPr>
          <w:p>
            <w:pPr>
              <w:pStyle w:val="TableContents"/>
              <w:bidi w:val="0"/>
              <w:spacing w:before="0" w:after="0"/>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855" w:type="dxa"/>
            <w:vMerge w:val="continue"/>
            <w:tcBorders>
              <w:bottom w:val="single" w:sz="2" w:space="0" w:color="4B5088"/>
            </w:tcBorders>
            <w:tcMar>
              <w:bottom w:w="70" w:type="dxa"/>
            </w:tcMar>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0"/>
              <w:jc w:val="right"/>
              <w:rPr/>
            </w:pPr>
            <w:r>
              <w:rPr/>
              <w:t>​</w:t>
            </w:r>
          </w:p>
        </w:tc>
        <w:tc>
          <w:tcPr>
            <w:tcW w:w="631" w:type="dxa"/>
            <w:tcBorders>
              <w:bottom w:val="single" w:sz="2" w:space="0" w:color="4B5088"/>
            </w:tcBorders>
            <w:tcMar>
              <w:bottom w:w="70" w:type="dxa"/>
            </w:tcMar>
            <w:vAlign w:val="center"/>
          </w:tcPr>
          <w:p>
            <w:pPr>
              <w:pStyle w:val="TableContents"/>
              <w:bidi w:val="0"/>
              <w:spacing w:before="0" w:after="0"/>
              <w:jc w:val="right"/>
              <w:rPr>
                <w:sz w:val="18"/>
              </w:rPr>
            </w:pPr>
            <w:r>
              <w:rPr>
                <w:sz w:val="18"/>
              </w:rPr>
              <w:t>72,639</w:t>
            </w:r>
            <w:r>
              <w:rPr>
                <w:sz w:val="11"/>
              </w:rPr>
              <w:t>(5)</w:t>
            </w:r>
            <w:r>
              <w:rPr>
                <w:sz w:val="18"/>
              </w:rPr>
              <w:t xml:space="preserve">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0"/>
              <w:jc w:val="right"/>
              <w:rPr/>
            </w:pPr>
            <w:r>
              <w:rPr/>
              <w:t>​</w:t>
            </w:r>
          </w:p>
        </w:tc>
        <w:tc>
          <w:tcPr>
            <w:tcW w:w="730" w:type="dxa"/>
            <w:tcBorders>
              <w:bottom w:val="single" w:sz="2" w:space="0" w:color="4B5088"/>
            </w:tcBorders>
            <w:tcMar>
              <w:bottom w:w="70" w:type="dxa"/>
            </w:tcMar>
            <w:vAlign w:val="center"/>
          </w:tcPr>
          <w:p>
            <w:pPr>
              <w:pStyle w:val="TableContents"/>
              <w:bidi w:val="0"/>
              <w:spacing w:before="0" w:after="0"/>
              <w:jc w:val="right"/>
              <w:rPr>
                <w:sz w:val="18"/>
              </w:rPr>
            </w:pPr>
            <w:r>
              <w:rPr>
                <w:sz w:val="18"/>
              </w:rPr>
              <w:t>217,917</w:t>
            </w:r>
            <w:r>
              <w:rPr>
                <w:sz w:val="11"/>
              </w:rPr>
              <w:t>(5)</w:t>
            </w:r>
            <w:r>
              <w:rPr>
                <w:sz w:val="18"/>
              </w:rPr>
              <w:t xml:space="preserve">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96" w:type="dxa"/>
            <w:tcBorders>
              <w:bottom w:val="single" w:sz="2" w:space="0" w:color="4B5088"/>
            </w:tcBorders>
            <w:tcMar>
              <w:bottom w:w="70" w:type="dxa"/>
            </w:tcMar>
            <w:vAlign w:val="center"/>
          </w:tcPr>
          <w:p>
            <w:pPr>
              <w:pStyle w:val="TableContents"/>
              <w:bidi w:val="0"/>
              <w:spacing w:before="0" w:after="0"/>
              <w:jc w:val="right"/>
              <w:rPr>
                <w:sz w:val="18"/>
              </w:rPr>
            </w:pPr>
            <w:r>
              <w:rPr>
                <w:sz w:val="18"/>
              </w:rPr>
              <w:t>$</w:t>
            </w:r>
          </w:p>
        </w:tc>
        <w:tc>
          <w:tcPr>
            <w:tcW w:w="601" w:type="dxa"/>
            <w:tcBorders>
              <w:bottom w:val="single" w:sz="2" w:space="0" w:color="4B5088"/>
            </w:tcBorders>
            <w:tcMar>
              <w:bottom w:w="70" w:type="dxa"/>
            </w:tcMar>
            <w:vAlign w:val="center"/>
          </w:tcPr>
          <w:p>
            <w:pPr>
              <w:pStyle w:val="TableContents"/>
              <w:bidi w:val="0"/>
              <w:spacing w:before="0" w:after="0"/>
              <w:jc w:val="right"/>
              <w:rPr>
                <w:sz w:val="18"/>
              </w:rPr>
            </w:pPr>
            <w:r>
              <w:rPr>
                <w:sz w:val="18"/>
              </w:rPr>
              <w:t>68.07</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0"/>
              <w:jc w:val="right"/>
              <w:rPr/>
            </w:pPr>
            <w:r>
              <w:rPr/>
              <w:t>​</w:t>
            </w:r>
          </w:p>
        </w:tc>
        <w:tc>
          <w:tcPr>
            <w:tcW w:w="496" w:type="dxa"/>
            <w:tcBorders>
              <w:bottom w:val="single" w:sz="2" w:space="0" w:color="4B5088"/>
            </w:tcBorders>
            <w:tcMar>
              <w:bottom w:w="70" w:type="dxa"/>
            </w:tcMar>
            <w:vAlign w:val="center"/>
          </w:tcPr>
          <w:p>
            <w:pPr>
              <w:pStyle w:val="TableContents"/>
              <w:bidi w:val="0"/>
              <w:spacing w:before="0" w:after="0"/>
              <w:jc w:val="right"/>
              <w:rPr>
                <w:sz w:val="18"/>
              </w:rPr>
            </w:pPr>
            <w:r>
              <w:rPr>
                <w:sz w:val="18"/>
              </w:rPr>
              <w:t>12/27/2034</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0"/>
              <w:jc w:val="right"/>
              <w:rPr/>
            </w:pPr>
            <w:r>
              <w:rPr/>
              <w:t>​</w:t>
            </w:r>
          </w:p>
        </w:tc>
        <w:tc>
          <w:tcPr>
            <w:tcW w:w="691" w:type="dxa"/>
            <w:tcBorders>
              <w:bottom w:val="single" w:sz="2" w:space="0" w:color="4B5088"/>
            </w:tcBorders>
            <w:tcMar>
              <w:bottom w:w="70" w:type="dxa"/>
            </w:tcMar>
            <w:vAlign w:val="center"/>
          </w:tcPr>
          <w:p>
            <w:pPr>
              <w:pStyle w:val="TableContents"/>
              <w:bidi w:val="0"/>
              <w:spacing w:before="0" w:after="0"/>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96" w:type="dxa"/>
            <w:tcBorders>
              <w:bottom w:val="single" w:sz="2" w:space="0" w:color="4B5088"/>
            </w:tcBorders>
            <w:tcMar>
              <w:bottom w:w="70" w:type="dxa"/>
            </w:tcMar>
            <w:vAlign w:val="center"/>
          </w:tcPr>
          <w:p>
            <w:pPr>
              <w:pStyle w:val="TableContents"/>
              <w:bidi w:val="0"/>
              <w:spacing w:before="0" w:after="0"/>
              <w:jc w:val="right"/>
              <w:rPr/>
            </w:pPr>
            <w:r>
              <w:rPr/>
              <w:t>​</w:t>
            </w:r>
          </w:p>
        </w:tc>
        <w:tc>
          <w:tcPr>
            <w:tcW w:w="916" w:type="dxa"/>
            <w:tcBorders>
              <w:bottom w:val="single" w:sz="2" w:space="0" w:color="4B5088"/>
            </w:tcBorders>
            <w:tcMar>
              <w:bottom w:w="70" w:type="dxa"/>
            </w:tcMar>
            <w:vAlign w:val="center"/>
          </w:tcPr>
          <w:p>
            <w:pPr>
              <w:pStyle w:val="TableContents"/>
              <w:bidi w:val="0"/>
              <w:spacing w:before="0" w:after="0"/>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0"/>
              <w:jc w:val="right"/>
              <w:rPr/>
            </w:pPr>
            <w:r>
              <w:rPr/>
              <w:t>​</w:t>
            </w:r>
          </w:p>
        </w:tc>
        <w:tc>
          <w:tcPr>
            <w:tcW w:w="691" w:type="dxa"/>
            <w:tcBorders>
              <w:bottom w:val="single" w:sz="2" w:space="0" w:color="4B5088"/>
            </w:tcBorders>
            <w:tcMar>
              <w:bottom w:w="70" w:type="dxa"/>
            </w:tcMar>
            <w:vAlign w:val="center"/>
          </w:tcPr>
          <w:p>
            <w:pPr>
              <w:pStyle w:val="TableContents"/>
              <w:bidi w:val="0"/>
              <w:spacing w:before="0" w:after="0"/>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96" w:type="dxa"/>
            <w:tcBorders>
              <w:bottom w:val="single" w:sz="2" w:space="0" w:color="4B5088"/>
            </w:tcBorders>
            <w:tcMar>
              <w:bottom w:w="70" w:type="dxa"/>
            </w:tcMar>
            <w:vAlign w:val="center"/>
          </w:tcPr>
          <w:p>
            <w:pPr>
              <w:pStyle w:val="TableContents"/>
              <w:bidi w:val="0"/>
              <w:spacing w:before="0" w:after="0"/>
              <w:jc w:val="right"/>
              <w:rPr/>
            </w:pPr>
            <w:r>
              <w:rPr/>
              <w:t>​</w:t>
            </w:r>
          </w:p>
        </w:tc>
        <w:tc>
          <w:tcPr>
            <w:tcW w:w="826" w:type="dxa"/>
            <w:tcBorders>
              <w:bottom w:val="single" w:sz="2" w:space="0" w:color="4B5088"/>
            </w:tcBorders>
            <w:tcMar>
              <w:bottom w:w="70" w:type="dxa"/>
            </w:tcMar>
            <w:vAlign w:val="center"/>
          </w:tcPr>
          <w:p>
            <w:pPr>
              <w:pStyle w:val="TableContents"/>
              <w:bidi w:val="0"/>
              <w:spacing w:before="0" w:after="0"/>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855" w:type="dxa"/>
            <w:tcBorders>
              <w:bottom w:val="single" w:sz="2" w:space="0" w:color="4B5088"/>
            </w:tcBorders>
            <w:tcMar>
              <w:bottom w:w="63" w:type="dxa"/>
            </w:tcMar>
            <w:vAlign w:val="center"/>
          </w:tcPr>
          <w:p>
            <w:pPr>
              <w:pStyle w:val="TableContents"/>
              <w:bidi w:val="0"/>
              <w:spacing w:before="0" w:after="0"/>
              <w:jc w:val="left"/>
              <w:rPr>
                <w:b/>
                <w:color w:val="1F2668"/>
                <w:sz w:val="18"/>
              </w:rPr>
            </w:pPr>
            <w:r>
              <w:rPr>
                <w:b/>
                <w:color w:val="1F2668"/>
                <w:spacing w:val="-2"/>
                <w:sz w:val="18"/>
              </w:rPr>
              <w:t xml:space="preserve">Matthew J. </w:t>
              <w:br/>
              <w:t>DiLiberto</w:t>
            </w:r>
            <w:r>
              <w:rPr>
                <w:b/>
                <w:color w:val="1F2668"/>
                <w:sz w:val="18"/>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63" w:type="dxa"/>
            </w:tcMar>
            <w:vAlign w:val="center"/>
          </w:tcPr>
          <w:p>
            <w:pPr>
              <w:pStyle w:val="TableContents"/>
              <w:bidi w:val="0"/>
              <w:spacing w:before="0" w:after="0"/>
              <w:jc w:val="right"/>
              <w:rPr/>
            </w:pPr>
            <w:r>
              <w:rPr/>
              <w:t>​</w:t>
            </w:r>
          </w:p>
        </w:tc>
        <w:tc>
          <w:tcPr>
            <w:tcW w:w="631" w:type="dxa"/>
            <w:tcBorders>
              <w:bottom w:val="single" w:sz="2" w:space="0" w:color="4B5088"/>
            </w:tcBorders>
            <w:shd w:fill="E9F9D8" w:val="clear"/>
            <w:tcMar>
              <w:bottom w:w="63" w:type="dxa"/>
            </w:tcMar>
            <w:vAlign w:val="center"/>
          </w:tcPr>
          <w:p>
            <w:pPr>
              <w:pStyle w:val="TableContents"/>
              <w:bidi w:val="0"/>
              <w:spacing w:before="0" w:after="0"/>
              <w:jc w:val="right"/>
              <w:rPr>
                <w:sz w:val="18"/>
              </w:rPr>
            </w:pPr>
            <w:r>
              <w:rPr>
                <w:sz w:val="18"/>
              </w:rPr>
              <w:t>15,000</w:t>
            </w:r>
            <w:r>
              <w:rPr>
                <w:sz w:val="11"/>
              </w:rPr>
              <w:t>(4)</w:t>
            </w:r>
            <w:r>
              <w:rPr>
                <w:sz w:val="18"/>
              </w:rPr>
              <w:t xml:space="preserve"> </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63" w:type="dxa"/>
            </w:tcMar>
            <w:vAlign w:val="center"/>
          </w:tcPr>
          <w:p>
            <w:pPr>
              <w:pStyle w:val="TableContents"/>
              <w:bidi w:val="0"/>
              <w:spacing w:before="0" w:after="0"/>
              <w:jc w:val="right"/>
              <w:rPr/>
            </w:pPr>
            <w:r>
              <w:rPr/>
              <w:t>​</w:t>
            </w:r>
          </w:p>
        </w:tc>
        <w:tc>
          <w:tcPr>
            <w:tcW w:w="730" w:type="dxa"/>
            <w:tcBorders>
              <w:bottom w:val="single" w:sz="2" w:space="0" w:color="4B5088"/>
            </w:tcBorders>
            <w:shd w:fill="E9F9D8" w:val="clear"/>
            <w:tcMar>
              <w:bottom w:w="63" w:type="dxa"/>
            </w:tcMar>
            <w:vAlign w:val="center"/>
          </w:tcPr>
          <w:p>
            <w:pPr>
              <w:pStyle w:val="TableContents"/>
              <w:bidi w:val="0"/>
              <w:spacing w:before="0" w:after="0"/>
              <w:jc w:val="righ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96" w:type="dxa"/>
            <w:tcBorders>
              <w:bottom w:val="single" w:sz="2" w:space="0" w:color="4B5088"/>
            </w:tcBorders>
            <w:shd w:fill="E9F9D8" w:val="clear"/>
            <w:tcMar>
              <w:bottom w:w="63" w:type="dxa"/>
            </w:tcMar>
            <w:vAlign w:val="center"/>
          </w:tcPr>
          <w:p>
            <w:pPr>
              <w:pStyle w:val="TableContents"/>
              <w:bidi w:val="0"/>
              <w:spacing w:before="0" w:after="0"/>
              <w:jc w:val="right"/>
              <w:rPr>
                <w:sz w:val="18"/>
              </w:rPr>
            </w:pPr>
            <w:r>
              <w:rPr>
                <w:sz w:val="18"/>
              </w:rPr>
              <w:t>$</w:t>
            </w:r>
          </w:p>
        </w:tc>
        <w:tc>
          <w:tcPr>
            <w:tcW w:w="601" w:type="dxa"/>
            <w:tcBorders>
              <w:bottom w:val="single" w:sz="2" w:space="0" w:color="4B5088"/>
            </w:tcBorders>
            <w:shd w:fill="E9F9D8" w:val="clear"/>
            <w:tcMar>
              <w:bottom w:w="63" w:type="dxa"/>
            </w:tcMar>
            <w:vAlign w:val="center"/>
          </w:tcPr>
          <w:p>
            <w:pPr>
              <w:pStyle w:val="TableContents"/>
              <w:bidi w:val="0"/>
              <w:spacing w:before="0" w:after="0"/>
              <w:jc w:val="right"/>
              <w:rPr>
                <w:sz w:val="18"/>
              </w:rPr>
            </w:pPr>
            <w:r>
              <w:rPr>
                <w:sz w:val="18"/>
              </w:rPr>
              <w:t>106.05</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63" w:type="dxa"/>
            </w:tcMar>
            <w:vAlign w:val="center"/>
          </w:tcPr>
          <w:p>
            <w:pPr>
              <w:pStyle w:val="TableContents"/>
              <w:bidi w:val="0"/>
              <w:spacing w:before="0" w:after="0"/>
              <w:jc w:val="right"/>
              <w:rPr/>
            </w:pPr>
            <w:r>
              <w:rPr/>
              <w:t>​</w:t>
            </w:r>
          </w:p>
        </w:tc>
        <w:tc>
          <w:tcPr>
            <w:tcW w:w="496" w:type="dxa"/>
            <w:tcBorders>
              <w:bottom w:val="single" w:sz="2" w:space="0" w:color="4B5088"/>
            </w:tcBorders>
            <w:shd w:fill="E9F9D8" w:val="clear"/>
            <w:tcMar>
              <w:bottom w:w="63" w:type="dxa"/>
            </w:tcMar>
            <w:vAlign w:val="center"/>
          </w:tcPr>
          <w:p>
            <w:pPr>
              <w:pStyle w:val="TableContents"/>
              <w:bidi w:val="0"/>
              <w:spacing w:before="0" w:after="0"/>
              <w:jc w:val="right"/>
              <w:rPr>
                <w:sz w:val="18"/>
              </w:rPr>
            </w:pPr>
            <w:r>
              <w:rPr>
                <w:sz w:val="18"/>
              </w:rPr>
              <w:t>01/11/2027</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63" w:type="dxa"/>
            </w:tcMar>
            <w:vAlign w:val="center"/>
          </w:tcPr>
          <w:p>
            <w:pPr>
              <w:pStyle w:val="TableContents"/>
              <w:bidi w:val="0"/>
              <w:spacing w:before="0" w:after="0"/>
              <w:jc w:val="right"/>
              <w:rPr/>
            </w:pPr>
            <w:r>
              <w:rPr/>
              <w:t>​</w:t>
            </w:r>
          </w:p>
        </w:tc>
        <w:tc>
          <w:tcPr>
            <w:tcW w:w="691" w:type="dxa"/>
            <w:tcBorders>
              <w:bottom w:val="single" w:sz="2" w:space="0" w:color="4B5088"/>
            </w:tcBorders>
            <w:shd w:fill="E9F9D8" w:val="clear"/>
            <w:tcMar>
              <w:bottom w:w="63" w:type="dxa"/>
            </w:tcMar>
            <w:vAlign w:val="center"/>
          </w:tcPr>
          <w:p>
            <w:pPr>
              <w:pStyle w:val="TableContents"/>
              <w:bidi w:val="0"/>
              <w:spacing w:before="0" w:after="0"/>
              <w:jc w:val="right"/>
              <w:rPr>
                <w:sz w:val="18"/>
              </w:rPr>
            </w:pPr>
            <w:r>
              <w:rPr>
                <w:sz w:val="18"/>
              </w:rPr>
              <w:t>87,841</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96" w:type="dxa"/>
            <w:tcBorders>
              <w:bottom w:val="single" w:sz="2" w:space="0" w:color="4B5088"/>
            </w:tcBorders>
            <w:shd w:fill="E9F9D8" w:val="clear"/>
            <w:tcMar>
              <w:bottom w:w="63" w:type="dxa"/>
            </w:tcMar>
            <w:vAlign w:val="center"/>
          </w:tcPr>
          <w:p>
            <w:pPr>
              <w:pStyle w:val="TableContents"/>
              <w:bidi w:val="0"/>
              <w:spacing w:before="0" w:after="0"/>
              <w:jc w:val="right"/>
              <w:rPr>
                <w:sz w:val="18"/>
              </w:rPr>
            </w:pPr>
            <w:r>
              <w:rPr>
                <w:sz w:val="18"/>
              </w:rPr>
              <w:t>$</w:t>
            </w:r>
          </w:p>
        </w:tc>
        <w:tc>
          <w:tcPr>
            <w:tcW w:w="916" w:type="dxa"/>
            <w:tcBorders>
              <w:bottom w:val="single" w:sz="2" w:space="0" w:color="4B5088"/>
            </w:tcBorders>
            <w:shd w:fill="E9F9D8" w:val="clear"/>
            <w:tcMar>
              <w:bottom w:w="63" w:type="dxa"/>
            </w:tcMar>
            <w:vAlign w:val="center"/>
          </w:tcPr>
          <w:p>
            <w:pPr>
              <w:pStyle w:val="TableContents"/>
              <w:bidi w:val="0"/>
              <w:spacing w:before="0" w:after="0"/>
              <w:jc w:val="right"/>
              <w:rPr>
                <w:sz w:val="18"/>
              </w:rPr>
            </w:pPr>
            <w:r>
              <w:rPr>
                <w:sz w:val="18"/>
              </w:rPr>
              <w:t>4,029,267</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63" w:type="dxa"/>
            </w:tcMar>
            <w:vAlign w:val="center"/>
          </w:tcPr>
          <w:p>
            <w:pPr>
              <w:pStyle w:val="TableContents"/>
              <w:bidi w:val="0"/>
              <w:spacing w:before="0" w:after="0"/>
              <w:jc w:val="right"/>
              <w:rPr/>
            </w:pPr>
            <w:r>
              <w:rPr/>
              <w:t>​</w:t>
            </w:r>
          </w:p>
        </w:tc>
        <w:tc>
          <w:tcPr>
            <w:tcW w:w="691" w:type="dxa"/>
            <w:tcBorders>
              <w:bottom w:val="single" w:sz="2" w:space="0" w:color="4B5088"/>
            </w:tcBorders>
            <w:shd w:fill="E9F9D8" w:val="clear"/>
            <w:tcMar>
              <w:bottom w:w="63" w:type="dxa"/>
            </w:tcMar>
            <w:vAlign w:val="center"/>
          </w:tcPr>
          <w:p>
            <w:pPr>
              <w:pStyle w:val="TableContents"/>
              <w:bidi w:val="0"/>
              <w:spacing w:before="0" w:after="0"/>
              <w:jc w:val="right"/>
              <w:rPr>
                <w:sz w:val="18"/>
              </w:rPr>
            </w:pPr>
            <w:r>
              <w:rPr>
                <w:sz w:val="18"/>
              </w:rPr>
              <w:t>15,519</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96" w:type="dxa"/>
            <w:tcBorders>
              <w:bottom w:val="single" w:sz="2" w:space="0" w:color="4B5088"/>
            </w:tcBorders>
            <w:shd w:fill="E9F9D8" w:val="clear"/>
            <w:tcMar>
              <w:bottom w:w="63" w:type="dxa"/>
            </w:tcMar>
            <w:vAlign w:val="center"/>
          </w:tcPr>
          <w:p>
            <w:pPr>
              <w:pStyle w:val="TableContents"/>
              <w:bidi w:val="0"/>
              <w:spacing w:before="0" w:after="0"/>
              <w:jc w:val="right"/>
              <w:rPr>
                <w:sz w:val="18"/>
              </w:rPr>
            </w:pPr>
            <w:r>
              <w:rPr>
                <w:sz w:val="18"/>
              </w:rPr>
              <w:t>$</w:t>
            </w:r>
          </w:p>
        </w:tc>
        <w:tc>
          <w:tcPr>
            <w:tcW w:w="826" w:type="dxa"/>
            <w:tcBorders>
              <w:bottom w:val="single" w:sz="2" w:space="0" w:color="4B5088"/>
            </w:tcBorders>
            <w:shd w:fill="E9F9D8" w:val="clear"/>
            <w:tcMar>
              <w:bottom w:w="63" w:type="dxa"/>
            </w:tcMar>
            <w:vAlign w:val="center"/>
          </w:tcPr>
          <w:p>
            <w:pPr>
              <w:pStyle w:val="TableContents"/>
              <w:bidi w:val="0"/>
              <w:spacing w:before="0" w:after="0"/>
              <w:jc w:val="right"/>
              <w:rPr>
                <w:sz w:val="18"/>
              </w:rPr>
            </w:pPr>
            <w:r>
              <w:rPr>
                <w:sz w:val="18"/>
              </w:rPr>
              <w:t>711,857</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855" w:type="dxa"/>
            <w:tcBorders>
              <w:bottom w:val="single" w:sz="2" w:space="0" w:color="4B5088"/>
            </w:tcBorders>
            <w:tcMar>
              <w:bottom w:w="63" w:type="dxa"/>
            </w:tcMar>
            <w:vAlign w:val="center"/>
          </w:tcPr>
          <w:p>
            <w:pPr>
              <w:pStyle w:val="TableContents"/>
              <w:bidi w:val="0"/>
              <w:spacing w:before="0" w:after="0"/>
              <w:jc w:val="left"/>
              <w:rPr>
                <w:b/>
                <w:color w:val="1F2668"/>
                <w:sz w:val="18"/>
              </w:rPr>
            </w:pPr>
            <w:r>
              <w:rPr>
                <w:b/>
                <w:color w:val="1F2668"/>
                <w:spacing w:val="-2"/>
                <w:sz w:val="18"/>
              </w:rPr>
              <w:t xml:space="preserve">Andrew S. </w:t>
              <w:br/>
              <w:t>Levine</w:t>
            </w:r>
            <w:r>
              <w:rPr>
                <w:b/>
                <w:color w:val="1F2668"/>
                <w:sz w:val="18"/>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63" w:type="dxa"/>
            </w:tcMar>
            <w:vAlign w:val="center"/>
          </w:tcPr>
          <w:p>
            <w:pPr>
              <w:pStyle w:val="TableContents"/>
              <w:bidi w:val="0"/>
              <w:spacing w:before="0" w:after="0"/>
              <w:jc w:val="right"/>
              <w:rPr/>
            </w:pPr>
            <w:r>
              <w:rPr/>
              <w:t>​</w:t>
            </w:r>
          </w:p>
        </w:tc>
        <w:tc>
          <w:tcPr>
            <w:tcW w:w="631" w:type="dxa"/>
            <w:tcBorders>
              <w:bottom w:val="single" w:sz="2" w:space="0" w:color="4B5088"/>
            </w:tcBorders>
            <w:shd w:fill="E9F9D8" w:val="clear"/>
            <w:tcMar>
              <w:bottom w:w="63" w:type="dxa"/>
            </w:tcMar>
            <w:vAlign w:val="center"/>
          </w:tcPr>
          <w:p>
            <w:pPr>
              <w:pStyle w:val="TableContents"/>
              <w:bidi w:val="0"/>
              <w:spacing w:before="0" w:after="0"/>
              <w:jc w:val="right"/>
              <w:rPr>
                <w:sz w:val="18"/>
              </w:rPr>
            </w:pPr>
            <w:r>
              <w:rPr>
                <w:sz w:val="18"/>
              </w:rPr>
              <w:t>15,000</w:t>
            </w:r>
            <w:r>
              <w:rPr>
                <w:sz w:val="11"/>
              </w:rPr>
              <w:t>(4)</w:t>
            </w:r>
            <w:r>
              <w:rPr>
                <w:sz w:val="18"/>
              </w:rPr>
              <w:t xml:space="preserve"> </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63" w:type="dxa"/>
            </w:tcMar>
            <w:vAlign w:val="center"/>
          </w:tcPr>
          <w:p>
            <w:pPr>
              <w:pStyle w:val="TableContents"/>
              <w:bidi w:val="0"/>
              <w:spacing w:before="0" w:after="0"/>
              <w:jc w:val="right"/>
              <w:rPr/>
            </w:pPr>
            <w:r>
              <w:rPr/>
              <w:t>​</w:t>
            </w:r>
          </w:p>
        </w:tc>
        <w:tc>
          <w:tcPr>
            <w:tcW w:w="730" w:type="dxa"/>
            <w:tcBorders>
              <w:bottom w:val="single" w:sz="2" w:space="0" w:color="4B5088"/>
            </w:tcBorders>
            <w:shd w:fill="E9F9D8" w:val="clear"/>
            <w:tcMar>
              <w:bottom w:w="63" w:type="dxa"/>
            </w:tcMar>
            <w:vAlign w:val="center"/>
          </w:tcPr>
          <w:p>
            <w:pPr>
              <w:pStyle w:val="TableContents"/>
              <w:bidi w:val="0"/>
              <w:spacing w:before="0" w:after="0"/>
              <w:jc w:val="righ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96" w:type="dxa"/>
            <w:tcBorders>
              <w:bottom w:val="single" w:sz="2" w:space="0" w:color="4B5088"/>
            </w:tcBorders>
            <w:shd w:fill="E9F9D8" w:val="clear"/>
            <w:tcMar>
              <w:bottom w:w="63" w:type="dxa"/>
            </w:tcMar>
            <w:vAlign w:val="center"/>
          </w:tcPr>
          <w:p>
            <w:pPr>
              <w:pStyle w:val="TableContents"/>
              <w:bidi w:val="0"/>
              <w:spacing w:before="0" w:after="0"/>
              <w:jc w:val="right"/>
              <w:rPr>
                <w:sz w:val="18"/>
              </w:rPr>
            </w:pPr>
            <w:r>
              <w:rPr>
                <w:sz w:val="18"/>
              </w:rPr>
              <w:t>$</w:t>
            </w:r>
          </w:p>
        </w:tc>
        <w:tc>
          <w:tcPr>
            <w:tcW w:w="601" w:type="dxa"/>
            <w:tcBorders>
              <w:bottom w:val="single" w:sz="2" w:space="0" w:color="4B5088"/>
            </w:tcBorders>
            <w:shd w:fill="E9F9D8" w:val="clear"/>
            <w:tcMar>
              <w:bottom w:w="63" w:type="dxa"/>
            </w:tcMar>
            <w:vAlign w:val="center"/>
          </w:tcPr>
          <w:p>
            <w:pPr>
              <w:pStyle w:val="TableContents"/>
              <w:bidi w:val="0"/>
              <w:spacing w:before="0" w:after="0"/>
              <w:jc w:val="right"/>
              <w:rPr>
                <w:sz w:val="18"/>
              </w:rPr>
            </w:pPr>
            <w:r>
              <w:rPr>
                <w:sz w:val="18"/>
              </w:rPr>
              <w:t>106.05</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63" w:type="dxa"/>
            </w:tcMar>
            <w:vAlign w:val="center"/>
          </w:tcPr>
          <w:p>
            <w:pPr>
              <w:pStyle w:val="TableContents"/>
              <w:bidi w:val="0"/>
              <w:spacing w:before="0" w:after="0"/>
              <w:jc w:val="right"/>
              <w:rPr/>
            </w:pPr>
            <w:r>
              <w:rPr/>
              <w:t>​</w:t>
            </w:r>
          </w:p>
        </w:tc>
        <w:tc>
          <w:tcPr>
            <w:tcW w:w="496" w:type="dxa"/>
            <w:tcBorders>
              <w:bottom w:val="single" w:sz="2" w:space="0" w:color="4B5088"/>
            </w:tcBorders>
            <w:shd w:fill="E9F9D8" w:val="clear"/>
            <w:tcMar>
              <w:bottom w:w="63" w:type="dxa"/>
            </w:tcMar>
            <w:vAlign w:val="center"/>
          </w:tcPr>
          <w:p>
            <w:pPr>
              <w:pStyle w:val="TableContents"/>
              <w:bidi w:val="0"/>
              <w:spacing w:before="0" w:after="0"/>
              <w:jc w:val="right"/>
              <w:rPr>
                <w:sz w:val="18"/>
              </w:rPr>
            </w:pPr>
            <w:r>
              <w:rPr>
                <w:sz w:val="18"/>
              </w:rPr>
              <w:t>01/11/2027</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63" w:type="dxa"/>
            </w:tcMar>
            <w:vAlign w:val="center"/>
          </w:tcPr>
          <w:p>
            <w:pPr>
              <w:pStyle w:val="TableContents"/>
              <w:bidi w:val="0"/>
              <w:spacing w:before="0" w:after="0"/>
              <w:jc w:val="right"/>
              <w:rPr/>
            </w:pPr>
            <w:r>
              <w:rPr/>
              <w:t>​</w:t>
            </w:r>
          </w:p>
        </w:tc>
        <w:tc>
          <w:tcPr>
            <w:tcW w:w="691" w:type="dxa"/>
            <w:tcBorders>
              <w:bottom w:val="single" w:sz="2" w:space="0" w:color="4B5088"/>
            </w:tcBorders>
            <w:shd w:fill="E9F9D8" w:val="clear"/>
            <w:tcMar>
              <w:bottom w:w="63" w:type="dxa"/>
            </w:tcMar>
            <w:vAlign w:val="center"/>
          </w:tcPr>
          <w:p>
            <w:pPr>
              <w:pStyle w:val="TableContents"/>
              <w:bidi w:val="0"/>
              <w:spacing w:before="0" w:after="0"/>
              <w:jc w:val="right"/>
              <w:rPr>
                <w:sz w:val="18"/>
              </w:rPr>
            </w:pPr>
            <w:r>
              <w:rPr>
                <w:sz w:val="18"/>
              </w:rPr>
              <w:t>48,371</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96" w:type="dxa"/>
            <w:tcBorders>
              <w:bottom w:val="single" w:sz="2" w:space="0" w:color="4B5088"/>
            </w:tcBorders>
            <w:shd w:fill="E9F9D8" w:val="clear"/>
            <w:tcMar>
              <w:bottom w:w="63" w:type="dxa"/>
            </w:tcMar>
            <w:vAlign w:val="center"/>
          </w:tcPr>
          <w:p>
            <w:pPr>
              <w:pStyle w:val="TableContents"/>
              <w:bidi w:val="0"/>
              <w:spacing w:before="0" w:after="0"/>
              <w:jc w:val="right"/>
              <w:rPr>
                <w:sz w:val="18"/>
              </w:rPr>
            </w:pPr>
            <w:r>
              <w:rPr>
                <w:sz w:val="18"/>
              </w:rPr>
              <w:t>$</w:t>
            </w:r>
          </w:p>
        </w:tc>
        <w:tc>
          <w:tcPr>
            <w:tcW w:w="916" w:type="dxa"/>
            <w:tcBorders>
              <w:bottom w:val="single" w:sz="2" w:space="0" w:color="4B5088"/>
            </w:tcBorders>
            <w:shd w:fill="E9F9D8" w:val="clear"/>
            <w:tcMar>
              <w:bottom w:w="63" w:type="dxa"/>
            </w:tcMar>
            <w:vAlign w:val="center"/>
          </w:tcPr>
          <w:p>
            <w:pPr>
              <w:pStyle w:val="TableContents"/>
              <w:bidi w:val="0"/>
              <w:spacing w:before="0" w:after="0"/>
              <w:jc w:val="right"/>
              <w:rPr>
                <w:sz w:val="18"/>
              </w:rPr>
            </w:pPr>
            <w:r>
              <w:rPr>
                <w:sz w:val="18"/>
              </w:rPr>
              <w:t>2,218,778</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63" w:type="dxa"/>
            </w:tcMar>
            <w:vAlign w:val="center"/>
          </w:tcPr>
          <w:p>
            <w:pPr>
              <w:pStyle w:val="TableContents"/>
              <w:bidi w:val="0"/>
              <w:spacing w:before="0" w:after="0"/>
              <w:jc w:val="right"/>
              <w:rPr/>
            </w:pPr>
            <w:r>
              <w:rPr/>
              <w:t>​</w:t>
            </w:r>
          </w:p>
        </w:tc>
        <w:tc>
          <w:tcPr>
            <w:tcW w:w="691" w:type="dxa"/>
            <w:tcBorders>
              <w:bottom w:val="single" w:sz="2" w:space="0" w:color="4B5088"/>
            </w:tcBorders>
            <w:shd w:fill="E9F9D8" w:val="clear"/>
            <w:tcMar>
              <w:bottom w:w="63" w:type="dxa"/>
            </w:tcMar>
            <w:vAlign w:val="center"/>
          </w:tcPr>
          <w:p>
            <w:pPr>
              <w:pStyle w:val="TableContents"/>
              <w:bidi w:val="0"/>
              <w:spacing w:before="0" w:after="0"/>
              <w:jc w:val="right"/>
              <w:rPr>
                <w:sz w:val="18"/>
              </w:rPr>
            </w:pPr>
            <w:r>
              <w:rPr>
                <w:sz w:val="18"/>
              </w:rPr>
              <w:t>21,199</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96" w:type="dxa"/>
            <w:tcBorders>
              <w:bottom w:val="single" w:sz="2" w:space="0" w:color="4B5088"/>
            </w:tcBorders>
            <w:shd w:fill="E9F9D8" w:val="clear"/>
            <w:tcMar>
              <w:bottom w:w="63" w:type="dxa"/>
            </w:tcMar>
            <w:vAlign w:val="center"/>
          </w:tcPr>
          <w:p>
            <w:pPr>
              <w:pStyle w:val="TableContents"/>
              <w:bidi w:val="0"/>
              <w:spacing w:before="0" w:after="0"/>
              <w:jc w:val="right"/>
              <w:rPr>
                <w:sz w:val="18"/>
              </w:rPr>
            </w:pPr>
            <w:r>
              <w:rPr>
                <w:sz w:val="18"/>
              </w:rPr>
              <w:t>$</w:t>
            </w:r>
          </w:p>
        </w:tc>
        <w:tc>
          <w:tcPr>
            <w:tcW w:w="826" w:type="dxa"/>
            <w:tcBorders>
              <w:bottom w:val="single" w:sz="2" w:space="0" w:color="4B5088"/>
            </w:tcBorders>
            <w:shd w:fill="E9F9D8" w:val="clear"/>
            <w:tcMar>
              <w:bottom w:w="63" w:type="dxa"/>
            </w:tcMar>
            <w:vAlign w:val="center"/>
          </w:tcPr>
          <w:p>
            <w:pPr>
              <w:pStyle w:val="TableContents"/>
              <w:bidi w:val="0"/>
              <w:spacing w:before="0" w:after="0"/>
              <w:jc w:val="right"/>
              <w:rPr>
                <w:sz w:val="18"/>
              </w:rPr>
            </w:pPr>
            <w:r>
              <w:rPr>
                <w:sz w:val="18"/>
              </w:rPr>
              <w:t>972,398</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280"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For each of our named executive officers, includes the following:</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77800" distB="0" distL="0" distR="0" simplePos="0" locked="0" layoutInCell="1" allowOverlap="1" relativeHeight="715">
                <wp:simplePos x="0" y="0"/>
                <wp:positionH relativeFrom="column">
                  <wp:align>left</wp:align>
                </wp:positionH>
                <wp:positionV relativeFrom="line">
                  <wp:align>top</wp:align>
                </wp:positionV>
                <wp:extent cx="254000" cy="350520"/>
                <wp:effectExtent l="0" t="0" r="0" b="0"/>
                <wp:wrapSquare wrapText="right"/>
                <wp:docPr id="816" name="Frame46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4pt;mso-wrap-distance-bottom:0pt;margin-top:14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(1)</w:t>
                      </w:r>
                      <w:r>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tbl>
      <w:tblPr>
        <w:tblW w:w="10621" w:type="dxa"/>
        <w:jc w:val="left"/>
        <w:tblInd w:w="900" w:type="dxa"/>
        <w:tblLayout w:type="fixed"/>
        <w:tblCellMar>
          <w:top w:w="0" w:type="dxa"/>
          <w:left w:w="0" w:type="dxa"/>
          <w:bottom w:w="73" w:type="dxa"/>
          <w:right w:w="0" w:type="dxa"/>
        </w:tblCellMar>
      </w:tblPr>
      <w:tblGrid>
        <w:gridCol w:w="1110"/>
        <w:gridCol w:w="109"/>
        <w:gridCol w:w="109"/>
        <w:gridCol w:w="153"/>
        <w:gridCol w:w="153"/>
        <w:gridCol w:w="910"/>
        <w:gridCol w:w="155"/>
        <w:gridCol w:w="109"/>
        <w:gridCol w:w="109"/>
        <w:gridCol w:w="123"/>
        <w:gridCol w:w="123"/>
        <w:gridCol w:w="1001"/>
        <w:gridCol w:w="124"/>
        <w:gridCol w:w="109"/>
        <w:gridCol w:w="109"/>
        <w:gridCol w:w="136"/>
        <w:gridCol w:w="136"/>
        <w:gridCol w:w="960"/>
        <w:gridCol w:w="139"/>
        <w:gridCol w:w="109"/>
        <w:gridCol w:w="109"/>
        <w:gridCol w:w="109"/>
        <w:gridCol w:w="109"/>
        <w:gridCol w:w="985"/>
        <w:gridCol w:w="109"/>
        <w:gridCol w:w="109"/>
        <w:gridCol w:w="109"/>
        <w:gridCol w:w="127"/>
        <w:gridCol w:w="127"/>
        <w:gridCol w:w="929"/>
        <w:gridCol w:w="129"/>
        <w:gridCol w:w="109"/>
        <w:gridCol w:w="109"/>
        <w:gridCol w:w="127"/>
        <w:gridCol w:w="127"/>
        <w:gridCol w:w="929"/>
        <w:gridCol w:w="129"/>
        <w:gridCol w:w="154"/>
      </w:tblGrid>
      <w:tr>
        <w:trPr/>
        <w:tc>
          <w:tcPr>
            <w:tcW w:w="1110" w:type="dxa"/>
            <w:tcBorders>
              <w:bottom w:val="single" w:sz="2" w:space="0" w:color="1F2668"/>
            </w:tcBorders>
            <w:vAlign w:val="center"/>
          </w:tcPr>
          <w:p>
            <w:pPr>
              <w:pStyle w:val="TableContents"/>
              <w:bidi w:val="0"/>
              <w:spacing w:before="0" w:after="0"/>
              <w:jc w:val="left"/>
              <w:rPr>
                <w:spacing w:val="-1"/>
              </w:rPr>
            </w:pPr>
            <w:r>
              <w:rPr>
                <w:spacing w:val="-1"/>
              </w:rPr>
              <w:t xml:space="preserve">Executive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71" w:type="dxa"/>
            <w:gridSpan w:val="4"/>
            <w:tcBorders>
              <w:bottom w:val="single" w:sz="2" w:space="0" w:color="1F2668"/>
            </w:tcBorders>
            <w:vAlign w:val="center"/>
          </w:tcPr>
          <w:p>
            <w:pPr>
              <w:pStyle w:val="TableContents"/>
              <w:bidi w:val="0"/>
              <w:spacing w:before="0" w:after="0"/>
              <w:jc w:val="right"/>
              <w:rPr/>
            </w:pPr>
            <w:r>
              <w:rPr>
                <w:spacing w:val="-1"/>
              </w:rPr>
              <w:t xml:space="preserve">2025 </w:t>
              <w:br/>
              <w:t xml:space="preserve">Operational </w:t>
              <w:br/>
              <w:t xml:space="preserve">Performance- </w:t>
              <w:br/>
              <w:t xml:space="preserve">Based LTIP </w:t>
              <w:br/>
              <w:t>Units(a)</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71" w:type="dxa"/>
            <w:gridSpan w:val="4"/>
            <w:tcBorders>
              <w:bottom w:val="single" w:sz="2" w:space="0" w:color="1F2668"/>
            </w:tcBorders>
            <w:vAlign w:val="center"/>
          </w:tcPr>
          <w:p>
            <w:pPr>
              <w:pStyle w:val="TableContents"/>
              <w:bidi w:val="0"/>
              <w:spacing w:lineRule="atLeast" w:line="142" w:before="0" w:after="0"/>
              <w:jc w:val="right"/>
              <w:rPr/>
            </w:pPr>
            <w:r>
              <w:rPr>
                <w:spacing w:val="-1"/>
              </w:rPr>
              <w:t xml:space="preserve">2024 </w:t>
              <w:br/>
              <w:t xml:space="preserve">Operational </w:t>
              <w:br/>
              <w:t xml:space="preserve">Performance- </w:t>
              <w:br/>
              <w:t xml:space="preserve">Based LTIP </w:t>
              <w:br/>
              <w:t>Units</w:t>
            </w:r>
            <w:r>
              <w:rPr>
                <w:spacing w:val="-1"/>
                <w:sz w:val="9"/>
              </w:rPr>
              <w:t>(b)</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71" w:type="dxa"/>
            <w:gridSpan w:val="4"/>
            <w:tcBorders>
              <w:bottom w:val="single" w:sz="2" w:space="0" w:color="1F2668"/>
            </w:tcBorders>
            <w:vAlign w:val="center"/>
          </w:tcPr>
          <w:p>
            <w:pPr>
              <w:pStyle w:val="TableContents"/>
              <w:bidi w:val="0"/>
              <w:spacing w:lineRule="atLeast" w:line="142" w:before="0" w:after="0"/>
              <w:jc w:val="right"/>
              <w:rPr/>
            </w:pPr>
            <w:r>
              <w:rPr>
                <w:spacing w:val="-1"/>
              </w:rPr>
              <w:t xml:space="preserve">2023 </w:t>
              <w:br/>
              <w:t xml:space="preserve">Operational </w:t>
              <w:br/>
              <w:t xml:space="preserve">Performance- </w:t>
              <w:br/>
              <w:t xml:space="preserve">Based LTIP </w:t>
              <w:br/>
              <w:t>Units</w:t>
            </w:r>
            <w:r>
              <w:rPr>
                <w:spacing w:val="-1"/>
                <w:sz w:val="9"/>
              </w:rPr>
              <w:t>(c)</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12" w:type="dxa"/>
            <w:gridSpan w:val="4"/>
            <w:tcBorders>
              <w:bottom w:val="single" w:sz="2" w:space="0" w:color="1F2668"/>
            </w:tcBorders>
            <w:vAlign w:val="center"/>
          </w:tcPr>
          <w:p>
            <w:pPr>
              <w:pStyle w:val="TableContents"/>
              <w:bidi w:val="0"/>
              <w:spacing w:before="0" w:after="0"/>
              <w:jc w:val="right"/>
              <w:rPr/>
            </w:pPr>
            <w:r>
              <w:rPr>
                <w:spacing w:val="-1"/>
              </w:rPr>
              <w:t xml:space="preserve">2025 </w:t>
              <w:br/>
              <w:t xml:space="preserve">Time-Based </w:t>
              <w:br/>
              <w:t xml:space="preserve">Employment </w:t>
              <w:br/>
              <w:t xml:space="preserve">Agreement </w:t>
              <w:br/>
              <w:t>LTIP Units</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12" w:type="dxa"/>
            <w:gridSpan w:val="4"/>
            <w:tcBorders>
              <w:bottom w:val="single" w:sz="2" w:space="0" w:color="1F2668"/>
            </w:tcBorders>
            <w:vAlign w:val="center"/>
          </w:tcPr>
          <w:p>
            <w:pPr>
              <w:pStyle w:val="TableContents"/>
              <w:bidi w:val="0"/>
              <w:spacing w:before="0" w:after="0"/>
              <w:jc w:val="right"/>
              <w:rPr/>
            </w:pPr>
            <w:r>
              <w:rPr>
                <w:spacing w:val="-1"/>
              </w:rPr>
              <w:t xml:space="preserve">2024 </w:t>
              <w:br/>
              <w:t xml:space="preserve">Time-Based </w:t>
              <w:br/>
              <w:t xml:space="preserve">Employment </w:t>
              <w:br/>
              <w:t xml:space="preserve">Agreement </w:t>
              <w:br/>
              <w:t>LTIP Units</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12" w:type="dxa"/>
            <w:gridSpan w:val="4"/>
            <w:tcBorders>
              <w:bottom w:val="single" w:sz="2" w:space="0" w:color="1F2668"/>
            </w:tcBorders>
            <w:vAlign w:val="center"/>
          </w:tcPr>
          <w:p>
            <w:pPr>
              <w:pStyle w:val="TableContents"/>
              <w:bidi w:val="0"/>
              <w:spacing w:before="0" w:after="0"/>
              <w:jc w:val="right"/>
              <w:rPr/>
            </w:pPr>
            <w:r>
              <w:rPr>
                <w:spacing w:val="-1"/>
              </w:rPr>
              <w:t xml:space="preserve">2023 </w:t>
              <w:br/>
              <w:t xml:space="preserve">Time-Based </w:t>
              <w:br/>
              <w:t xml:space="preserve">Employment </w:t>
              <w:br/>
              <w:t xml:space="preserve">Agreement </w:t>
              <w:br/>
              <w:t>LTIP Units</w:t>
            </w:r>
            <w:r>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110" w:type="dxa"/>
            <w:tcBorders>
              <w:bottom w:val="single" w:sz="2" w:space="0" w:color="4B5088"/>
            </w:tcBorders>
            <w:tcMar>
              <w:bottom w:w="76" w:type="dxa"/>
            </w:tcMar>
            <w:vAlign w:val="center"/>
          </w:tcPr>
          <w:p>
            <w:pPr>
              <w:pStyle w:val="TableContents"/>
              <w:bidi w:val="0"/>
              <w:spacing w:before="0" w:after="0"/>
              <w:jc w:val="left"/>
              <w:rPr>
                <w:b/>
                <w:color w:val="1F2668"/>
              </w:rPr>
            </w:pPr>
            <w:r>
              <w:rPr>
                <w:b/>
                <w:color w:val="1F2668"/>
                <w:spacing w:val="-2"/>
              </w:rPr>
              <w:t>Marc Holliday</w:t>
            </w:r>
            <w:r>
              <w:rPr>
                <w:b/>
                <w:color w:val="1F2668"/>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3" w:type="dxa"/>
            <w:tcBorders>
              <w:bottom w:val="single" w:sz="2" w:space="0" w:color="4B5088"/>
            </w:tcBorders>
            <w:tcMar>
              <w:bottom w:w="28" w:type="dxa"/>
            </w:tcMar>
            <w:vAlign w:val="center"/>
          </w:tcPr>
          <w:p>
            <w:pPr>
              <w:pStyle w:val="TableContents"/>
              <w:bidi w:val="0"/>
              <w:spacing w:before="0" w:after="283"/>
              <w:jc w:val="left"/>
              <w:rPr/>
            </w:pPr>
            <w:r>
              <w:rPr/>
              <w:t>​</w:t>
            </w:r>
          </w:p>
        </w:tc>
        <w:tc>
          <w:tcPr>
            <w:tcW w:w="153" w:type="dxa"/>
            <w:tcBorders>
              <w:bottom w:val="single" w:sz="2" w:space="0" w:color="4B5088"/>
            </w:tcBorders>
            <w:tcMar>
              <w:bottom w:w="76" w:type="dxa"/>
            </w:tcMar>
            <w:vAlign w:val="center"/>
          </w:tcPr>
          <w:p>
            <w:pPr>
              <w:pStyle w:val="TableContents"/>
              <w:bidi w:val="0"/>
              <w:spacing w:before="0" w:after="283"/>
              <w:jc w:val="right"/>
              <w:rPr/>
            </w:pPr>
            <w:r>
              <w:rPr/>
              <w:t>​</w:t>
            </w:r>
          </w:p>
        </w:tc>
        <w:tc>
          <w:tcPr>
            <w:tcW w:w="910" w:type="dxa"/>
            <w:tcBorders>
              <w:bottom w:val="single" w:sz="2" w:space="0" w:color="4B5088"/>
            </w:tcBorders>
            <w:tcMar>
              <w:bottom w:w="76" w:type="dxa"/>
            </w:tcMar>
            <w:vAlign w:val="center"/>
          </w:tcPr>
          <w:p>
            <w:pPr>
              <w:pStyle w:val="TableContents"/>
              <w:bidi w:val="0"/>
              <w:spacing w:before="0" w:after="283"/>
              <w:jc w:val="right"/>
              <w:rPr/>
            </w:pPr>
            <w:r>
              <w:rPr/>
              <w:t>—</w:t>
            </w:r>
          </w:p>
        </w:tc>
        <w:tc>
          <w:tcPr>
            <w:tcW w:w="155"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3" w:type="dxa"/>
            <w:tcBorders>
              <w:bottom w:val="single" w:sz="2" w:space="0" w:color="4B5088"/>
            </w:tcBorders>
            <w:tcMar>
              <w:bottom w:w="28" w:type="dxa"/>
            </w:tcMar>
            <w:vAlign w:val="center"/>
          </w:tcPr>
          <w:p>
            <w:pPr>
              <w:pStyle w:val="TableContents"/>
              <w:bidi w:val="0"/>
              <w:spacing w:before="0" w:after="283"/>
              <w:jc w:val="left"/>
              <w:rPr/>
            </w:pPr>
            <w:r>
              <w:rPr/>
              <w:t>​</w:t>
            </w:r>
          </w:p>
        </w:tc>
        <w:tc>
          <w:tcPr>
            <w:tcW w:w="123" w:type="dxa"/>
            <w:tcBorders>
              <w:bottom w:val="single" w:sz="2" w:space="0" w:color="4B5088"/>
            </w:tcBorders>
            <w:tcMar>
              <w:bottom w:w="76" w:type="dxa"/>
            </w:tcMar>
            <w:vAlign w:val="center"/>
          </w:tcPr>
          <w:p>
            <w:pPr>
              <w:pStyle w:val="TableContents"/>
              <w:bidi w:val="0"/>
              <w:spacing w:before="0" w:after="283"/>
              <w:jc w:val="right"/>
              <w:rPr/>
            </w:pPr>
            <w:r>
              <w:rPr/>
              <w:t>​</w:t>
            </w:r>
          </w:p>
        </w:tc>
        <w:tc>
          <w:tcPr>
            <w:tcW w:w="1001" w:type="dxa"/>
            <w:tcBorders>
              <w:bottom w:val="single" w:sz="2" w:space="0" w:color="4B5088"/>
            </w:tcBorders>
            <w:tcMar>
              <w:bottom w:w="76" w:type="dxa"/>
            </w:tcMar>
            <w:vAlign w:val="center"/>
          </w:tcPr>
          <w:p>
            <w:pPr>
              <w:pStyle w:val="TableContents"/>
              <w:bidi w:val="0"/>
              <w:spacing w:before="0" w:after="283"/>
              <w:jc w:val="right"/>
              <w:rPr/>
            </w:pPr>
            <w:r>
              <w:rPr/>
              <w:t>113,278</w:t>
            </w:r>
          </w:p>
        </w:tc>
        <w:tc>
          <w:tcPr>
            <w:tcW w:w="124"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6" w:type="dxa"/>
            <w:tcBorders>
              <w:bottom w:val="single" w:sz="2" w:space="0" w:color="4B5088"/>
            </w:tcBorders>
            <w:tcMar>
              <w:bottom w:w="28" w:type="dxa"/>
            </w:tcMar>
            <w:vAlign w:val="center"/>
          </w:tcPr>
          <w:p>
            <w:pPr>
              <w:pStyle w:val="TableContents"/>
              <w:bidi w:val="0"/>
              <w:spacing w:before="0" w:after="283"/>
              <w:jc w:val="left"/>
              <w:rPr/>
            </w:pPr>
            <w:r>
              <w:rPr/>
              <w:t>​</w:t>
            </w:r>
          </w:p>
        </w:tc>
        <w:tc>
          <w:tcPr>
            <w:tcW w:w="136" w:type="dxa"/>
            <w:tcBorders>
              <w:bottom w:val="single" w:sz="2" w:space="0" w:color="4B5088"/>
            </w:tcBorders>
            <w:tcMar>
              <w:bottom w:w="76" w:type="dxa"/>
            </w:tcMar>
            <w:vAlign w:val="center"/>
          </w:tcPr>
          <w:p>
            <w:pPr>
              <w:pStyle w:val="TableContents"/>
              <w:bidi w:val="0"/>
              <w:spacing w:before="0" w:after="283"/>
              <w:jc w:val="right"/>
              <w:rPr/>
            </w:pPr>
            <w:r>
              <w:rPr/>
              <w:t>​</w:t>
            </w:r>
          </w:p>
        </w:tc>
        <w:tc>
          <w:tcPr>
            <w:tcW w:w="960" w:type="dxa"/>
            <w:tcBorders>
              <w:bottom w:val="single" w:sz="2" w:space="0" w:color="4B5088"/>
            </w:tcBorders>
            <w:tcMar>
              <w:bottom w:w="76" w:type="dxa"/>
            </w:tcMar>
            <w:vAlign w:val="center"/>
          </w:tcPr>
          <w:p>
            <w:pPr>
              <w:pStyle w:val="TableContents"/>
              <w:bidi w:val="0"/>
              <w:spacing w:before="0" w:after="283"/>
              <w:jc w:val="right"/>
              <w:rPr/>
            </w:pPr>
            <w:r>
              <w:rPr/>
              <w:t>—</w:t>
            </w:r>
          </w:p>
        </w:tc>
        <w:tc>
          <w:tcPr>
            <w:tcW w:w="13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985" w:type="dxa"/>
            <w:tcBorders>
              <w:bottom w:val="single" w:sz="2" w:space="0" w:color="4B5088"/>
            </w:tcBorders>
            <w:tcMar>
              <w:bottom w:w="76" w:type="dxa"/>
            </w:tcMar>
            <w:vAlign w:val="center"/>
          </w:tcPr>
          <w:p>
            <w:pPr>
              <w:pStyle w:val="TableContents"/>
              <w:bidi w:val="0"/>
              <w:spacing w:before="0" w:after="283"/>
              <w:jc w:val="right"/>
              <w:rPr/>
            </w:pPr>
            <w:r>
              <w:rPr/>
              <w:t>115,418</w:t>
            </w:r>
            <w:r>
              <w:rPr>
                <w:sz w:val="10"/>
              </w:rPr>
              <w:t>(d)</w:t>
            </w:r>
            <w:r>
              <w:rPr/>
              <w:t xml:space="preserve">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127" w:type="dxa"/>
            <w:tcBorders>
              <w:bottom w:val="single" w:sz="2" w:space="0" w:color="4B5088"/>
            </w:tcBorders>
            <w:tcMar>
              <w:bottom w:w="76" w:type="dxa"/>
            </w:tcMar>
            <w:vAlign w:val="center"/>
          </w:tcPr>
          <w:p>
            <w:pPr>
              <w:pStyle w:val="TableContents"/>
              <w:bidi w:val="0"/>
              <w:spacing w:before="0" w:after="283"/>
              <w:jc w:val="right"/>
              <w:rPr/>
            </w:pPr>
            <w:r>
              <w:rPr/>
              <w:t>​</w:t>
            </w:r>
          </w:p>
        </w:tc>
        <w:tc>
          <w:tcPr>
            <w:tcW w:w="929" w:type="dxa"/>
            <w:tcBorders>
              <w:bottom w:val="single" w:sz="2" w:space="0" w:color="4B5088"/>
            </w:tcBorders>
            <w:tcMar>
              <w:bottom w:w="76" w:type="dxa"/>
            </w:tcMar>
            <w:vAlign w:val="center"/>
          </w:tcPr>
          <w:p>
            <w:pPr>
              <w:pStyle w:val="TableContents"/>
              <w:bidi w:val="0"/>
              <w:spacing w:before="0" w:after="283"/>
              <w:jc w:val="right"/>
              <w:rPr/>
            </w:pPr>
            <w:r>
              <w:rPr/>
              <w:t>64,731</w:t>
            </w:r>
            <w:r>
              <w:rPr>
                <w:sz w:val="10"/>
              </w:rPr>
              <w:t>(f)</w:t>
            </w:r>
            <w:r>
              <w:rPr/>
              <w:t xml:space="preserve"> </w:t>
            </w:r>
          </w:p>
        </w:tc>
        <w:tc>
          <w:tcPr>
            <w:tcW w:w="12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127" w:type="dxa"/>
            <w:tcBorders>
              <w:bottom w:val="single" w:sz="2" w:space="0" w:color="4B5088"/>
            </w:tcBorders>
            <w:tcMar>
              <w:bottom w:w="76" w:type="dxa"/>
            </w:tcMar>
            <w:vAlign w:val="center"/>
          </w:tcPr>
          <w:p>
            <w:pPr>
              <w:pStyle w:val="TableContents"/>
              <w:bidi w:val="0"/>
              <w:spacing w:before="0" w:after="283"/>
              <w:jc w:val="right"/>
              <w:rPr/>
            </w:pPr>
            <w:r>
              <w:rPr/>
              <w:t>​</w:t>
            </w:r>
          </w:p>
        </w:tc>
        <w:tc>
          <w:tcPr>
            <w:tcW w:w="929" w:type="dxa"/>
            <w:tcBorders>
              <w:bottom w:val="single" w:sz="2" w:space="0" w:color="4B5088"/>
            </w:tcBorders>
            <w:tcMar>
              <w:bottom w:w="76" w:type="dxa"/>
            </w:tcMar>
            <w:vAlign w:val="center"/>
          </w:tcPr>
          <w:p>
            <w:pPr>
              <w:pStyle w:val="TableContents"/>
              <w:bidi w:val="0"/>
              <w:spacing w:before="0" w:after="283"/>
              <w:jc w:val="right"/>
              <w:rPr/>
            </w:pPr>
            <w:r>
              <w:rPr/>
              <w:t>44,719</w:t>
            </w:r>
            <w:r>
              <w:rPr>
                <w:sz w:val="10"/>
              </w:rPr>
              <w:t>(h)</w:t>
            </w:r>
            <w:r>
              <w:rPr/>
              <w:t xml:space="preserve"> </w:t>
            </w:r>
          </w:p>
        </w:tc>
        <w:tc>
          <w:tcPr>
            <w:tcW w:w="129"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110" w:type="dxa"/>
            <w:tcBorders>
              <w:bottom w:val="single" w:sz="2" w:space="0" w:color="4B5088"/>
            </w:tcBorders>
            <w:tcMar>
              <w:bottom w:w="76" w:type="dxa"/>
            </w:tcMar>
            <w:vAlign w:val="center"/>
          </w:tcPr>
          <w:p>
            <w:pPr>
              <w:pStyle w:val="TableContents"/>
              <w:bidi w:val="0"/>
              <w:spacing w:before="0" w:after="0"/>
              <w:jc w:val="left"/>
              <w:rPr>
                <w:b/>
                <w:color w:val="1F2668"/>
              </w:rPr>
            </w:pPr>
            <w:r>
              <w:rPr>
                <w:b/>
                <w:color w:val="1F2668"/>
                <w:spacing w:val="-2"/>
              </w:rPr>
              <w:t>Matthew J. DiLiberto</w:t>
            </w:r>
            <w:r>
              <w:rPr>
                <w:b/>
                <w:color w:val="1F2668"/>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3" w:type="dxa"/>
            <w:tcBorders>
              <w:bottom w:val="single" w:sz="2" w:space="0" w:color="4B5088"/>
            </w:tcBorders>
            <w:tcMar>
              <w:bottom w:w="28" w:type="dxa"/>
            </w:tcMar>
            <w:vAlign w:val="center"/>
          </w:tcPr>
          <w:p>
            <w:pPr>
              <w:pStyle w:val="TableContents"/>
              <w:bidi w:val="0"/>
              <w:spacing w:before="0" w:after="283"/>
              <w:jc w:val="left"/>
              <w:rPr/>
            </w:pPr>
            <w:r>
              <w:rPr/>
              <w:t>​</w:t>
            </w:r>
          </w:p>
        </w:tc>
        <w:tc>
          <w:tcPr>
            <w:tcW w:w="153" w:type="dxa"/>
            <w:tcBorders>
              <w:bottom w:val="single" w:sz="2" w:space="0" w:color="4B5088"/>
            </w:tcBorders>
            <w:tcMar>
              <w:bottom w:w="76" w:type="dxa"/>
            </w:tcMar>
            <w:vAlign w:val="center"/>
          </w:tcPr>
          <w:p>
            <w:pPr>
              <w:pStyle w:val="TableContents"/>
              <w:bidi w:val="0"/>
              <w:spacing w:before="0" w:after="283"/>
              <w:jc w:val="right"/>
              <w:rPr/>
            </w:pPr>
            <w:r>
              <w:rPr/>
              <w:t>​</w:t>
            </w:r>
          </w:p>
        </w:tc>
        <w:tc>
          <w:tcPr>
            <w:tcW w:w="910" w:type="dxa"/>
            <w:tcBorders>
              <w:bottom w:val="single" w:sz="2" w:space="0" w:color="4B5088"/>
            </w:tcBorders>
            <w:tcMar>
              <w:bottom w:w="76" w:type="dxa"/>
            </w:tcMar>
            <w:vAlign w:val="center"/>
          </w:tcPr>
          <w:p>
            <w:pPr>
              <w:pStyle w:val="TableContents"/>
              <w:bidi w:val="0"/>
              <w:spacing w:before="0" w:after="283"/>
              <w:jc w:val="right"/>
              <w:rPr/>
            </w:pPr>
            <w:r>
              <w:rPr/>
              <w:t>6,011</w:t>
            </w:r>
          </w:p>
        </w:tc>
        <w:tc>
          <w:tcPr>
            <w:tcW w:w="155"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3" w:type="dxa"/>
            <w:tcBorders>
              <w:bottom w:val="single" w:sz="2" w:space="0" w:color="4B5088"/>
            </w:tcBorders>
            <w:tcMar>
              <w:bottom w:w="28" w:type="dxa"/>
            </w:tcMar>
            <w:vAlign w:val="center"/>
          </w:tcPr>
          <w:p>
            <w:pPr>
              <w:pStyle w:val="TableContents"/>
              <w:bidi w:val="0"/>
              <w:spacing w:before="0" w:after="283"/>
              <w:jc w:val="left"/>
              <w:rPr/>
            </w:pPr>
            <w:r>
              <w:rPr/>
              <w:t>​</w:t>
            </w:r>
          </w:p>
        </w:tc>
        <w:tc>
          <w:tcPr>
            <w:tcW w:w="123" w:type="dxa"/>
            <w:tcBorders>
              <w:bottom w:val="single" w:sz="2" w:space="0" w:color="4B5088"/>
            </w:tcBorders>
            <w:tcMar>
              <w:bottom w:w="76" w:type="dxa"/>
            </w:tcMar>
            <w:vAlign w:val="center"/>
          </w:tcPr>
          <w:p>
            <w:pPr>
              <w:pStyle w:val="TableContents"/>
              <w:bidi w:val="0"/>
              <w:spacing w:before="0" w:after="283"/>
              <w:jc w:val="right"/>
              <w:rPr/>
            </w:pPr>
            <w:r>
              <w:rPr/>
              <w:t>​</w:t>
            </w:r>
          </w:p>
        </w:tc>
        <w:tc>
          <w:tcPr>
            <w:tcW w:w="1001" w:type="dxa"/>
            <w:tcBorders>
              <w:bottom w:val="single" w:sz="2" w:space="0" w:color="4B5088"/>
            </w:tcBorders>
            <w:tcMar>
              <w:bottom w:w="76" w:type="dxa"/>
            </w:tcMar>
            <w:vAlign w:val="center"/>
          </w:tcPr>
          <w:p>
            <w:pPr>
              <w:pStyle w:val="TableContents"/>
              <w:bidi w:val="0"/>
              <w:spacing w:before="0" w:after="283"/>
              <w:jc w:val="right"/>
              <w:rPr/>
            </w:pPr>
            <w:r>
              <w:rPr/>
              <w:t>8,391</w:t>
            </w:r>
          </w:p>
        </w:tc>
        <w:tc>
          <w:tcPr>
            <w:tcW w:w="124"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6" w:type="dxa"/>
            <w:tcBorders>
              <w:bottom w:val="single" w:sz="2" w:space="0" w:color="4B5088"/>
            </w:tcBorders>
            <w:tcMar>
              <w:bottom w:w="28" w:type="dxa"/>
            </w:tcMar>
            <w:vAlign w:val="center"/>
          </w:tcPr>
          <w:p>
            <w:pPr>
              <w:pStyle w:val="TableContents"/>
              <w:bidi w:val="0"/>
              <w:spacing w:before="0" w:after="283"/>
              <w:jc w:val="left"/>
              <w:rPr/>
            </w:pPr>
            <w:r>
              <w:rPr/>
              <w:t>​</w:t>
            </w:r>
          </w:p>
        </w:tc>
        <w:tc>
          <w:tcPr>
            <w:tcW w:w="136" w:type="dxa"/>
            <w:tcBorders>
              <w:bottom w:val="single" w:sz="2" w:space="0" w:color="4B5088"/>
            </w:tcBorders>
            <w:tcMar>
              <w:bottom w:w="76" w:type="dxa"/>
            </w:tcMar>
            <w:vAlign w:val="center"/>
          </w:tcPr>
          <w:p>
            <w:pPr>
              <w:pStyle w:val="TableContents"/>
              <w:bidi w:val="0"/>
              <w:spacing w:before="0" w:after="283"/>
              <w:jc w:val="right"/>
              <w:rPr/>
            </w:pPr>
            <w:r>
              <w:rPr/>
              <w:t>​</w:t>
            </w:r>
          </w:p>
        </w:tc>
        <w:tc>
          <w:tcPr>
            <w:tcW w:w="960" w:type="dxa"/>
            <w:tcBorders>
              <w:bottom w:val="single" w:sz="2" w:space="0" w:color="4B5088"/>
            </w:tcBorders>
            <w:tcMar>
              <w:bottom w:w="76" w:type="dxa"/>
            </w:tcMar>
            <w:vAlign w:val="center"/>
          </w:tcPr>
          <w:p>
            <w:pPr>
              <w:pStyle w:val="TableContents"/>
              <w:bidi w:val="0"/>
              <w:spacing w:before="0" w:after="283"/>
              <w:jc w:val="right"/>
              <w:rPr/>
            </w:pPr>
            <w:r>
              <w:rPr/>
              <w:t>13,416</w:t>
            </w:r>
          </w:p>
        </w:tc>
        <w:tc>
          <w:tcPr>
            <w:tcW w:w="13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985" w:type="dxa"/>
            <w:tcBorders>
              <w:bottom w:val="single" w:sz="2" w:space="0" w:color="4B5088"/>
            </w:tcBorders>
            <w:tcMar>
              <w:bottom w:w="76" w:type="dxa"/>
            </w:tcMar>
            <w:vAlign w:val="center"/>
          </w:tcPr>
          <w:p>
            <w:pPr>
              <w:pStyle w:val="TableContents"/>
              <w:bidi w:val="0"/>
              <w:spacing w:before="0" w:after="283"/>
              <w:jc w:val="right"/>
              <w:rPr/>
            </w:pPr>
            <w:r>
              <w:rPr/>
              <w:t>30,778</w:t>
            </w:r>
            <w:r>
              <w:rPr>
                <w:sz w:val="10"/>
              </w:rPr>
              <w:t>(e)</w:t>
            </w:r>
            <w:r>
              <w:rPr/>
              <w:t xml:space="preserve">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127" w:type="dxa"/>
            <w:tcBorders>
              <w:bottom w:val="single" w:sz="2" w:space="0" w:color="4B5088"/>
            </w:tcBorders>
            <w:tcMar>
              <w:bottom w:w="76" w:type="dxa"/>
            </w:tcMar>
            <w:vAlign w:val="center"/>
          </w:tcPr>
          <w:p>
            <w:pPr>
              <w:pStyle w:val="TableContents"/>
              <w:bidi w:val="0"/>
              <w:spacing w:before="0" w:after="283"/>
              <w:jc w:val="right"/>
              <w:rPr/>
            </w:pPr>
            <w:r>
              <w:rPr/>
              <w:t>​</w:t>
            </w:r>
          </w:p>
        </w:tc>
        <w:tc>
          <w:tcPr>
            <w:tcW w:w="929" w:type="dxa"/>
            <w:tcBorders>
              <w:bottom w:val="single" w:sz="2" w:space="0" w:color="4B5088"/>
            </w:tcBorders>
            <w:tcMar>
              <w:bottom w:w="76" w:type="dxa"/>
            </w:tcMar>
            <w:vAlign w:val="center"/>
          </w:tcPr>
          <w:p>
            <w:pPr>
              <w:pStyle w:val="TableContents"/>
              <w:bidi w:val="0"/>
              <w:spacing w:before="0" w:after="283"/>
              <w:jc w:val="right"/>
              <w:rPr/>
            </w:pPr>
            <w:r>
              <w:rPr/>
              <w:t>15,104</w:t>
            </w:r>
            <w:r>
              <w:rPr>
                <w:sz w:val="10"/>
              </w:rPr>
              <w:t>(g)</w:t>
            </w:r>
            <w:r>
              <w:rPr/>
              <w:t xml:space="preserve"> </w:t>
            </w:r>
          </w:p>
        </w:tc>
        <w:tc>
          <w:tcPr>
            <w:tcW w:w="12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127" w:type="dxa"/>
            <w:tcBorders>
              <w:bottom w:val="single" w:sz="2" w:space="0" w:color="4B5088"/>
            </w:tcBorders>
            <w:tcMar>
              <w:bottom w:w="76" w:type="dxa"/>
            </w:tcMar>
            <w:vAlign w:val="center"/>
          </w:tcPr>
          <w:p>
            <w:pPr>
              <w:pStyle w:val="TableContents"/>
              <w:bidi w:val="0"/>
              <w:spacing w:before="0" w:after="283"/>
              <w:jc w:val="right"/>
              <w:rPr/>
            </w:pPr>
            <w:r>
              <w:rPr/>
              <w:t>​</w:t>
            </w:r>
          </w:p>
        </w:tc>
        <w:tc>
          <w:tcPr>
            <w:tcW w:w="929" w:type="dxa"/>
            <w:tcBorders>
              <w:bottom w:val="single" w:sz="2" w:space="0" w:color="4B5088"/>
            </w:tcBorders>
            <w:tcMar>
              <w:bottom w:w="76" w:type="dxa"/>
            </w:tcMar>
            <w:vAlign w:val="center"/>
          </w:tcPr>
          <w:p>
            <w:pPr>
              <w:pStyle w:val="TableContents"/>
              <w:bidi w:val="0"/>
              <w:spacing w:before="0" w:after="283"/>
              <w:jc w:val="right"/>
              <w:rPr/>
            </w:pPr>
            <w:r>
              <w:rPr/>
              <w:t>14,141</w:t>
            </w:r>
            <w:r>
              <w:rPr>
                <w:sz w:val="10"/>
              </w:rPr>
              <w:t>(h)</w:t>
            </w:r>
            <w:r>
              <w:rPr/>
              <w:t xml:space="preserve"> </w:t>
            </w:r>
          </w:p>
        </w:tc>
        <w:tc>
          <w:tcPr>
            <w:tcW w:w="129"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110" w:type="dxa"/>
            <w:tcBorders>
              <w:bottom w:val="single" w:sz="2" w:space="0" w:color="4B5088"/>
            </w:tcBorders>
            <w:tcMar>
              <w:bottom w:w="76" w:type="dxa"/>
            </w:tcMar>
            <w:vAlign w:val="center"/>
          </w:tcPr>
          <w:p>
            <w:pPr>
              <w:pStyle w:val="TableContents"/>
              <w:bidi w:val="0"/>
              <w:spacing w:before="0" w:after="0"/>
              <w:jc w:val="left"/>
              <w:rPr>
                <w:b/>
                <w:color w:val="1F2668"/>
              </w:rPr>
            </w:pPr>
            <w:r>
              <w:rPr>
                <w:b/>
                <w:color w:val="1F2668"/>
                <w:spacing w:val="-2"/>
              </w:rPr>
              <w:t>Andrew S. Levine</w:t>
            </w:r>
            <w:r>
              <w:rPr>
                <w:b/>
                <w:color w:val="1F2668"/>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3" w:type="dxa"/>
            <w:tcBorders>
              <w:bottom w:val="single" w:sz="2" w:space="0" w:color="4B5088"/>
            </w:tcBorders>
            <w:tcMar>
              <w:bottom w:w="28" w:type="dxa"/>
            </w:tcMar>
            <w:vAlign w:val="center"/>
          </w:tcPr>
          <w:p>
            <w:pPr>
              <w:pStyle w:val="TableContents"/>
              <w:bidi w:val="0"/>
              <w:spacing w:before="0" w:after="283"/>
              <w:jc w:val="left"/>
              <w:rPr/>
            </w:pPr>
            <w:r>
              <w:rPr/>
              <w:t>​</w:t>
            </w:r>
          </w:p>
        </w:tc>
        <w:tc>
          <w:tcPr>
            <w:tcW w:w="153" w:type="dxa"/>
            <w:tcBorders>
              <w:bottom w:val="single" w:sz="2" w:space="0" w:color="4B5088"/>
            </w:tcBorders>
            <w:tcMar>
              <w:bottom w:w="76" w:type="dxa"/>
            </w:tcMar>
            <w:vAlign w:val="center"/>
          </w:tcPr>
          <w:p>
            <w:pPr>
              <w:pStyle w:val="TableContents"/>
              <w:bidi w:val="0"/>
              <w:spacing w:before="0" w:after="283"/>
              <w:jc w:val="right"/>
              <w:rPr/>
            </w:pPr>
            <w:r>
              <w:rPr/>
              <w:t>​</w:t>
            </w:r>
          </w:p>
        </w:tc>
        <w:tc>
          <w:tcPr>
            <w:tcW w:w="910" w:type="dxa"/>
            <w:tcBorders>
              <w:bottom w:val="single" w:sz="2" w:space="0" w:color="4B5088"/>
            </w:tcBorders>
            <w:tcMar>
              <w:bottom w:w="76" w:type="dxa"/>
            </w:tcMar>
            <w:vAlign w:val="center"/>
          </w:tcPr>
          <w:p>
            <w:pPr>
              <w:pStyle w:val="TableContents"/>
              <w:bidi w:val="0"/>
              <w:spacing w:before="0" w:after="283"/>
              <w:jc w:val="right"/>
              <w:rPr/>
            </w:pPr>
            <w:r>
              <w:rPr/>
              <w:t>—</w:t>
            </w:r>
          </w:p>
        </w:tc>
        <w:tc>
          <w:tcPr>
            <w:tcW w:w="155"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3" w:type="dxa"/>
            <w:tcBorders>
              <w:bottom w:val="single" w:sz="2" w:space="0" w:color="4B5088"/>
            </w:tcBorders>
            <w:tcMar>
              <w:bottom w:w="28" w:type="dxa"/>
            </w:tcMar>
            <w:vAlign w:val="center"/>
          </w:tcPr>
          <w:p>
            <w:pPr>
              <w:pStyle w:val="TableContents"/>
              <w:bidi w:val="0"/>
              <w:spacing w:before="0" w:after="283"/>
              <w:jc w:val="left"/>
              <w:rPr/>
            </w:pPr>
            <w:r>
              <w:rPr/>
              <w:t>​</w:t>
            </w:r>
          </w:p>
        </w:tc>
        <w:tc>
          <w:tcPr>
            <w:tcW w:w="123" w:type="dxa"/>
            <w:tcBorders>
              <w:bottom w:val="single" w:sz="2" w:space="0" w:color="4B5088"/>
            </w:tcBorders>
            <w:tcMar>
              <w:bottom w:w="76" w:type="dxa"/>
            </w:tcMar>
            <w:vAlign w:val="center"/>
          </w:tcPr>
          <w:p>
            <w:pPr>
              <w:pStyle w:val="TableContents"/>
              <w:bidi w:val="0"/>
              <w:spacing w:before="0" w:after="283"/>
              <w:jc w:val="right"/>
              <w:rPr/>
            </w:pPr>
            <w:r>
              <w:rPr/>
              <w:t>​</w:t>
            </w:r>
          </w:p>
        </w:tc>
        <w:tc>
          <w:tcPr>
            <w:tcW w:w="1001" w:type="dxa"/>
            <w:tcBorders>
              <w:bottom w:val="single" w:sz="2" w:space="0" w:color="4B5088"/>
            </w:tcBorders>
            <w:tcMar>
              <w:bottom w:w="76" w:type="dxa"/>
            </w:tcMar>
            <w:vAlign w:val="center"/>
          </w:tcPr>
          <w:p>
            <w:pPr>
              <w:pStyle w:val="TableContents"/>
              <w:bidi w:val="0"/>
              <w:spacing w:before="0" w:after="283"/>
              <w:jc w:val="right"/>
              <w:rPr/>
            </w:pPr>
            <w:r>
              <w:rPr/>
              <w:t>8,391</w:t>
            </w:r>
          </w:p>
        </w:tc>
        <w:tc>
          <w:tcPr>
            <w:tcW w:w="124"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6" w:type="dxa"/>
            <w:tcBorders>
              <w:bottom w:val="single" w:sz="2" w:space="0" w:color="4B5088"/>
            </w:tcBorders>
            <w:tcMar>
              <w:bottom w:w="28" w:type="dxa"/>
            </w:tcMar>
            <w:vAlign w:val="center"/>
          </w:tcPr>
          <w:p>
            <w:pPr>
              <w:pStyle w:val="TableContents"/>
              <w:bidi w:val="0"/>
              <w:spacing w:before="0" w:after="283"/>
              <w:jc w:val="left"/>
              <w:rPr/>
            </w:pPr>
            <w:r>
              <w:rPr/>
              <w:t>​</w:t>
            </w:r>
          </w:p>
        </w:tc>
        <w:tc>
          <w:tcPr>
            <w:tcW w:w="136" w:type="dxa"/>
            <w:tcBorders>
              <w:bottom w:val="single" w:sz="2" w:space="0" w:color="4B5088"/>
            </w:tcBorders>
            <w:tcMar>
              <w:bottom w:w="76" w:type="dxa"/>
            </w:tcMar>
            <w:vAlign w:val="center"/>
          </w:tcPr>
          <w:p>
            <w:pPr>
              <w:pStyle w:val="TableContents"/>
              <w:bidi w:val="0"/>
              <w:spacing w:before="0" w:after="283"/>
              <w:jc w:val="right"/>
              <w:rPr/>
            </w:pPr>
            <w:r>
              <w:rPr/>
              <w:t>​</w:t>
            </w:r>
          </w:p>
        </w:tc>
        <w:tc>
          <w:tcPr>
            <w:tcW w:w="960" w:type="dxa"/>
            <w:tcBorders>
              <w:bottom w:val="single" w:sz="2" w:space="0" w:color="4B5088"/>
            </w:tcBorders>
            <w:tcMar>
              <w:bottom w:w="76" w:type="dxa"/>
            </w:tcMar>
            <w:vAlign w:val="center"/>
          </w:tcPr>
          <w:p>
            <w:pPr>
              <w:pStyle w:val="TableContents"/>
              <w:bidi w:val="0"/>
              <w:spacing w:before="0" w:after="283"/>
              <w:jc w:val="right"/>
              <w:rPr/>
            </w:pPr>
            <w:r>
              <w:rPr/>
              <w:t>13,416</w:t>
            </w:r>
          </w:p>
        </w:tc>
        <w:tc>
          <w:tcPr>
            <w:tcW w:w="13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985" w:type="dxa"/>
            <w:tcBorders>
              <w:bottom w:val="single" w:sz="2" w:space="0" w:color="4B5088"/>
            </w:tcBorders>
            <w:tcMar>
              <w:bottom w:w="76" w:type="dxa"/>
            </w:tcMar>
            <w:vAlign w:val="center"/>
          </w:tcPr>
          <w:p>
            <w:pPr>
              <w:pStyle w:val="TableContents"/>
              <w:bidi w:val="0"/>
              <w:spacing w:before="0" w:after="283"/>
              <w:jc w:val="right"/>
              <w:rPr/>
            </w:pPr>
            <w:r>
              <w:rPr/>
              <w:t>26,564</w:t>
            </w:r>
            <w:r>
              <w:rPr>
                <w:sz w:val="10"/>
              </w:rPr>
              <w:t>(d)</w:t>
            </w:r>
            <w:r>
              <w:rPr/>
              <w:t xml:space="preserve">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127" w:type="dxa"/>
            <w:tcBorders>
              <w:bottom w:val="single" w:sz="2" w:space="0" w:color="4B5088"/>
            </w:tcBorders>
            <w:tcMar>
              <w:bottom w:w="76" w:type="dxa"/>
            </w:tcMar>
            <w:vAlign w:val="center"/>
          </w:tcPr>
          <w:p>
            <w:pPr>
              <w:pStyle w:val="TableContents"/>
              <w:bidi w:val="0"/>
              <w:spacing w:before="0" w:after="283"/>
              <w:jc w:val="right"/>
              <w:rPr/>
            </w:pPr>
            <w:r>
              <w:rPr/>
              <w:t>​</w:t>
            </w:r>
          </w:p>
        </w:tc>
        <w:tc>
          <w:tcPr>
            <w:tcW w:w="929" w:type="dxa"/>
            <w:tcBorders>
              <w:bottom w:val="single" w:sz="2" w:space="0" w:color="4B5088"/>
            </w:tcBorders>
            <w:tcMar>
              <w:bottom w:w="76" w:type="dxa"/>
            </w:tcMar>
            <w:vAlign w:val="center"/>
          </w:tcPr>
          <w:p>
            <w:pPr>
              <w:pStyle w:val="TableContents"/>
              <w:bidi w:val="0"/>
              <w:spacing w:before="0" w:after="283"/>
              <w:jc w:val="right"/>
              <w:rPr/>
            </w:pPr>
            <w:r>
              <w:rPr/>
              <w:t>—</w:t>
            </w:r>
          </w:p>
        </w:tc>
        <w:tc>
          <w:tcPr>
            <w:tcW w:w="12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127" w:type="dxa"/>
            <w:tcBorders>
              <w:bottom w:val="single" w:sz="2" w:space="0" w:color="4B5088"/>
            </w:tcBorders>
            <w:tcMar>
              <w:bottom w:w="76" w:type="dxa"/>
            </w:tcMar>
            <w:vAlign w:val="center"/>
          </w:tcPr>
          <w:p>
            <w:pPr>
              <w:pStyle w:val="TableContents"/>
              <w:bidi w:val="0"/>
              <w:spacing w:before="0" w:after="283"/>
              <w:jc w:val="right"/>
              <w:rPr/>
            </w:pPr>
            <w:r>
              <w:rPr/>
              <w:t>​</w:t>
            </w:r>
          </w:p>
        </w:tc>
        <w:tc>
          <w:tcPr>
            <w:tcW w:w="929" w:type="dxa"/>
            <w:tcBorders>
              <w:bottom w:val="single" w:sz="2" w:space="0" w:color="4B5088"/>
            </w:tcBorders>
            <w:tcMar>
              <w:bottom w:w="76" w:type="dxa"/>
            </w:tcMar>
            <w:vAlign w:val="center"/>
          </w:tcPr>
          <w:p>
            <w:pPr>
              <w:pStyle w:val="TableContents"/>
              <w:bidi w:val="0"/>
              <w:spacing w:before="0" w:after="283"/>
              <w:jc w:val="right"/>
              <w:rPr/>
            </w:pPr>
            <w:r>
              <w:rPr/>
              <w:t>—</w:t>
            </w:r>
          </w:p>
        </w:tc>
        <w:tc>
          <w:tcPr>
            <w:tcW w:w="129"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240" w:after="0"/>
        <w:ind w:left="17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Represents the number of LTIP units that were earned for 2025 operational performance that are not subject to forfeiture regardless of our absolute TSR performance over the three-year period ending December 31, 2027. The LTIP units will vest 50% on each of December 31, 2027 and December 31, 2028, subject to continued employment.</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52400" distB="0" distL="254000" distR="0" simplePos="0" locked="0" layoutInCell="1" allowOverlap="1" relativeHeight="716">
                <wp:simplePos x="0" y="0"/>
                <wp:positionH relativeFrom="column">
                  <wp:align>left</wp:align>
                </wp:positionH>
                <wp:positionV relativeFrom="line">
                  <wp:align>top</wp:align>
                </wp:positionV>
                <wp:extent cx="254000" cy="350520"/>
                <wp:effectExtent l="0" t="0" r="0" b="0"/>
                <wp:wrapSquare wrapText="right"/>
                <wp:docPr id="817" name="Frame46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2"/>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12pt;mso-wrap-distance-bottom:0pt;margin-top:12pt;mso-position-vertical:top;mso-position-vertical-relative:text;margin-left:20pt;mso-position-horizontal:left;mso-position-horizontal-relative:text">
                <v:textbox>
                  <w:txbxContent>
                    <w:p>
                      <w:pPr>
                        <w:pStyle w:val="TextBody"/>
                        <w:bidi w:val="0"/>
                        <w:spacing w:lineRule="atLeast" w:line="200" w:before="0" w:after="283"/>
                        <w:jc w:val="left"/>
                        <w:rPr/>
                      </w:pPr>
                      <w:r>
                        <w:rPr>
                          <w:spacing w:val="-2"/>
                        </w:rPr>
                        <w:t>(a)</w:t>
                      </w:r>
                      <w:r>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7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Represents the number of LTIP units that were earned for 2024 operational performance that are not subject to forfeiture regardless of our absolute TSR performance over the three-year period ending December 31, 2026. The LTIP units will vest 100% for Mr. Holliday on December 31, 2026, and 50% on each of December 31, 2026 and December 31, 2027 for Mr. DiLiberto and Mr. Levine, subject, in each case, to continued employment.</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0800" distB="0" distL="254000" distR="0" simplePos="0" locked="0" layoutInCell="1" allowOverlap="1" relativeHeight="717">
                <wp:simplePos x="0" y="0"/>
                <wp:positionH relativeFrom="column">
                  <wp:align>left</wp:align>
                </wp:positionH>
                <wp:positionV relativeFrom="line">
                  <wp:align>top</wp:align>
                </wp:positionV>
                <wp:extent cx="254000" cy="350520"/>
                <wp:effectExtent l="0" t="0" r="0" b="0"/>
                <wp:wrapSquare wrapText="right"/>
                <wp:docPr id="818" name="Frame46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2"/>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00" w:before="0" w:after="283"/>
                        <w:jc w:val="left"/>
                        <w:rPr/>
                      </w:pPr>
                      <w:r>
                        <w:rPr>
                          <w:spacing w:val="-2"/>
                        </w:rPr>
                        <w:t>(b)</w:t>
                      </w:r>
                      <w:r>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7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Represents the sum of (i) the number of LTIP units that were earned for 2023 operational performance, as modified by our absolute TSR performance over the three-year period ending December 31, 2025 and (ii) the number of LTIP units that were earned based on our TSR performance relative to our NYC Peer Group over the three-year period ending December 31, 2025. The LTIP units vested 100% for Mr. Holliday on December 31, 2025, and 50% for Mr. DiLiberto and Mr. Levine, with the remaining 50% scheduled to vest on December 31, 2026 subject, in each case, to continued employment. LTIP units that vested on December 31, 2025 are reflected in the “2025 Options Exercised and Stock Vested” table, below. See “—Compensation Discussion and Analysis-Our 2025 Executive Compensation Program” and “—Compensation Discussion and Analysis-Other Compensation Policies and Information-Outstanding Annual Equity Award Performance Summary (2023-2025)” for a description of the terms of these performance-based awards and the Company’s performance as of December 31, 2025.</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0800" distB="0" distL="254000" distR="0" simplePos="0" locked="0" layoutInCell="1" allowOverlap="1" relativeHeight="718">
                <wp:simplePos x="0" y="0"/>
                <wp:positionH relativeFrom="column">
                  <wp:align>left</wp:align>
                </wp:positionH>
                <wp:positionV relativeFrom="line">
                  <wp:align>top</wp:align>
                </wp:positionV>
                <wp:extent cx="254000" cy="350520"/>
                <wp:effectExtent l="0" t="0" r="0" b="0"/>
                <wp:wrapSquare wrapText="right"/>
                <wp:docPr id="819" name="Frame46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2"/>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00" w:before="0" w:after="283"/>
                        <w:jc w:val="left"/>
                        <w:rPr/>
                      </w:pPr>
                      <w:r>
                        <w:rPr>
                          <w:spacing w:val="-2"/>
                        </w:rPr>
                        <w:t>(c)</w:t>
                      </w:r>
                      <w:r>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7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Represents LTIP units that vested one-third on January 1, 2026, and LTIP units that are scheduled to vest one-third on January 1, 2027 and one-third on January 1, 2028, subject to continued employment.</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0800" distB="0" distL="254000" distR="0" simplePos="0" locked="0" layoutInCell="1" allowOverlap="1" relativeHeight="719">
                <wp:simplePos x="0" y="0"/>
                <wp:positionH relativeFrom="column">
                  <wp:align>left</wp:align>
                </wp:positionH>
                <wp:positionV relativeFrom="line">
                  <wp:align>top</wp:align>
                </wp:positionV>
                <wp:extent cx="254000" cy="350520"/>
                <wp:effectExtent l="0" t="0" r="0" b="0"/>
                <wp:wrapSquare wrapText="right"/>
                <wp:docPr id="820" name="Frame47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2"/>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00" w:before="0" w:after="283"/>
                        <w:jc w:val="left"/>
                        <w:rPr/>
                      </w:pPr>
                      <w:r>
                        <w:rPr>
                          <w:spacing w:val="-2"/>
                        </w:rPr>
                        <w:t>(d)</w:t>
                      </w:r>
                      <w:r>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7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Represents LTIP units that vested on January 1, 2026.</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0800" distB="0" distL="254000" distR="0" simplePos="0" locked="0" layoutInCell="1" allowOverlap="1" relativeHeight="720">
                <wp:simplePos x="0" y="0"/>
                <wp:positionH relativeFrom="column">
                  <wp:align>left</wp:align>
                </wp:positionH>
                <wp:positionV relativeFrom="line">
                  <wp:align>top</wp:align>
                </wp:positionV>
                <wp:extent cx="254000" cy="350520"/>
                <wp:effectExtent l="0" t="0" r="0" b="0"/>
                <wp:wrapSquare wrapText="right"/>
                <wp:docPr id="821" name="Frame47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2"/>
                              </w:rPr>
                              <w:t>(e)</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00" w:before="0" w:after="283"/>
                        <w:jc w:val="left"/>
                        <w:rPr/>
                      </w:pPr>
                      <w:r>
                        <w:rPr>
                          <w:spacing w:val="-2"/>
                        </w:rPr>
                        <w:t>(e)</w:t>
                      </w:r>
                      <w:r>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7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Represents LTIP units that vested one-third on January 1, 2025 and one-third on January 1, 2026, and LTIP units that are scheduled to vest one-third on January 1, 2027, subject to continued employment.</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0800" distB="0" distL="254000" distR="0" simplePos="0" locked="0" layoutInCell="1" allowOverlap="1" relativeHeight="721">
                <wp:simplePos x="0" y="0"/>
                <wp:positionH relativeFrom="column">
                  <wp:align>left</wp:align>
                </wp:positionH>
                <wp:positionV relativeFrom="line">
                  <wp:align>top</wp:align>
                </wp:positionV>
                <wp:extent cx="254000" cy="350520"/>
                <wp:effectExtent l="0" t="0" r="0" b="0"/>
                <wp:wrapSquare wrapText="right"/>
                <wp:docPr id="822" name="Frame47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2"/>
                              </w:rPr>
                              <w:t>(f)</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00" w:before="0" w:after="283"/>
                        <w:jc w:val="left"/>
                        <w:rPr/>
                      </w:pPr>
                      <w:r>
                        <w:rPr>
                          <w:spacing w:val="-2"/>
                        </w:rPr>
                        <w:t>(f)</w:t>
                      </w:r>
                      <w:r>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7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Represents LTIP units that vested one-half on January 1, 2025 and one-half on January 1, 2026.</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0800" distB="0" distL="254000" distR="0" simplePos="0" locked="0" layoutInCell="1" allowOverlap="1" relativeHeight="722">
                <wp:simplePos x="0" y="0"/>
                <wp:positionH relativeFrom="column">
                  <wp:align>left</wp:align>
                </wp:positionH>
                <wp:positionV relativeFrom="line">
                  <wp:align>top</wp:align>
                </wp:positionV>
                <wp:extent cx="254000" cy="350520"/>
                <wp:effectExtent l="0" t="0" r="0" b="0"/>
                <wp:wrapSquare wrapText="right"/>
                <wp:docPr id="823" name="Frame47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2"/>
                              </w:rPr>
                              <w:t>(g)</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00" w:before="0" w:after="283"/>
                        <w:jc w:val="left"/>
                        <w:rPr/>
                      </w:pPr>
                      <w:r>
                        <w:rPr>
                          <w:spacing w:val="-2"/>
                        </w:rPr>
                        <w:t>(g)</w:t>
                      </w:r>
                      <w:r>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7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Represents LTIP units that vested one-third on January 1, 2024, one-third on January 1, 2025 and one-third on January 1, 2026.</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0800" distB="0" distL="254000" distR="0" simplePos="0" locked="0" layoutInCell="1" allowOverlap="1" relativeHeight="723">
                <wp:simplePos x="0" y="0"/>
                <wp:positionH relativeFrom="column">
                  <wp:align>left</wp:align>
                </wp:positionH>
                <wp:positionV relativeFrom="line">
                  <wp:align>top</wp:align>
                </wp:positionV>
                <wp:extent cx="254000" cy="350520"/>
                <wp:effectExtent l="0" t="0" r="0" b="0"/>
                <wp:wrapSquare wrapText="right"/>
                <wp:docPr id="824" name="Frame47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2"/>
                              </w:rPr>
                              <w:t>(h)</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00" w:before="0" w:after="283"/>
                        <w:jc w:val="left"/>
                        <w:rPr/>
                      </w:pPr>
                      <w:r>
                        <w:rPr>
                          <w:spacing w:val="-2"/>
                        </w:rPr>
                        <w:t>(h)</w:t>
                      </w:r>
                      <w:r>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300" w:right="0" w:hanging="0"/>
        <w:jc w:val="left"/>
        <w:rPr>
          <w:rFonts w:ascii="Arial;Helvetica;sans-serif" w:hAnsi="Arial;Helvetica;sans-serif"/>
          <w:b w:val="false"/>
          <w:i w:val="false"/>
          <w:caps w:val="false"/>
          <w:smallCaps w:val="false"/>
          <w:color w:val="000000"/>
          <w:spacing w:val="-2"/>
          <w:sz w:val="16"/>
        </w:rPr>
      </w:pPr>
      <w:r>
        <w:rPr>
          <w:rFonts w:ascii="Arial;Helvetica;sans-serif" w:hAnsi="Arial;Helvetica;sans-serif"/>
          <w:b w:val="false"/>
          <w:i w:val="false"/>
          <w:caps w:val="false"/>
          <w:smallCaps w:val="false"/>
          <w:color w:val="000000"/>
          <w:spacing w:val="-2"/>
          <w:sz w:val="16"/>
        </w:rPr>
        <w:t xml:space="preserve">Based on a price of $45.87 per share/unit, which was the closing price on the NYSE of one share of our common stock on December 31, 2025. Assumes that the value of LTIP units on a per unit basis is equal to the per share value of our common stock. </w:t>
      </w:r>
      <w:r>
        <mc:AlternateContent>
          <mc:Choice Requires="wps">
            <w:drawing>
              <wp:anchor behindDoc="0" distT="50800" distB="0" distL="0" distR="0" simplePos="0" locked="0" layoutInCell="1" allowOverlap="1" relativeHeight="724">
                <wp:simplePos x="0" y="0"/>
                <wp:positionH relativeFrom="column">
                  <wp:align>left</wp:align>
                </wp:positionH>
                <wp:positionV relativeFrom="line">
                  <wp:align>top</wp:align>
                </wp:positionV>
                <wp:extent cx="254000" cy="350520"/>
                <wp:effectExtent l="0" t="0" r="0" b="0"/>
                <wp:wrapSquare wrapText="right"/>
                <wp:docPr id="825" name="Frame47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2"/>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(2)</w:t>
                      </w:r>
                      <w:r>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225" w:type="dxa"/>
        <w:jc w:val="left"/>
        <w:tblInd w:w="900" w:type="dxa"/>
        <w:tblLayout w:type="fixed"/>
        <w:tblCellMar>
          <w:top w:w="0" w:type="dxa"/>
          <w:left w:w="0" w:type="dxa"/>
          <w:bottom w:w="0" w:type="dxa"/>
          <w:right w:w="0" w:type="dxa"/>
        </w:tblCellMar>
      </w:tblPr>
      <w:tblGrid>
        <w:gridCol w:w="124"/>
        <w:gridCol w:w="346"/>
        <w:gridCol w:w="109"/>
        <w:gridCol w:w="109"/>
        <w:gridCol w:w="4383"/>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70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383" w:type="dxa"/>
            <w:tcBorders/>
            <w:vAlign w:val="center"/>
          </w:tcPr>
          <w:p>
            <w:pPr>
              <w:pStyle w:val="TableContents"/>
              <w:bidi w:val="0"/>
              <w:spacing w:lineRule="atLeast" w:line="200" w:before="0" w:after="0"/>
              <w:jc w:val="left"/>
              <w:rPr/>
            </w:pPr>
            <w:r>
              <w:rPr>
                <w:spacing w:val="-2"/>
              </w:rPr>
              <w:t>    </w:t>
            </w:r>
            <w:r>
              <w:rPr>
                <w:spacing w:val="-2"/>
                <w:sz w:val="16"/>
              </w:rPr>
              <w:t>SL GREEN REALTY CORP. 2026 PROXY STATEMENT</w:t>
            </w:r>
            <w:r>
              <w:rPr>
                <w:sz w:val="16"/>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00" w:before="560" w:after="154"/>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For each of our named executive officers includes the following:</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0" distB="0" distL="0" distR="0" simplePos="0" locked="0" layoutInCell="1" allowOverlap="1" relativeHeight="725">
                <wp:simplePos x="0" y="0"/>
                <wp:positionH relativeFrom="column">
                  <wp:align>left</wp:align>
                </wp:positionH>
                <wp:positionV relativeFrom="line">
                  <wp:posOffset>635</wp:posOffset>
                </wp:positionV>
                <wp:extent cx="254000" cy="350520"/>
                <wp:effectExtent l="0" t="0" r="0" b="0"/>
                <wp:wrapSquare wrapText="right"/>
                <wp:docPr id="826" name="Frame47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2"/>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(3)</w:t>
                      </w:r>
                      <w:r>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tbl>
      <w:tblPr>
        <w:tblW w:w="5818" w:type="dxa"/>
        <w:jc w:val="left"/>
        <w:tblInd w:w="900" w:type="dxa"/>
        <w:tblLayout w:type="fixed"/>
        <w:tblCellMar>
          <w:top w:w="0" w:type="dxa"/>
          <w:left w:w="0" w:type="dxa"/>
          <w:bottom w:w="63" w:type="dxa"/>
          <w:right w:w="0" w:type="dxa"/>
        </w:tblCellMar>
      </w:tblPr>
      <w:tblGrid>
        <w:gridCol w:w="2371"/>
        <w:gridCol w:w="109"/>
        <w:gridCol w:w="109"/>
        <w:gridCol w:w="138"/>
        <w:gridCol w:w="138"/>
        <w:gridCol w:w="1013"/>
        <w:gridCol w:w="139"/>
        <w:gridCol w:w="109"/>
        <w:gridCol w:w="109"/>
        <w:gridCol w:w="128"/>
        <w:gridCol w:w="128"/>
        <w:gridCol w:w="1044"/>
        <w:gridCol w:w="129"/>
        <w:gridCol w:w="154"/>
      </w:tblGrid>
      <w:tr>
        <w:trPr/>
        <w:tc>
          <w:tcPr>
            <w:tcW w:w="2371" w:type="dxa"/>
            <w:tcBorders>
              <w:bottom w:val="single" w:sz="2" w:space="0" w:color="1F2668"/>
            </w:tcBorders>
            <w:vAlign w:val="center"/>
          </w:tcPr>
          <w:p>
            <w:pPr>
              <w:pStyle w:val="TableContents"/>
              <w:bidi w:val="0"/>
              <w:spacing w:before="0" w:after="0"/>
              <w:jc w:val="left"/>
              <w:rPr>
                <w:spacing w:val="-1"/>
              </w:rPr>
            </w:pPr>
            <w:r>
              <w:rPr>
                <w:spacing w:val="-1"/>
              </w:rPr>
              <w:t xml:space="preserve">Executive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28" w:type="dxa"/>
            <w:gridSpan w:val="4"/>
            <w:tcBorders>
              <w:bottom w:val="single" w:sz="2" w:space="0" w:color="1F2668"/>
            </w:tcBorders>
            <w:vAlign w:val="center"/>
          </w:tcPr>
          <w:p>
            <w:pPr>
              <w:pStyle w:val="TableContents"/>
              <w:bidi w:val="0"/>
              <w:spacing w:before="0" w:after="0"/>
              <w:jc w:val="right"/>
              <w:rPr/>
            </w:pPr>
            <w:r>
              <w:rPr>
                <w:spacing w:val="-1"/>
              </w:rPr>
              <w:t xml:space="preserve">2025 </w:t>
              <w:br/>
              <w:t xml:space="preserve">Performance- </w:t>
              <w:br/>
              <w:t xml:space="preserve">Based </w:t>
              <w:br/>
              <w:t>LTIP Units</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29" w:type="dxa"/>
            <w:gridSpan w:val="4"/>
            <w:tcBorders>
              <w:bottom w:val="single" w:sz="2" w:space="0" w:color="1F2668"/>
            </w:tcBorders>
            <w:vAlign w:val="center"/>
          </w:tcPr>
          <w:p>
            <w:pPr>
              <w:pStyle w:val="TableContents"/>
              <w:bidi w:val="0"/>
              <w:spacing w:lineRule="atLeast" w:line="142" w:before="0" w:after="0"/>
              <w:jc w:val="right"/>
              <w:rPr/>
            </w:pPr>
            <w:r>
              <w:rPr>
                <w:spacing w:val="-1"/>
              </w:rPr>
              <w:t xml:space="preserve">2024 </w:t>
              <w:br/>
              <w:t xml:space="preserve">Performance- </w:t>
              <w:br/>
              <w:t xml:space="preserve">Based </w:t>
              <w:br/>
              <w:t>LTIP Units</w:t>
            </w:r>
            <w:r>
              <w:rPr>
                <w:spacing w:val="-1"/>
                <w:sz w:val="9"/>
              </w:rPr>
              <w:t>(d)</w:t>
            </w:r>
            <w:r>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371" w:type="dxa"/>
            <w:tcBorders>
              <w:bottom w:val="single" w:sz="2" w:space="0" w:color="4B5088"/>
            </w:tcBorders>
            <w:tcMar>
              <w:bottom w:w="66" w:type="dxa"/>
            </w:tcMar>
            <w:vAlign w:val="center"/>
          </w:tcPr>
          <w:p>
            <w:pPr>
              <w:pStyle w:val="TableContents"/>
              <w:bidi w:val="0"/>
              <w:spacing w:before="0" w:after="0"/>
              <w:jc w:val="left"/>
              <w:rPr>
                <w:b/>
                <w:color w:val="1F2668"/>
              </w:rPr>
            </w:pPr>
            <w:r>
              <w:rPr>
                <w:b/>
                <w:color w:val="1F2668"/>
                <w:spacing w:val="-2"/>
              </w:rPr>
              <w:t>Marc Holliday</w:t>
            </w:r>
            <w:r>
              <w:rPr>
                <w:b/>
                <w:color w:val="1F2668"/>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8" w:type="dxa"/>
            <w:tcBorders>
              <w:bottom w:val="single" w:sz="2" w:space="0" w:color="4B5088"/>
            </w:tcBorders>
            <w:tcMar>
              <w:bottom w:w="28" w:type="dxa"/>
            </w:tcMar>
            <w:vAlign w:val="center"/>
          </w:tcPr>
          <w:p>
            <w:pPr>
              <w:pStyle w:val="TableContents"/>
              <w:bidi w:val="0"/>
              <w:spacing w:before="0" w:after="283"/>
              <w:jc w:val="left"/>
              <w:rPr/>
            </w:pPr>
            <w:r>
              <w:rPr/>
              <w:t>​</w:t>
            </w:r>
          </w:p>
        </w:tc>
        <w:tc>
          <w:tcPr>
            <w:tcW w:w="138" w:type="dxa"/>
            <w:tcBorders>
              <w:bottom w:val="single" w:sz="2" w:space="0" w:color="4B5088"/>
            </w:tcBorders>
            <w:tcMar>
              <w:bottom w:w="66" w:type="dxa"/>
            </w:tcMar>
            <w:vAlign w:val="center"/>
          </w:tcPr>
          <w:p>
            <w:pPr>
              <w:pStyle w:val="TableContents"/>
              <w:bidi w:val="0"/>
              <w:spacing w:before="0" w:after="283"/>
              <w:jc w:val="right"/>
              <w:rPr/>
            </w:pPr>
            <w:r>
              <w:rPr/>
              <w:t>​</w:t>
            </w:r>
          </w:p>
        </w:tc>
        <w:tc>
          <w:tcPr>
            <w:tcW w:w="1013" w:type="dxa"/>
            <w:tcBorders>
              <w:bottom w:val="single" w:sz="2" w:space="0" w:color="4B5088"/>
            </w:tcBorders>
            <w:tcMar>
              <w:bottom w:w="66" w:type="dxa"/>
            </w:tcMar>
            <w:vAlign w:val="center"/>
          </w:tcPr>
          <w:p>
            <w:pPr>
              <w:pStyle w:val="TableContents"/>
              <w:bidi w:val="0"/>
              <w:spacing w:before="0" w:after="283"/>
              <w:jc w:val="right"/>
              <w:rPr/>
            </w:pPr>
            <w:r>
              <w:rPr/>
              <w:t>42,748</w:t>
            </w:r>
            <w:r>
              <w:rPr>
                <w:sz w:val="10"/>
              </w:rPr>
              <w:t>(a)</w:t>
            </w:r>
            <w:r>
              <w:rPr/>
              <w:t xml:space="preserve"> </w:t>
            </w:r>
          </w:p>
        </w:tc>
        <w:tc>
          <w:tcPr>
            <w:tcW w:w="13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8" w:type="dxa"/>
            <w:tcBorders>
              <w:bottom w:val="single" w:sz="2" w:space="0" w:color="4B5088"/>
            </w:tcBorders>
            <w:tcMar>
              <w:bottom w:w="28" w:type="dxa"/>
            </w:tcMar>
            <w:vAlign w:val="center"/>
          </w:tcPr>
          <w:p>
            <w:pPr>
              <w:pStyle w:val="TableContents"/>
              <w:bidi w:val="0"/>
              <w:spacing w:before="0" w:after="283"/>
              <w:jc w:val="left"/>
              <w:rPr/>
            </w:pPr>
            <w:r>
              <w:rPr/>
              <w:t>​</w:t>
            </w:r>
          </w:p>
        </w:tc>
        <w:tc>
          <w:tcPr>
            <w:tcW w:w="128" w:type="dxa"/>
            <w:tcBorders>
              <w:bottom w:val="single" w:sz="2" w:space="0" w:color="4B5088"/>
            </w:tcBorders>
            <w:tcMar>
              <w:bottom w:w="66" w:type="dxa"/>
            </w:tcMar>
            <w:vAlign w:val="center"/>
          </w:tcPr>
          <w:p>
            <w:pPr>
              <w:pStyle w:val="TableContents"/>
              <w:bidi w:val="0"/>
              <w:spacing w:before="0" w:after="283"/>
              <w:jc w:val="right"/>
              <w:rPr/>
            </w:pPr>
            <w:r>
              <w:rPr/>
              <w:t>​</w:t>
            </w:r>
          </w:p>
        </w:tc>
        <w:tc>
          <w:tcPr>
            <w:tcW w:w="1044" w:type="dxa"/>
            <w:tcBorders>
              <w:bottom w:val="single" w:sz="2" w:space="0" w:color="4B5088"/>
            </w:tcBorders>
            <w:tcMar>
              <w:bottom w:w="66" w:type="dxa"/>
            </w:tcMar>
            <w:vAlign w:val="center"/>
          </w:tcPr>
          <w:p>
            <w:pPr>
              <w:pStyle w:val="TableContents"/>
              <w:bidi w:val="0"/>
              <w:spacing w:before="0" w:after="283"/>
              <w:jc w:val="right"/>
              <w:rPr/>
            </w:pPr>
            <w:r>
              <w:rPr/>
              <w:t>147,665</w:t>
            </w:r>
          </w:p>
        </w:tc>
        <w:tc>
          <w:tcPr>
            <w:tcW w:w="129"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371" w:type="dxa"/>
            <w:tcBorders>
              <w:bottom w:val="single" w:sz="2" w:space="0" w:color="4B5088"/>
            </w:tcBorders>
            <w:tcMar>
              <w:bottom w:w="66" w:type="dxa"/>
            </w:tcMar>
            <w:vAlign w:val="center"/>
          </w:tcPr>
          <w:p>
            <w:pPr>
              <w:pStyle w:val="TableContents"/>
              <w:bidi w:val="0"/>
              <w:spacing w:before="0" w:after="0"/>
              <w:jc w:val="left"/>
              <w:rPr>
                <w:b/>
                <w:color w:val="1F2668"/>
              </w:rPr>
            </w:pPr>
            <w:r>
              <w:rPr>
                <w:b/>
                <w:color w:val="1F2668"/>
                <w:spacing w:val="-2"/>
              </w:rPr>
              <w:t>Matthew J. DiLiberto</w:t>
            </w:r>
            <w:r>
              <w:rPr>
                <w:b/>
                <w:color w:val="1F2668"/>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8" w:type="dxa"/>
            <w:tcBorders>
              <w:bottom w:val="single" w:sz="2" w:space="0" w:color="4B5088"/>
            </w:tcBorders>
            <w:tcMar>
              <w:bottom w:w="28" w:type="dxa"/>
            </w:tcMar>
            <w:vAlign w:val="center"/>
          </w:tcPr>
          <w:p>
            <w:pPr>
              <w:pStyle w:val="TableContents"/>
              <w:bidi w:val="0"/>
              <w:spacing w:before="0" w:after="283"/>
              <w:jc w:val="left"/>
              <w:rPr/>
            </w:pPr>
            <w:r>
              <w:rPr/>
              <w:t>​</w:t>
            </w:r>
          </w:p>
        </w:tc>
        <w:tc>
          <w:tcPr>
            <w:tcW w:w="138" w:type="dxa"/>
            <w:tcBorders>
              <w:bottom w:val="single" w:sz="2" w:space="0" w:color="4B5088"/>
            </w:tcBorders>
            <w:tcMar>
              <w:bottom w:w="66" w:type="dxa"/>
            </w:tcMar>
            <w:vAlign w:val="center"/>
          </w:tcPr>
          <w:p>
            <w:pPr>
              <w:pStyle w:val="TableContents"/>
              <w:bidi w:val="0"/>
              <w:spacing w:before="0" w:after="283"/>
              <w:jc w:val="right"/>
              <w:rPr/>
            </w:pPr>
            <w:r>
              <w:rPr/>
              <w:t>​</w:t>
            </w:r>
          </w:p>
        </w:tc>
        <w:tc>
          <w:tcPr>
            <w:tcW w:w="1013" w:type="dxa"/>
            <w:tcBorders>
              <w:bottom w:val="single" w:sz="2" w:space="0" w:color="4B5088"/>
            </w:tcBorders>
            <w:tcMar>
              <w:bottom w:w="66" w:type="dxa"/>
            </w:tcMar>
            <w:vAlign w:val="center"/>
          </w:tcPr>
          <w:p>
            <w:pPr>
              <w:pStyle w:val="TableContents"/>
              <w:bidi w:val="0"/>
              <w:spacing w:before="0" w:after="283"/>
              <w:jc w:val="right"/>
              <w:rPr/>
            </w:pPr>
            <w:r>
              <w:rPr/>
              <w:t>4,580</w:t>
            </w:r>
            <w:r>
              <w:rPr>
                <w:sz w:val="10"/>
              </w:rPr>
              <w:t>(b)</w:t>
            </w:r>
            <w:r>
              <w:rPr/>
              <w:t xml:space="preserve"> </w:t>
            </w:r>
          </w:p>
        </w:tc>
        <w:tc>
          <w:tcPr>
            <w:tcW w:w="13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8" w:type="dxa"/>
            <w:tcBorders>
              <w:bottom w:val="single" w:sz="2" w:space="0" w:color="4B5088"/>
            </w:tcBorders>
            <w:tcMar>
              <w:bottom w:w="28" w:type="dxa"/>
            </w:tcMar>
            <w:vAlign w:val="center"/>
          </w:tcPr>
          <w:p>
            <w:pPr>
              <w:pStyle w:val="TableContents"/>
              <w:bidi w:val="0"/>
              <w:spacing w:before="0" w:after="283"/>
              <w:jc w:val="left"/>
              <w:rPr/>
            </w:pPr>
            <w:r>
              <w:rPr/>
              <w:t>​</w:t>
            </w:r>
          </w:p>
        </w:tc>
        <w:tc>
          <w:tcPr>
            <w:tcW w:w="128" w:type="dxa"/>
            <w:tcBorders>
              <w:bottom w:val="single" w:sz="2" w:space="0" w:color="4B5088"/>
            </w:tcBorders>
            <w:tcMar>
              <w:bottom w:w="66" w:type="dxa"/>
            </w:tcMar>
            <w:vAlign w:val="center"/>
          </w:tcPr>
          <w:p>
            <w:pPr>
              <w:pStyle w:val="TableContents"/>
              <w:bidi w:val="0"/>
              <w:spacing w:before="0" w:after="283"/>
              <w:jc w:val="right"/>
              <w:rPr/>
            </w:pPr>
            <w:r>
              <w:rPr/>
              <w:t>​</w:t>
            </w:r>
          </w:p>
        </w:tc>
        <w:tc>
          <w:tcPr>
            <w:tcW w:w="1044" w:type="dxa"/>
            <w:tcBorders>
              <w:bottom w:val="single" w:sz="2" w:space="0" w:color="4B5088"/>
            </w:tcBorders>
            <w:tcMar>
              <w:bottom w:w="66" w:type="dxa"/>
            </w:tcMar>
            <w:vAlign w:val="center"/>
          </w:tcPr>
          <w:p>
            <w:pPr>
              <w:pStyle w:val="TableContents"/>
              <w:bidi w:val="0"/>
              <w:spacing w:before="0" w:after="283"/>
              <w:jc w:val="right"/>
              <w:rPr/>
            </w:pPr>
            <w:r>
              <w:rPr/>
              <w:t>10,939</w:t>
            </w:r>
          </w:p>
        </w:tc>
        <w:tc>
          <w:tcPr>
            <w:tcW w:w="129"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371" w:type="dxa"/>
            <w:tcBorders>
              <w:bottom w:val="single" w:sz="2" w:space="0" w:color="1F2668"/>
            </w:tcBorders>
            <w:tcMar>
              <w:bottom w:w="66" w:type="dxa"/>
            </w:tcMar>
            <w:vAlign w:val="center"/>
          </w:tcPr>
          <w:p>
            <w:pPr>
              <w:pStyle w:val="TableContents"/>
              <w:bidi w:val="0"/>
              <w:spacing w:before="0" w:after="0"/>
              <w:jc w:val="left"/>
              <w:rPr>
                <w:b/>
                <w:color w:val="1F2668"/>
              </w:rPr>
            </w:pPr>
            <w:r>
              <w:rPr>
                <w:b/>
                <w:color w:val="1F2668"/>
                <w:spacing w:val="-2"/>
              </w:rPr>
              <w:t>Andrew S. Levine</w:t>
            </w:r>
            <w:r>
              <w:rPr>
                <w:b/>
                <w:color w:val="1F2668"/>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8" w:type="dxa"/>
            <w:tcBorders>
              <w:bottom w:val="single" w:sz="2" w:space="0" w:color="1F2668"/>
            </w:tcBorders>
            <w:tcMar>
              <w:bottom w:w="28" w:type="dxa"/>
            </w:tcMar>
            <w:vAlign w:val="center"/>
          </w:tcPr>
          <w:p>
            <w:pPr>
              <w:pStyle w:val="TableContents"/>
              <w:bidi w:val="0"/>
              <w:spacing w:before="0" w:after="283"/>
              <w:jc w:val="left"/>
              <w:rPr/>
            </w:pPr>
            <w:r>
              <w:rPr/>
              <w:t>​</w:t>
            </w:r>
          </w:p>
        </w:tc>
        <w:tc>
          <w:tcPr>
            <w:tcW w:w="138" w:type="dxa"/>
            <w:tcBorders>
              <w:bottom w:val="single" w:sz="2" w:space="0" w:color="1F2668"/>
            </w:tcBorders>
            <w:tcMar>
              <w:bottom w:w="66" w:type="dxa"/>
            </w:tcMar>
            <w:vAlign w:val="center"/>
          </w:tcPr>
          <w:p>
            <w:pPr>
              <w:pStyle w:val="TableContents"/>
              <w:bidi w:val="0"/>
              <w:spacing w:before="0" w:after="283"/>
              <w:jc w:val="right"/>
              <w:rPr/>
            </w:pPr>
            <w:r>
              <w:rPr/>
              <w:t>​</w:t>
            </w:r>
          </w:p>
        </w:tc>
        <w:tc>
          <w:tcPr>
            <w:tcW w:w="1013" w:type="dxa"/>
            <w:tcBorders>
              <w:bottom w:val="single" w:sz="2" w:space="0" w:color="1F2668"/>
            </w:tcBorders>
            <w:tcMar>
              <w:bottom w:w="66" w:type="dxa"/>
            </w:tcMar>
            <w:vAlign w:val="center"/>
          </w:tcPr>
          <w:p>
            <w:pPr>
              <w:pStyle w:val="TableContents"/>
              <w:bidi w:val="0"/>
              <w:spacing w:before="0" w:after="283"/>
              <w:jc w:val="right"/>
              <w:rPr/>
            </w:pPr>
            <w:r>
              <w:rPr/>
              <w:t>10,260</w:t>
            </w:r>
            <w:r>
              <w:rPr>
                <w:sz w:val="10"/>
              </w:rPr>
              <w:t>(c)</w:t>
            </w:r>
            <w:r>
              <w:rPr/>
              <w:t xml:space="preserve"> </w:t>
            </w:r>
          </w:p>
        </w:tc>
        <w:tc>
          <w:tcPr>
            <w:tcW w:w="13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8" w:type="dxa"/>
            <w:tcBorders>
              <w:bottom w:val="single" w:sz="2" w:space="0" w:color="1F2668"/>
            </w:tcBorders>
            <w:tcMar>
              <w:bottom w:w="28" w:type="dxa"/>
            </w:tcMar>
            <w:vAlign w:val="center"/>
          </w:tcPr>
          <w:p>
            <w:pPr>
              <w:pStyle w:val="TableContents"/>
              <w:bidi w:val="0"/>
              <w:spacing w:before="0" w:after="283"/>
              <w:jc w:val="left"/>
              <w:rPr/>
            </w:pPr>
            <w:r>
              <w:rPr/>
              <w:t>​</w:t>
            </w:r>
          </w:p>
        </w:tc>
        <w:tc>
          <w:tcPr>
            <w:tcW w:w="128" w:type="dxa"/>
            <w:tcBorders>
              <w:bottom w:val="single" w:sz="2" w:space="0" w:color="1F2668"/>
            </w:tcBorders>
            <w:tcMar>
              <w:bottom w:w="66" w:type="dxa"/>
            </w:tcMar>
            <w:vAlign w:val="center"/>
          </w:tcPr>
          <w:p>
            <w:pPr>
              <w:pStyle w:val="TableContents"/>
              <w:bidi w:val="0"/>
              <w:spacing w:before="0" w:after="283"/>
              <w:jc w:val="right"/>
              <w:rPr/>
            </w:pPr>
            <w:r>
              <w:rPr/>
              <w:t>​</w:t>
            </w:r>
          </w:p>
        </w:tc>
        <w:tc>
          <w:tcPr>
            <w:tcW w:w="1044" w:type="dxa"/>
            <w:tcBorders>
              <w:bottom w:val="single" w:sz="2" w:space="0" w:color="1F2668"/>
            </w:tcBorders>
            <w:tcMar>
              <w:bottom w:w="66" w:type="dxa"/>
            </w:tcMar>
            <w:vAlign w:val="center"/>
          </w:tcPr>
          <w:p>
            <w:pPr>
              <w:pStyle w:val="TableContents"/>
              <w:bidi w:val="0"/>
              <w:spacing w:before="0" w:after="283"/>
              <w:jc w:val="right"/>
              <w:rPr/>
            </w:pPr>
            <w:r>
              <w:rPr/>
              <w:t>10,939</w:t>
            </w:r>
          </w:p>
        </w:tc>
        <w:tc>
          <w:tcPr>
            <w:tcW w:w="129" w:type="dxa"/>
            <w:tcBorders>
              <w:bottom w:val="single" w:sz="2" w:space="0" w:color="1F266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240" w:after="0"/>
        <w:ind w:left="17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Represents the sum of the LTIP units that would be earned if (i) the “target” performance goal were achieved with respect to the portion of the LTIP units eligible to be earned based on TSR relative to the constituents of the Bloomberg North American Office REIT Valuation Peers Index and (ii) the “threshold” performance goal was achieved with respect to the portion of the LTIP units eligible to be earned based on TSR relative to NYC peers, in each case modified downward by 25% of the target amount, representing “threshold” performance for the LTIP units eligible to be earned based on absolute TSR. Earned LTIP units will vest 100% for Mr. Holliday on December 31, 2027. See “—Compensation Discussion and Analysis-Our 2025 Executive Compensation Program” and “—Compensation Discussion and Analysis-Other Compensation Policies and Information-Outstanding Annual Equity Award Performance Summary (2023-2025)” for a description of the terms of these performance-based awards and the Company’s projected performance as of December 31, 2025.</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52400" distB="0" distL="254000" distR="0" simplePos="0" locked="0" layoutInCell="1" allowOverlap="1" relativeHeight="726">
                <wp:simplePos x="0" y="0"/>
                <wp:positionH relativeFrom="column">
                  <wp:align>left</wp:align>
                </wp:positionH>
                <wp:positionV relativeFrom="line">
                  <wp:align>top</wp:align>
                </wp:positionV>
                <wp:extent cx="254000" cy="350520"/>
                <wp:effectExtent l="0" t="0" r="0" b="0"/>
                <wp:wrapSquare wrapText="right"/>
                <wp:docPr id="827" name="Frame47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2"/>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12pt;mso-wrap-distance-bottom:0pt;margin-top:12pt;mso-position-vertical:top;mso-position-vertical-relative:text;margin-left:20pt;mso-position-horizontal:left;mso-position-horizontal-relative:text">
                <v:textbox>
                  <w:txbxContent>
                    <w:p>
                      <w:pPr>
                        <w:pStyle w:val="TextBody"/>
                        <w:bidi w:val="0"/>
                        <w:spacing w:lineRule="atLeast" w:line="200" w:before="0" w:after="283"/>
                        <w:jc w:val="left"/>
                        <w:rPr/>
                      </w:pPr>
                      <w:r>
                        <w:rPr>
                          <w:spacing w:val="-2"/>
                        </w:rPr>
                        <w:t>(a)</w:t>
                      </w:r>
                      <w:r>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7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Represents the sum of the LTIP units that would be earned if (i) the “threshold” performance goal were achieved with respect to the portion of the LTIP units eligible to be earned based on absolute TSR, which would have resulted in a negative 12.5% adjustment to the operational component of the award, (ii) the “target” performance goal were achieved with respect to the portion of the LTIP units eligible to be earned based on TSR relative to the constituents of the Bloomberg North American Office REIT Valuation Peers Index and (iii) the “threshold” performance goal was achieved with respect to the portion of the LTIP units eligible to be earned based on TSR relative to NYC peers. Earned LTIP units will vest 50% on each of December 31, 2027 and December 31, 2028, subject to continued employment. See “—Compensation Discussion and Analysis-Our 2025 Executive Compensation Program” and “—Compensation Discussion and Analysis-Other Compensation Policies and Information-Outstanding Annual Equity Award Performance Summary (2023-2025)” for a description of the terms of these performance-based awards and the Company’s projected performance as of December 31, 2025.</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0800" distB="0" distL="254000" distR="0" simplePos="0" locked="0" layoutInCell="1" allowOverlap="1" relativeHeight="727">
                <wp:simplePos x="0" y="0"/>
                <wp:positionH relativeFrom="column">
                  <wp:align>left</wp:align>
                </wp:positionH>
                <wp:positionV relativeFrom="line">
                  <wp:align>top</wp:align>
                </wp:positionV>
                <wp:extent cx="254000" cy="350520"/>
                <wp:effectExtent l="0" t="0" r="0" b="0"/>
                <wp:wrapSquare wrapText="right"/>
                <wp:docPr id="828" name="Frame47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2"/>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00" w:before="0" w:after="283"/>
                        <w:jc w:val="left"/>
                        <w:rPr/>
                      </w:pPr>
                      <w:r>
                        <w:rPr>
                          <w:spacing w:val="-2"/>
                        </w:rPr>
                        <w:t>(b)</w:t>
                      </w:r>
                      <w:r>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7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Represents the sum of the LTIP units that would be earned if (i) the “maximum” performance goal were achieved with respect to the portion of the LTIP units eligible to be earned based on operational metrics, (ii) the “threshold” performance goal were achieved with respect to the portion of the LTIP units eligible to be earned based on absolute TSR, which would have resulted in a negative 12.5% adjustment to the operational component of the award and a negative 25% adjustment to the relative component of the award, (iii) the “target” performance goal were achieved with respect to the portion of the LTIP units eligible to be earned based on TSR relative to the constituents of the Bloomberg North American Office REIT Valuation Peers Index and (iii) the “threshold” performance goal was achieved with respect to the portion of the LTIP units eligible to be earned based on TSR relative to NYC peers. Earned LTIP units will vest 50% on each of December 31, 2027 and December 31, 2028, subject to continued employment. See “—Compensation Discussion and Analysis-Our 2025 Executive Compensation Program” and “— Compensation Discussion and Analysis-Other Compensation Policies and Information-Outstanding Annual Equity Award Performance Summary (2023-2025)” for a description of the terms of these performance-based awards and the Company’s projected performance as of December 31, 2025.</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0800" distB="0" distL="254000" distR="0" simplePos="0" locked="0" layoutInCell="1" allowOverlap="1" relativeHeight="728">
                <wp:simplePos x="0" y="0"/>
                <wp:positionH relativeFrom="column">
                  <wp:align>left</wp:align>
                </wp:positionH>
                <wp:positionV relativeFrom="line">
                  <wp:align>top</wp:align>
                </wp:positionV>
                <wp:extent cx="254000" cy="350520"/>
                <wp:effectExtent l="0" t="0" r="0" b="0"/>
                <wp:wrapSquare wrapText="right"/>
                <wp:docPr id="829" name="Frame47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2"/>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00" w:before="0" w:after="283"/>
                        <w:jc w:val="left"/>
                        <w:rPr/>
                      </w:pPr>
                      <w:r>
                        <w:rPr>
                          <w:spacing w:val="-2"/>
                        </w:rPr>
                        <w:t>(c)</w:t>
                      </w:r>
                      <w:r>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7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Represents the sum of the LTIP units that would be earned if (i) the “target” performance goal were achieved with respect to the portion of the LTIP units eligible to be earned based on absolute TSR, (ii) the “maximum” performance goal were achieved with respect to the portion of the LTIP units eligible to be earned based on TSR relative to the constituents of the Bloomberg North American Office REIT Valuation Peers Index and (iii) the “target” performance goal was achieved with respect to the portion of the LTIP units eligible to be earned based on TSR relative to NYC peers. Earned LTIP units will vest 100% for Mr. Holliday on December 31, 2026, and 50% on each of December 31, 2026 and December 31, 2027 for Mr. DiLiberto and Mr. Levine, subject, in each case, to continued employment. See “—Compensation Discussion and Analysis—Our 2025 Executive Compensation Program” and “—Compensation Discussion and Analysis—Other Compensation Policies and Information—Outstanding Annual Equity Award Performance Summary (2023-2025)” for a description of the terms of these performance-based awards and the Company’s projected performance as of December 31, 2025.</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0800" distB="0" distL="254000" distR="0" simplePos="0" locked="0" layoutInCell="1" allowOverlap="1" relativeHeight="729">
                <wp:simplePos x="0" y="0"/>
                <wp:positionH relativeFrom="column">
                  <wp:align>left</wp:align>
                </wp:positionH>
                <wp:positionV relativeFrom="line">
                  <wp:align>top</wp:align>
                </wp:positionV>
                <wp:extent cx="254000" cy="350520"/>
                <wp:effectExtent l="0" t="0" r="0" b="0"/>
                <wp:wrapSquare wrapText="right"/>
                <wp:docPr id="830" name="Frame48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2"/>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00" w:before="0" w:after="283"/>
                        <w:jc w:val="left"/>
                        <w:rPr/>
                      </w:pPr>
                      <w:r>
                        <w:rPr>
                          <w:spacing w:val="-2"/>
                        </w:rPr>
                        <w:t>(d)</w:t>
                      </w:r>
                      <w:r>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Reflects awards of Class O LTIP units. The conversion threshold for the Class O LTIP units, which is equivalent to the exercise price for a stock option, was determined by reference to the fair market value under our Fifth Amended and Restated 2005 Stock Option and Incentive Plan of one share of our common stock on each applicable grant date. See “—Other Compensation Policies and Information-Other Matters-LTIP units and Class O LTIP units” for a description of Class O LTIP units.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730">
                <wp:simplePos x="0" y="0"/>
                <wp:positionH relativeFrom="column">
                  <wp:align>left</wp:align>
                </wp:positionH>
                <wp:positionV relativeFrom="line">
                  <wp:align>top</wp:align>
                </wp:positionV>
                <wp:extent cx="254000" cy="350520"/>
                <wp:effectExtent l="0" t="0" r="0" b="0"/>
                <wp:wrapSquare wrapText="right"/>
                <wp:docPr id="831" name="Frame48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2"/>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(4)</w:t>
                      </w:r>
                      <w:r>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300" w:right="0" w:hanging="0"/>
        <w:jc w:val="left"/>
        <w:rPr>
          <w:rFonts w:ascii="Arial;Helvetica;sans-serif" w:hAnsi="Arial;Helvetica;sans-serif"/>
          <w:b w:val="false"/>
          <w:i w:val="false"/>
          <w:caps w:val="false"/>
          <w:smallCaps w:val="false"/>
          <w:color w:val="000000"/>
          <w:spacing w:val="-2"/>
          <w:sz w:val="16"/>
        </w:rPr>
      </w:pPr>
      <w:r>
        <w:rPr>
          <w:rFonts w:ascii="Arial;Helvetica;sans-serif" w:hAnsi="Arial;Helvetica;sans-serif"/>
          <w:b w:val="false"/>
          <w:i w:val="false"/>
          <w:caps w:val="false"/>
          <w:smallCaps w:val="false"/>
          <w:color w:val="000000"/>
          <w:spacing w:val="-2"/>
          <w:sz w:val="16"/>
        </w:rPr>
        <w:t xml:space="preserve">Reflects an award of Class O LTIP units with a mandatory conversion date that is 10 years after the date of grant, which vests in three equal installments on each of December 31, 2025, December 31, 2026 and December 31, 2027, subject to continued employment. In addition, the Class O LTIP units are subject to performance-based vesting conditions and will only be eligible for conversion if the average per share price of our common stock equals or exceeds $100.00 as of any trailing twenty trading day period between the grant date and the fifth anniversary thereafter. The conversion threshold for the Class O LTIP units, which is equivalent to the exercise price for a stock option, was determined by reference to the fair market value under our Fifth Amended and Restated 2005 Stock Option and Incentive Plan of one share of our common stock on each applicable grant date. See “—Other Compensation Policies and Information-Other Matters-LTIP units and Class O LTIP units” for a description of Class O LTIP units. </w:t>
      </w:r>
      <w:r>
        <mc:AlternateContent>
          <mc:Choice Requires="wps">
            <w:drawing>
              <wp:anchor behindDoc="0" distT="50800" distB="0" distL="0" distR="0" simplePos="0" locked="0" layoutInCell="1" allowOverlap="1" relativeHeight="731">
                <wp:simplePos x="0" y="0"/>
                <wp:positionH relativeFrom="column">
                  <wp:align>left</wp:align>
                </wp:positionH>
                <wp:positionV relativeFrom="line">
                  <wp:align>top</wp:align>
                </wp:positionV>
                <wp:extent cx="254000" cy="350520"/>
                <wp:effectExtent l="0" t="0" r="0" b="0"/>
                <wp:wrapSquare wrapText="right"/>
                <wp:docPr id="832" name="Frame48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2"/>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(5)</w:t>
                      </w:r>
                      <w:r>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1F2668"/>
          <w:sz w:val="16"/>
        </w:rPr>
        <w:t xml:space="preserve"> </w:t>
      </w:r>
    </w:p>
    <w:tbl>
      <w:tblPr>
        <w:tblW w:w="4330" w:type="dxa"/>
        <w:jc w:val="left"/>
        <w:tblInd w:w="900" w:type="dxa"/>
        <w:tblLayout w:type="fixed"/>
        <w:tblCellMar>
          <w:top w:w="0" w:type="dxa"/>
          <w:left w:w="0" w:type="dxa"/>
          <w:bottom w:w="0" w:type="dxa"/>
          <w:right w:w="0" w:type="dxa"/>
        </w:tblCellMar>
      </w:tblPr>
      <w:tblGrid>
        <w:gridCol w:w="124"/>
        <w:gridCol w:w="3488"/>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3488" w:type="dxa"/>
            <w:tcBorders/>
            <w:vAlign w:val="center"/>
          </w:tcPr>
          <w:p>
            <w:pPr>
              <w:pStyle w:val="TableContents"/>
              <w:bidi w:val="0"/>
              <w:spacing w:lineRule="atLeast" w:line="200" w:before="0" w:after="0"/>
              <w:jc w:val="left"/>
              <w:rPr/>
            </w:pPr>
            <w:r>
              <w:rPr>
                <w:spacing w:val="-2"/>
              </w:rPr>
              <w:t>EXECUTIVE COMPENSATION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color w:val="1F2668"/>
                <w:sz w:val="24"/>
              </w:rPr>
            </w:pPr>
            <w:r>
              <w:rPr>
                <w:color w:val="1F2668"/>
                <w:sz w:val="24"/>
              </w:rPr>
              <w:t>71</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300" w:before="560" w:after="154"/>
        <w:ind w:left="900" w:right="0" w:hanging="0"/>
        <w:jc w:val="left"/>
        <w:rPr>
          <w:rFonts w:ascii="Arial;Helvetica;sans-serif" w:hAnsi="Arial;Helvetica;sans-serif"/>
          <w:b/>
          <w:i w:val="false"/>
          <w:caps w:val="false"/>
          <w:smallCaps w:val="false"/>
          <w:color w:val="1F2668"/>
          <w:sz w:val="26"/>
        </w:rPr>
      </w:pPr>
      <w:r>
        <w:rPr>
          <w:rFonts w:ascii="Arial;Helvetica;sans-serif" w:hAnsi="Arial;Helvetica;sans-serif"/>
          <w:b/>
          <w:i w:val="false"/>
          <w:caps w:val="false"/>
          <w:smallCaps w:val="false"/>
          <w:color w:val="1F2668"/>
          <w:spacing w:val="-3"/>
          <w:sz w:val="26"/>
        </w:rPr>
        <w:t>2025 Option Exercises and Stock Vested</w:t>
      </w:r>
      <w:r>
        <w:rPr>
          <w:rFonts w:ascii="Arial;Helvetica;sans-serif" w:hAnsi="Arial;Helvetica;sans-serif"/>
          <w:b/>
          <w:i w:val="false"/>
          <w:caps w:val="false"/>
          <w:smallCaps w:val="false"/>
          <w:color w:val="000000"/>
          <w:spacing w:val="5"/>
          <w:sz w:val="26"/>
        </w:rPr>
        <w:t xml:space="preserve"> </w:t>
      </w:r>
    </w:p>
    <w:p>
      <w:pPr>
        <w:pStyle w:val="TextBody"/>
        <w:bidi w:val="0"/>
        <w:spacing w:lineRule="atLeast" w:line="23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The following table sets forth certain information with respect to the exercise of stock options and the vesting of stock, including restricted stock, restricted stock units, LTIP units and similar instruments for each named executive officer during the fiscal year ended December 31, 2025.</w:t>
      </w:r>
      <w:r>
        <w:rPr>
          <w:rFonts w:ascii="Arial;Helvetica;sans-serif" w:hAnsi="Arial;Helvetica;sans-serif"/>
          <w:b w:val="false"/>
          <w:i w:val="false"/>
          <w:caps w:val="false"/>
          <w:smallCaps w:val="false"/>
          <w:color w:val="000000"/>
          <w:spacing w:val="4"/>
          <w:sz w:val="18"/>
        </w:rPr>
        <w:t xml:space="preserve"> </w:t>
      </w:r>
    </w:p>
    <w:tbl>
      <w:tblPr>
        <w:tblW w:w="8776" w:type="dxa"/>
        <w:jc w:val="left"/>
        <w:tblInd w:w="900" w:type="dxa"/>
        <w:tblLayout w:type="fixed"/>
        <w:tblCellMar>
          <w:top w:w="0" w:type="dxa"/>
          <w:left w:w="0" w:type="dxa"/>
          <w:bottom w:w="0" w:type="dxa"/>
          <w:right w:w="0" w:type="dxa"/>
        </w:tblCellMar>
      </w:tblPr>
      <w:tblGrid>
        <w:gridCol w:w="2371"/>
        <w:gridCol w:w="109"/>
        <w:gridCol w:w="109"/>
        <w:gridCol w:w="203"/>
        <w:gridCol w:w="203"/>
        <w:gridCol w:w="647"/>
        <w:gridCol w:w="205"/>
        <w:gridCol w:w="112"/>
        <w:gridCol w:w="112"/>
        <w:gridCol w:w="205"/>
        <w:gridCol w:w="205"/>
        <w:gridCol w:w="654"/>
        <w:gridCol w:w="208"/>
        <w:gridCol w:w="109"/>
        <w:gridCol w:w="109"/>
        <w:gridCol w:w="109"/>
        <w:gridCol w:w="109"/>
        <w:gridCol w:w="886"/>
        <w:gridCol w:w="109"/>
        <w:gridCol w:w="109"/>
        <w:gridCol w:w="109"/>
        <w:gridCol w:w="109"/>
        <w:gridCol w:w="226"/>
        <w:gridCol w:w="1186"/>
        <w:gridCol w:w="109"/>
        <w:gridCol w:w="154"/>
      </w:tblGrid>
      <w:tr>
        <w:trPr/>
        <w:tc>
          <w:tcPr>
            <w:tcW w:w="237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754" w:type="dxa"/>
            <w:gridSpan w:val="10"/>
            <w:tcBorders>
              <w:bottom w:val="single" w:sz="2" w:space="0" w:color="1F2668"/>
            </w:tcBorders>
            <w:tcMar>
              <w:bottom w:w="30" w:type="dxa"/>
            </w:tcMar>
            <w:vAlign w:val="center"/>
          </w:tcPr>
          <w:p>
            <w:pPr>
              <w:pStyle w:val="TableContents"/>
              <w:bidi w:val="0"/>
              <w:spacing w:before="0" w:after="0"/>
              <w:jc w:val="center"/>
              <w:rPr/>
            </w:pPr>
            <w:r>
              <w:rPr>
                <w:spacing w:val="-2"/>
              </w:rPr>
              <w:t>Option Awards</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061" w:type="dxa"/>
            <w:gridSpan w:val="10"/>
            <w:tcBorders>
              <w:bottom w:val="single" w:sz="2" w:space="0" w:color="1F2668"/>
            </w:tcBorders>
            <w:tcMar>
              <w:bottom w:w="30" w:type="dxa"/>
            </w:tcMar>
            <w:vAlign w:val="center"/>
          </w:tcPr>
          <w:p>
            <w:pPr>
              <w:pStyle w:val="TableContents"/>
              <w:bidi w:val="0"/>
              <w:spacing w:before="0" w:after="0"/>
              <w:jc w:val="center"/>
              <w:rPr>
                <w:spacing w:val="-2"/>
              </w:rPr>
            </w:pPr>
            <w:r>
              <w:rPr>
                <w:spacing w:val="-2"/>
              </w:rPr>
              <w:t xml:space="preserve">Stock Awards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371" w:type="dxa"/>
            <w:tcBorders>
              <w:bottom w:val="single" w:sz="2" w:space="0" w:color="1F2668"/>
            </w:tcBorders>
            <w:tcMar>
              <w:bottom w:w="28" w:type="dxa"/>
            </w:tcMar>
            <w:vAlign w:val="center"/>
          </w:tcPr>
          <w:p>
            <w:pPr>
              <w:pStyle w:val="TableContents"/>
              <w:bidi w:val="0"/>
              <w:spacing w:before="0" w:after="0"/>
              <w:jc w:val="left"/>
              <w:rPr>
                <w:spacing w:val="-2"/>
              </w:rPr>
            </w:pPr>
            <w:r>
              <w:rPr>
                <w:spacing w:val="-2"/>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58" w:type="dxa"/>
            <w:gridSpan w:val="4"/>
            <w:tcBorders>
              <w:bottom w:val="single" w:sz="2" w:space="0" w:color="1F2668"/>
            </w:tcBorders>
            <w:tcMar>
              <w:bottom w:w="28" w:type="dxa"/>
            </w:tcMar>
            <w:vAlign w:val="center"/>
          </w:tcPr>
          <w:p>
            <w:pPr>
              <w:pStyle w:val="TableContents"/>
              <w:bidi w:val="0"/>
              <w:spacing w:before="0" w:after="0"/>
              <w:jc w:val="right"/>
              <w:rPr/>
            </w:pPr>
            <w:r>
              <w:rPr>
                <w:spacing w:val="-2"/>
              </w:rPr>
              <w:t xml:space="preserve">Number of </w:t>
              <w:br/>
              <w:t xml:space="preserve">Shares </w:t>
              <w:br/>
              <w:t xml:space="preserve">Acquired </w:t>
              <w:br/>
              <w:t xml:space="preserve">on Exercise </w:t>
              <w:br/>
              <w:t>(#)</w:t>
            </w:r>
            <w:r>
              <w:rPr/>
              <w:t xml:space="preserve"> </w:t>
            </w:r>
          </w:p>
        </w:tc>
        <w:tc>
          <w:tcPr>
            <w:tcW w:w="112" w:type="dxa"/>
            <w:tcBorders>
              <w:bottom w:val="single" w:sz="2" w:space="0" w:color="FFFFFF"/>
            </w:tcBorders>
            <w:tcMar>
              <w:bottom w:w="28" w:type="dxa"/>
            </w:tcMar>
            <w:vAlign w:val="center"/>
          </w:tcPr>
          <w:p>
            <w:pPr>
              <w:pStyle w:val="TableContents"/>
              <w:bidi w:val="0"/>
              <w:spacing w:before="0" w:after="283"/>
              <w:jc w:val="left"/>
              <w:rPr/>
            </w:pPr>
            <w:r>
              <w:rPr/>
              <w:t>​</w:t>
            </w:r>
          </w:p>
        </w:tc>
        <w:tc>
          <w:tcPr>
            <w:tcW w:w="112" w:type="dxa"/>
            <w:tcBorders>
              <w:bottom w:val="single" w:sz="2" w:space="0" w:color="FFFFFF"/>
            </w:tcBorders>
            <w:tcMar>
              <w:bottom w:w="28" w:type="dxa"/>
            </w:tcMar>
            <w:vAlign w:val="center"/>
          </w:tcPr>
          <w:p>
            <w:pPr>
              <w:pStyle w:val="TableContents"/>
              <w:bidi w:val="0"/>
              <w:spacing w:before="0" w:after="283"/>
              <w:jc w:val="left"/>
              <w:rPr/>
            </w:pPr>
            <w:r>
              <w:rPr/>
              <w:t>​</w:t>
            </w:r>
          </w:p>
        </w:tc>
        <w:tc>
          <w:tcPr>
            <w:tcW w:w="1272" w:type="dxa"/>
            <w:gridSpan w:val="4"/>
            <w:tcBorders>
              <w:bottom w:val="single" w:sz="2" w:space="0" w:color="1F2668"/>
            </w:tcBorders>
            <w:tcMar>
              <w:bottom w:w="28" w:type="dxa"/>
            </w:tcMar>
            <w:vAlign w:val="center"/>
          </w:tcPr>
          <w:p>
            <w:pPr>
              <w:pStyle w:val="TableContents"/>
              <w:bidi w:val="0"/>
              <w:spacing w:before="0" w:after="0"/>
              <w:jc w:val="right"/>
              <w:rPr/>
            </w:pPr>
            <w:r>
              <w:rPr>
                <w:spacing w:val="-2"/>
              </w:rPr>
              <w:t xml:space="preserve">Value </w:t>
              <w:br/>
              <w:t xml:space="preserve">Realized on </w:t>
              <w:br/>
              <w:t xml:space="preserve">Vesting </w:t>
              <w:br/>
              <w:t>($)</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1F2668"/>
            </w:tcBorders>
            <w:tcMar>
              <w:bottom w:w="28" w:type="dxa"/>
            </w:tcMar>
            <w:vAlign w:val="center"/>
          </w:tcPr>
          <w:p>
            <w:pPr>
              <w:pStyle w:val="TableContents"/>
              <w:bidi w:val="0"/>
              <w:spacing w:before="0" w:after="0"/>
              <w:jc w:val="right"/>
              <w:rPr/>
            </w:pPr>
            <w:r>
              <w:rPr>
                <w:spacing w:val="-2"/>
              </w:rPr>
              <w:t xml:space="preserve">Number of </w:t>
              <w:br/>
              <w:t xml:space="preserve">Shares </w:t>
              <w:br/>
              <w:t xml:space="preserve">Acquired </w:t>
              <w:br/>
              <w:t xml:space="preserve">on Vesting </w:t>
              <w:br/>
              <w:t>(#)</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30" w:type="dxa"/>
            <w:gridSpan w:val="4"/>
            <w:tcBorders>
              <w:bottom w:val="single" w:sz="2" w:space="0" w:color="1F2668"/>
            </w:tcBorders>
            <w:tcMar>
              <w:bottom w:w="28" w:type="dxa"/>
            </w:tcMar>
            <w:vAlign w:val="center"/>
          </w:tcPr>
          <w:p>
            <w:pPr>
              <w:pStyle w:val="TableContents"/>
              <w:bidi w:val="0"/>
              <w:spacing w:lineRule="atLeast" w:line="142" w:before="0" w:after="0"/>
              <w:jc w:val="right"/>
              <w:rPr/>
            </w:pPr>
            <w:r>
              <w:rPr>
                <w:spacing w:val="-2"/>
              </w:rPr>
              <w:t xml:space="preserve">Value </w:t>
              <w:br/>
              <w:t xml:space="preserve">Realized on </w:t>
              <w:br/>
              <w:t>Vesting</w:t>
            </w:r>
            <w:r>
              <w:rPr>
                <w:spacing w:val="-1"/>
                <w:sz w:val="10"/>
              </w:rPr>
              <w:t>(1)</w:t>
            </w:r>
            <w:r>
              <w:rPr>
                <w:spacing w:val="-2"/>
              </w:rPr>
              <w:t xml:space="preserve"> </w:t>
            </w:r>
            <w:r>
              <w:rPr/>
              <w:br/>
            </w:r>
            <w:r>
              <w:rPr>
                <w:spacing w:val="-2"/>
              </w:rPr>
              <w:t>($)</w:t>
            </w:r>
            <w:r>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371" w:type="dxa"/>
            <w:tcBorders>
              <w:bottom w:val="single" w:sz="2" w:space="0" w:color="4B5088"/>
            </w:tcBorders>
            <w:tcMar>
              <w:bottom w:w="30" w:type="dxa"/>
            </w:tcMar>
            <w:vAlign w:val="center"/>
          </w:tcPr>
          <w:p>
            <w:pPr>
              <w:pStyle w:val="TableContents"/>
              <w:bidi w:val="0"/>
              <w:spacing w:before="0" w:after="0"/>
              <w:jc w:val="left"/>
              <w:rPr>
                <w:b/>
                <w:color w:val="1F2668"/>
              </w:rPr>
            </w:pPr>
            <w:r>
              <w:rPr>
                <w:b/>
                <w:color w:val="1F2668"/>
                <w:spacing w:val="-2"/>
              </w:rPr>
              <w:t>Marc Holliday</w:t>
            </w:r>
            <w:r>
              <w:rPr>
                <w:b/>
                <w:color w:val="1F2668"/>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03" w:type="dxa"/>
            <w:tcBorders>
              <w:bottom w:val="single" w:sz="2" w:space="0" w:color="4B5088"/>
            </w:tcBorders>
            <w:tcMar>
              <w:bottom w:w="28" w:type="dxa"/>
            </w:tcMar>
            <w:vAlign w:val="center"/>
          </w:tcPr>
          <w:p>
            <w:pPr>
              <w:pStyle w:val="TableContents"/>
              <w:bidi w:val="0"/>
              <w:spacing w:before="0" w:after="283"/>
              <w:jc w:val="left"/>
              <w:rPr/>
            </w:pPr>
            <w:r>
              <w:rPr/>
              <w:t>​</w:t>
            </w:r>
          </w:p>
        </w:tc>
        <w:tc>
          <w:tcPr>
            <w:tcW w:w="203" w:type="dxa"/>
            <w:tcBorders>
              <w:bottom w:val="single" w:sz="2" w:space="0" w:color="4B5088"/>
            </w:tcBorders>
            <w:tcMar>
              <w:bottom w:w="30" w:type="dxa"/>
            </w:tcMar>
            <w:vAlign w:val="center"/>
          </w:tcPr>
          <w:p>
            <w:pPr>
              <w:pStyle w:val="TableContents"/>
              <w:bidi w:val="0"/>
              <w:spacing w:before="0" w:after="283"/>
              <w:jc w:val="right"/>
              <w:rPr/>
            </w:pPr>
            <w:r>
              <w:rPr/>
              <w:t>​</w:t>
            </w:r>
          </w:p>
        </w:tc>
        <w:tc>
          <w:tcPr>
            <w:tcW w:w="647" w:type="dxa"/>
            <w:tcBorders>
              <w:bottom w:val="single" w:sz="2" w:space="0" w:color="4B5088"/>
            </w:tcBorders>
            <w:tcMar>
              <w:bottom w:w="30" w:type="dxa"/>
            </w:tcMar>
            <w:vAlign w:val="center"/>
          </w:tcPr>
          <w:p>
            <w:pPr>
              <w:pStyle w:val="TableContents"/>
              <w:bidi w:val="0"/>
              <w:spacing w:before="0" w:after="283"/>
              <w:jc w:val="right"/>
              <w:rPr/>
            </w:pPr>
            <w:r>
              <w:rPr/>
              <w:t>—</w:t>
            </w:r>
          </w:p>
        </w:tc>
        <w:tc>
          <w:tcPr>
            <w:tcW w:w="205" w:type="dxa"/>
            <w:tcBorders>
              <w:bottom w:val="single" w:sz="2" w:space="0" w:color="4B5088"/>
            </w:tcBorders>
            <w:tcMar>
              <w:bottom w:w="28" w:type="dxa"/>
            </w:tcMar>
            <w:vAlign w:val="center"/>
          </w:tcPr>
          <w:p>
            <w:pPr>
              <w:pStyle w:val="TableContents"/>
              <w:bidi w:val="0"/>
              <w:spacing w:before="0" w:after="283"/>
              <w:jc w:val="left"/>
              <w:rPr/>
            </w:pPr>
            <w:r>
              <w:rPr/>
              <w:t>​</w:t>
            </w:r>
          </w:p>
        </w:tc>
        <w:tc>
          <w:tcPr>
            <w:tcW w:w="112" w:type="dxa"/>
            <w:tcBorders>
              <w:bottom w:val="single" w:sz="2" w:space="0" w:color="FFFFFF"/>
            </w:tcBorders>
            <w:tcMar>
              <w:bottom w:w="28" w:type="dxa"/>
            </w:tcMar>
            <w:vAlign w:val="center"/>
          </w:tcPr>
          <w:p>
            <w:pPr>
              <w:pStyle w:val="TableContents"/>
              <w:bidi w:val="0"/>
              <w:spacing w:before="0" w:after="283"/>
              <w:jc w:val="left"/>
              <w:rPr/>
            </w:pPr>
            <w:r>
              <w:rPr/>
              <w:t>​</w:t>
            </w:r>
          </w:p>
        </w:tc>
        <w:tc>
          <w:tcPr>
            <w:tcW w:w="112" w:type="dxa"/>
            <w:tcBorders>
              <w:bottom w:val="single" w:sz="2" w:space="0" w:color="FFFFFF"/>
            </w:tcBorders>
            <w:tcMar>
              <w:bottom w:w="28" w:type="dxa"/>
            </w:tcMar>
            <w:vAlign w:val="center"/>
          </w:tcPr>
          <w:p>
            <w:pPr>
              <w:pStyle w:val="TableContents"/>
              <w:bidi w:val="0"/>
              <w:spacing w:before="0" w:after="283"/>
              <w:jc w:val="left"/>
              <w:rPr/>
            </w:pPr>
            <w:r>
              <w:rPr/>
              <w:t>​</w:t>
            </w:r>
          </w:p>
        </w:tc>
        <w:tc>
          <w:tcPr>
            <w:tcW w:w="205" w:type="dxa"/>
            <w:tcBorders>
              <w:bottom w:val="single" w:sz="2" w:space="0" w:color="4B5088"/>
            </w:tcBorders>
            <w:tcMar>
              <w:bottom w:w="28" w:type="dxa"/>
            </w:tcMar>
            <w:vAlign w:val="center"/>
          </w:tcPr>
          <w:p>
            <w:pPr>
              <w:pStyle w:val="TableContents"/>
              <w:bidi w:val="0"/>
              <w:spacing w:before="0" w:after="283"/>
              <w:jc w:val="left"/>
              <w:rPr/>
            </w:pPr>
            <w:r>
              <w:rPr/>
              <w:t>​</w:t>
            </w:r>
          </w:p>
        </w:tc>
        <w:tc>
          <w:tcPr>
            <w:tcW w:w="205" w:type="dxa"/>
            <w:tcBorders>
              <w:bottom w:val="single" w:sz="2" w:space="0" w:color="4B5088"/>
            </w:tcBorders>
            <w:tcMar>
              <w:bottom w:w="30" w:type="dxa"/>
            </w:tcMar>
            <w:vAlign w:val="center"/>
          </w:tcPr>
          <w:p>
            <w:pPr>
              <w:pStyle w:val="TableContents"/>
              <w:bidi w:val="0"/>
              <w:spacing w:before="0" w:after="283"/>
              <w:jc w:val="right"/>
              <w:rPr/>
            </w:pPr>
            <w:r>
              <w:rPr/>
              <w:t>​</w:t>
            </w:r>
          </w:p>
        </w:tc>
        <w:tc>
          <w:tcPr>
            <w:tcW w:w="654" w:type="dxa"/>
            <w:tcBorders>
              <w:bottom w:val="single" w:sz="2" w:space="0" w:color="4B5088"/>
            </w:tcBorders>
            <w:tcMar>
              <w:bottom w:w="30" w:type="dxa"/>
            </w:tcMar>
            <w:vAlign w:val="center"/>
          </w:tcPr>
          <w:p>
            <w:pPr>
              <w:pStyle w:val="TableContents"/>
              <w:bidi w:val="0"/>
              <w:spacing w:before="0" w:after="283"/>
              <w:jc w:val="right"/>
              <w:rPr/>
            </w:pPr>
            <w:r>
              <w:rPr/>
              <w:t>—</w:t>
            </w:r>
          </w:p>
        </w:tc>
        <w:tc>
          <w:tcPr>
            <w:tcW w:w="208"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30" w:type="dxa"/>
            </w:tcMar>
            <w:vAlign w:val="center"/>
          </w:tcPr>
          <w:p>
            <w:pPr>
              <w:pStyle w:val="TableContents"/>
              <w:bidi w:val="0"/>
              <w:spacing w:before="0" w:after="283"/>
              <w:jc w:val="right"/>
              <w:rPr/>
            </w:pPr>
            <w:r>
              <w:rPr/>
              <w:t>​</w:t>
            </w:r>
          </w:p>
        </w:tc>
        <w:tc>
          <w:tcPr>
            <w:tcW w:w="886" w:type="dxa"/>
            <w:tcBorders>
              <w:bottom w:val="single" w:sz="2" w:space="0" w:color="4B5088"/>
            </w:tcBorders>
            <w:tcMar>
              <w:bottom w:w="30" w:type="dxa"/>
            </w:tcMar>
            <w:vAlign w:val="center"/>
          </w:tcPr>
          <w:p>
            <w:pPr>
              <w:pStyle w:val="TableContents"/>
              <w:bidi w:val="0"/>
              <w:spacing w:before="0" w:after="283"/>
              <w:jc w:val="right"/>
              <w:rPr/>
            </w:pPr>
            <w:r>
              <w:rPr/>
              <w:t>495,554</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30" w:type="dxa"/>
            </w:tcMar>
            <w:vAlign w:val="center"/>
          </w:tcPr>
          <w:p>
            <w:pPr>
              <w:pStyle w:val="TableContents"/>
              <w:bidi w:val="0"/>
              <w:spacing w:before="0" w:after="283"/>
              <w:jc w:val="right"/>
              <w:rPr/>
            </w:pPr>
            <w:r>
              <w:rPr/>
              <w:t>$</w:t>
            </w:r>
          </w:p>
        </w:tc>
        <w:tc>
          <w:tcPr>
            <w:tcW w:w="1186" w:type="dxa"/>
            <w:tcBorders>
              <w:bottom w:val="single" w:sz="2" w:space="0" w:color="4B5088"/>
            </w:tcBorders>
            <w:tcMar>
              <w:bottom w:w="30" w:type="dxa"/>
            </w:tcMar>
            <w:vAlign w:val="center"/>
          </w:tcPr>
          <w:p>
            <w:pPr>
              <w:pStyle w:val="TableContents"/>
              <w:bidi w:val="0"/>
              <w:spacing w:before="0" w:after="283"/>
              <w:jc w:val="right"/>
              <w:rPr/>
            </w:pPr>
            <w:r>
              <w:rPr/>
              <w:t>24,876,637</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371" w:type="dxa"/>
            <w:tcBorders>
              <w:bottom w:val="single" w:sz="2" w:space="0" w:color="4B5088"/>
            </w:tcBorders>
            <w:tcMar>
              <w:bottom w:w="30" w:type="dxa"/>
            </w:tcMar>
            <w:vAlign w:val="center"/>
          </w:tcPr>
          <w:p>
            <w:pPr>
              <w:pStyle w:val="TableContents"/>
              <w:bidi w:val="0"/>
              <w:spacing w:before="0" w:after="0"/>
              <w:jc w:val="left"/>
              <w:rPr>
                <w:b/>
                <w:color w:val="1F2668"/>
              </w:rPr>
            </w:pPr>
            <w:r>
              <w:rPr>
                <w:b/>
                <w:color w:val="1F2668"/>
                <w:spacing w:val="-2"/>
              </w:rPr>
              <w:t>Matthew J. DiLiberto</w:t>
            </w:r>
            <w:r>
              <w:rPr>
                <w:b/>
                <w:color w:val="1F2668"/>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03" w:type="dxa"/>
            <w:tcBorders>
              <w:bottom w:val="single" w:sz="2" w:space="0" w:color="4B5088"/>
            </w:tcBorders>
            <w:tcMar>
              <w:bottom w:w="28" w:type="dxa"/>
            </w:tcMar>
            <w:vAlign w:val="center"/>
          </w:tcPr>
          <w:p>
            <w:pPr>
              <w:pStyle w:val="TableContents"/>
              <w:bidi w:val="0"/>
              <w:spacing w:before="0" w:after="283"/>
              <w:jc w:val="left"/>
              <w:rPr/>
            </w:pPr>
            <w:r>
              <w:rPr/>
              <w:t>​</w:t>
            </w:r>
          </w:p>
        </w:tc>
        <w:tc>
          <w:tcPr>
            <w:tcW w:w="203" w:type="dxa"/>
            <w:tcBorders>
              <w:bottom w:val="single" w:sz="2" w:space="0" w:color="4B5088"/>
            </w:tcBorders>
            <w:tcMar>
              <w:bottom w:w="30" w:type="dxa"/>
            </w:tcMar>
            <w:vAlign w:val="center"/>
          </w:tcPr>
          <w:p>
            <w:pPr>
              <w:pStyle w:val="TableContents"/>
              <w:bidi w:val="0"/>
              <w:spacing w:before="0" w:after="283"/>
              <w:jc w:val="right"/>
              <w:rPr/>
            </w:pPr>
            <w:r>
              <w:rPr/>
              <w:t>​</w:t>
            </w:r>
          </w:p>
        </w:tc>
        <w:tc>
          <w:tcPr>
            <w:tcW w:w="647" w:type="dxa"/>
            <w:tcBorders>
              <w:bottom w:val="single" w:sz="2" w:space="0" w:color="4B5088"/>
            </w:tcBorders>
            <w:tcMar>
              <w:bottom w:w="30" w:type="dxa"/>
            </w:tcMar>
            <w:vAlign w:val="center"/>
          </w:tcPr>
          <w:p>
            <w:pPr>
              <w:pStyle w:val="TableContents"/>
              <w:bidi w:val="0"/>
              <w:spacing w:before="0" w:after="283"/>
              <w:jc w:val="right"/>
              <w:rPr/>
            </w:pPr>
            <w:r>
              <w:rPr/>
              <w:t>—</w:t>
            </w:r>
          </w:p>
        </w:tc>
        <w:tc>
          <w:tcPr>
            <w:tcW w:w="205" w:type="dxa"/>
            <w:tcBorders>
              <w:bottom w:val="single" w:sz="2" w:space="0" w:color="4B5088"/>
            </w:tcBorders>
            <w:tcMar>
              <w:bottom w:w="28" w:type="dxa"/>
            </w:tcMar>
            <w:vAlign w:val="center"/>
          </w:tcPr>
          <w:p>
            <w:pPr>
              <w:pStyle w:val="TableContents"/>
              <w:bidi w:val="0"/>
              <w:spacing w:before="0" w:after="283"/>
              <w:jc w:val="left"/>
              <w:rPr/>
            </w:pPr>
            <w:r>
              <w:rPr/>
              <w:t>​</w:t>
            </w:r>
          </w:p>
        </w:tc>
        <w:tc>
          <w:tcPr>
            <w:tcW w:w="112" w:type="dxa"/>
            <w:tcBorders>
              <w:bottom w:val="single" w:sz="2" w:space="0" w:color="FFFFFF"/>
            </w:tcBorders>
            <w:tcMar>
              <w:bottom w:w="28" w:type="dxa"/>
            </w:tcMar>
            <w:vAlign w:val="center"/>
          </w:tcPr>
          <w:p>
            <w:pPr>
              <w:pStyle w:val="TableContents"/>
              <w:bidi w:val="0"/>
              <w:spacing w:before="0" w:after="283"/>
              <w:jc w:val="left"/>
              <w:rPr/>
            </w:pPr>
            <w:r>
              <w:rPr/>
              <w:t>​</w:t>
            </w:r>
          </w:p>
        </w:tc>
        <w:tc>
          <w:tcPr>
            <w:tcW w:w="112" w:type="dxa"/>
            <w:tcBorders>
              <w:bottom w:val="single" w:sz="2" w:space="0" w:color="FFFFFF"/>
            </w:tcBorders>
            <w:tcMar>
              <w:bottom w:w="28" w:type="dxa"/>
            </w:tcMar>
            <w:vAlign w:val="center"/>
          </w:tcPr>
          <w:p>
            <w:pPr>
              <w:pStyle w:val="TableContents"/>
              <w:bidi w:val="0"/>
              <w:spacing w:before="0" w:after="283"/>
              <w:jc w:val="left"/>
              <w:rPr/>
            </w:pPr>
            <w:r>
              <w:rPr/>
              <w:t>​</w:t>
            </w:r>
          </w:p>
        </w:tc>
        <w:tc>
          <w:tcPr>
            <w:tcW w:w="205" w:type="dxa"/>
            <w:tcBorders>
              <w:bottom w:val="single" w:sz="2" w:space="0" w:color="4B5088"/>
            </w:tcBorders>
            <w:tcMar>
              <w:bottom w:w="28" w:type="dxa"/>
            </w:tcMar>
            <w:vAlign w:val="center"/>
          </w:tcPr>
          <w:p>
            <w:pPr>
              <w:pStyle w:val="TableContents"/>
              <w:bidi w:val="0"/>
              <w:spacing w:before="0" w:after="283"/>
              <w:jc w:val="left"/>
              <w:rPr/>
            </w:pPr>
            <w:r>
              <w:rPr/>
              <w:t>​</w:t>
            </w:r>
          </w:p>
        </w:tc>
        <w:tc>
          <w:tcPr>
            <w:tcW w:w="205" w:type="dxa"/>
            <w:tcBorders>
              <w:bottom w:val="single" w:sz="2" w:space="0" w:color="4B5088"/>
            </w:tcBorders>
            <w:tcMar>
              <w:bottom w:w="30" w:type="dxa"/>
            </w:tcMar>
            <w:vAlign w:val="center"/>
          </w:tcPr>
          <w:p>
            <w:pPr>
              <w:pStyle w:val="TableContents"/>
              <w:bidi w:val="0"/>
              <w:spacing w:before="0" w:after="283"/>
              <w:jc w:val="right"/>
              <w:rPr/>
            </w:pPr>
            <w:r>
              <w:rPr/>
              <w:t>​</w:t>
            </w:r>
          </w:p>
        </w:tc>
        <w:tc>
          <w:tcPr>
            <w:tcW w:w="654" w:type="dxa"/>
            <w:tcBorders>
              <w:bottom w:val="single" w:sz="2" w:space="0" w:color="4B5088"/>
            </w:tcBorders>
            <w:tcMar>
              <w:bottom w:w="30" w:type="dxa"/>
            </w:tcMar>
            <w:vAlign w:val="center"/>
          </w:tcPr>
          <w:p>
            <w:pPr>
              <w:pStyle w:val="TableContents"/>
              <w:bidi w:val="0"/>
              <w:spacing w:before="0" w:after="283"/>
              <w:jc w:val="right"/>
              <w:rPr/>
            </w:pPr>
            <w:r>
              <w:rPr/>
              <w:t>—</w:t>
            </w:r>
          </w:p>
        </w:tc>
        <w:tc>
          <w:tcPr>
            <w:tcW w:w="208"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30" w:type="dxa"/>
            </w:tcMar>
            <w:vAlign w:val="center"/>
          </w:tcPr>
          <w:p>
            <w:pPr>
              <w:pStyle w:val="TableContents"/>
              <w:bidi w:val="0"/>
              <w:spacing w:before="0" w:after="283"/>
              <w:jc w:val="right"/>
              <w:rPr/>
            </w:pPr>
            <w:r>
              <w:rPr/>
              <w:t>​</w:t>
            </w:r>
          </w:p>
        </w:tc>
        <w:tc>
          <w:tcPr>
            <w:tcW w:w="886" w:type="dxa"/>
            <w:tcBorders>
              <w:bottom w:val="single" w:sz="2" w:space="0" w:color="4B5088"/>
            </w:tcBorders>
            <w:tcMar>
              <w:bottom w:w="30" w:type="dxa"/>
            </w:tcMar>
            <w:vAlign w:val="center"/>
          </w:tcPr>
          <w:p>
            <w:pPr>
              <w:pStyle w:val="TableContents"/>
              <w:bidi w:val="0"/>
              <w:spacing w:before="0" w:after="283"/>
              <w:jc w:val="right"/>
              <w:rPr/>
            </w:pPr>
            <w:r>
              <w:rPr/>
              <w:t>82,030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30" w:type="dxa"/>
            </w:tcMar>
            <w:vAlign w:val="center"/>
          </w:tcPr>
          <w:p>
            <w:pPr>
              <w:pStyle w:val="TableContents"/>
              <w:bidi w:val="0"/>
              <w:spacing w:before="0" w:after="283"/>
              <w:jc w:val="right"/>
              <w:rPr/>
            </w:pPr>
            <w:r>
              <w:rPr/>
              <w:t>$</w:t>
            </w:r>
          </w:p>
        </w:tc>
        <w:tc>
          <w:tcPr>
            <w:tcW w:w="1186" w:type="dxa"/>
            <w:tcBorders>
              <w:bottom w:val="single" w:sz="2" w:space="0" w:color="4B5088"/>
            </w:tcBorders>
            <w:tcMar>
              <w:bottom w:w="30" w:type="dxa"/>
            </w:tcMar>
            <w:vAlign w:val="center"/>
          </w:tcPr>
          <w:p>
            <w:pPr>
              <w:pStyle w:val="TableContents"/>
              <w:bidi w:val="0"/>
              <w:spacing w:before="0" w:after="283"/>
              <w:jc w:val="right"/>
              <w:rPr/>
            </w:pPr>
            <w:r>
              <w:rPr/>
              <w:t>4,969,662</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371" w:type="dxa"/>
            <w:tcBorders>
              <w:bottom w:val="single" w:sz="2" w:space="0" w:color="1F2668"/>
            </w:tcBorders>
            <w:tcMar>
              <w:bottom w:w="30" w:type="dxa"/>
            </w:tcMar>
            <w:vAlign w:val="center"/>
          </w:tcPr>
          <w:p>
            <w:pPr>
              <w:pStyle w:val="TableContents"/>
              <w:bidi w:val="0"/>
              <w:spacing w:before="0" w:after="0"/>
              <w:jc w:val="left"/>
              <w:rPr>
                <w:b/>
                <w:color w:val="1F2668"/>
              </w:rPr>
            </w:pPr>
            <w:r>
              <w:rPr>
                <w:b/>
                <w:color w:val="1F2668"/>
                <w:spacing w:val="-2"/>
              </w:rPr>
              <w:t>Andrew S. Levine</w:t>
            </w:r>
            <w:r>
              <w:rPr>
                <w:b/>
                <w:color w:val="1F2668"/>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03" w:type="dxa"/>
            <w:tcBorders>
              <w:bottom w:val="single" w:sz="2" w:space="0" w:color="1F2668"/>
            </w:tcBorders>
            <w:tcMar>
              <w:bottom w:w="28" w:type="dxa"/>
            </w:tcMar>
            <w:vAlign w:val="center"/>
          </w:tcPr>
          <w:p>
            <w:pPr>
              <w:pStyle w:val="TableContents"/>
              <w:bidi w:val="0"/>
              <w:spacing w:before="0" w:after="283"/>
              <w:jc w:val="left"/>
              <w:rPr/>
            </w:pPr>
            <w:r>
              <w:rPr/>
              <w:t>​</w:t>
            </w:r>
          </w:p>
        </w:tc>
        <w:tc>
          <w:tcPr>
            <w:tcW w:w="203" w:type="dxa"/>
            <w:tcBorders>
              <w:bottom w:val="single" w:sz="2" w:space="0" w:color="1F2668"/>
            </w:tcBorders>
            <w:tcMar>
              <w:bottom w:w="30" w:type="dxa"/>
            </w:tcMar>
            <w:vAlign w:val="center"/>
          </w:tcPr>
          <w:p>
            <w:pPr>
              <w:pStyle w:val="TableContents"/>
              <w:bidi w:val="0"/>
              <w:spacing w:before="0" w:after="283"/>
              <w:jc w:val="right"/>
              <w:rPr/>
            </w:pPr>
            <w:r>
              <w:rPr/>
              <w:t>​</w:t>
            </w:r>
          </w:p>
        </w:tc>
        <w:tc>
          <w:tcPr>
            <w:tcW w:w="647" w:type="dxa"/>
            <w:tcBorders>
              <w:bottom w:val="single" w:sz="2" w:space="0" w:color="1F2668"/>
            </w:tcBorders>
            <w:tcMar>
              <w:bottom w:w="30" w:type="dxa"/>
            </w:tcMar>
            <w:vAlign w:val="center"/>
          </w:tcPr>
          <w:p>
            <w:pPr>
              <w:pStyle w:val="TableContents"/>
              <w:bidi w:val="0"/>
              <w:spacing w:before="0" w:after="283"/>
              <w:jc w:val="right"/>
              <w:rPr/>
            </w:pPr>
            <w:r>
              <w:rPr/>
              <w:t>—</w:t>
            </w:r>
          </w:p>
        </w:tc>
        <w:tc>
          <w:tcPr>
            <w:tcW w:w="205" w:type="dxa"/>
            <w:tcBorders>
              <w:bottom w:val="single" w:sz="2" w:space="0" w:color="1F2668"/>
            </w:tcBorders>
            <w:tcMar>
              <w:bottom w:w="28" w:type="dxa"/>
            </w:tcMar>
            <w:vAlign w:val="center"/>
          </w:tcPr>
          <w:p>
            <w:pPr>
              <w:pStyle w:val="TableContents"/>
              <w:bidi w:val="0"/>
              <w:spacing w:before="0" w:after="283"/>
              <w:jc w:val="left"/>
              <w:rPr/>
            </w:pPr>
            <w:r>
              <w:rPr/>
              <w:t>​</w:t>
            </w:r>
          </w:p>
        </w:tc>
        <w:tc>
          <w:tcPr>
            <w:tcW w:w="112" w:type="dxa"/>
            <w:tcBorders>
              <w:bottom w:val="single" w:sz="2" w:space="0" w:color="FFFFFF"/>
            </w:tcBorders>
            <w:tcMar>
              <w:bottom w:w="28" w:type="dxa"/>
            </w:tcMar>
            <w:vAlign w:val="center"/>
          </w:tcPr>
          <w:p>
            <w:pPr>
              <w:pStyle w:val="TableContents"/>
              <w:bidi w:val="0"/>
              <w:spacing w:before="0" w:after="283"/>
              <w:jc w:val="left"/>
              <w:rPr/>
            </w:pPr>
            <w:r>
              <w:rPr/>
              <w:t>​</w:t>
            </w:r>
          </w:p>
        </w:tc>
        <w:tc>
          <w:tcPr>
            <w:tcW w:w="112" w:type="dxa"/>
            <w:tcBorders>
              <w:bottom w:val="single" w:sz="2" w:space="0" w:color="FFFFFF"/>
            </w:tcBorders>
            <w:tcMar>
              <w:bottom w:w="28" w:type="dxa"/>
            </w:tcMar>
            <w:vAlign w:val="center"/>
          </w:tcPr>
          <w:p>
            <w:pPr>
              <w:pStyle w:val="TableContents"/>
              <w:bidi w:val="0"/>
              <w:spacing w:before="0" w:after="283"/>
              <w:jc w:val="left"/>
              <w:rPr/>
            </w:pPr>
            <w:r>
              <w:rPr/>
              <w:t>​</w:t>
            </w:r>
          </w:p>
        </w:tc>
        <w:tc>
          <w:tcPr>
            <w:tcW w:w="205" w:type="dxa"/>
            <w:tcBorders>
              <w:bottom w:val="single" w:sz="2" w:space="0" w:color="1F2668"/>
            </w:tcBorders>
            <w:tcMar>
              <w:bottom w:w="28" w:type="dxa"/>
            </w:tcMar>
            <w:vAlign w:val="center"/>
          </w:tcPr>
          <w:p>
            <w:pPr>
              <w:pStyle w:val="TableContents"/>
              <w:bidi w:val="0"/>
              <w:spacing w:before="0" w:after="283"/>
              <w:jc w:val="left"/>
              <w:rPr/>
            </w:pPr>
            <w:r>
              <w:rPr/>
              <w:t>​</w:t>
            </w:r>
          </w:p>
        </w:tc>
        <w:tc>
          <w:tcPr>
            <w:tcW w:w="205" w:type="dxa"/>
            <w:tcBorders>
              <w:bottom w:val="single" w:sz="2" w:space="0" w:color="1F2668"/>
            </w:tcBorders>
            <w:tcMar>
              <w:bottom w:w="30" w:type="dxa"/>
            </w:tcMar>
            <w:vAlign w:val="center"/>
          </w:tcPr>
          <w:p>
            <w:pPr>
              <w:pStyle w:val="TableContents"/>
              <w:bidi w:val="0"/>
              <w:spacing w:before="0" w:after="283"/>
              <w:jc w:val="right"/>
              <w:rPr/>
            </w:pPr>
            <w:r>
              <w:rPr/>
              <w:t>​</w:t>
            </w:r>
          </w:p>
        </w:tc>
        <w:tc>
          <w:tcPr>
            <w:tcW w:w="654" w:type="dxa"/>
            <w:tcBorders>
              <w:bottom w:val="single" w:sz="2" w:space="0" w:color="1F2668"/>
            </w:tcBorders>
            <w:tcMar>
              <w:bottom w:w="30" w:type="dxa"/>
            </w:tcMar>
            <w:vAlign w:val="center"/>
          </w:tcPr>
          <w:p>
            <w:pPr>
              <w:pStyle w:val="TableContents"/>
              <w:bidi w:val="0"/>
              <w:spacing w:before="0" w:after="283"/>
              <w:jc w:val="right"/>
              <w:rPr/>
            </w:pPr>
            <w:r>
              <w:rPr/>
              <w:t>—</w:t>
            </w:r>
          </w:p>
        </w:tc>
        <w:tc>
          <w:tcPr>
            <w:tcW w:w="208"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30" w:type="dxa"/>
            </w:tcMar>
            <w:vAlign w:val="center"/>
          </w:tcPr>
          <w:p>
            <w:pPr>
              <w:pStyle w:val="TableContents"/>
              <w:bidi w:val="0"/>
              <w:spacing w:before="0" w:after="283"/>
              <w:jc w:val="right"/>
              <w:rPr/>
            </w:pPr>
            <w:r>
              <w:rPr/>
              <w:t>​</w:t>
            </w:r>
          </w:p>
        </w:tc>
        <w:tc>
          <w:tcPr>
            <w:tcW w:w="886" w:type="dxa"/>
            <w:tcBorders>
              <w:bottom w:val="single" w:sz="2" w:space="0" w:color="1F2668"/>
            </w:tcBorders>
            <w:tcMar>
              <w:bottom w:w="30" w:type="dxa"/>
            </w:tcMar>
            <w:vAlign w:val="center"/>
          </w:tcPr>
          <w:p>
            <w:pPr>
              <w:pStyle w:val="TableContents"/>
              <w:bidi w:val="0"/>
              <w:spacing w:before="0" w:after="283"/>
              <w:jc w:val="right"/>
              <w:rPr/>
            </w:pPr>
            <w:r>
              <w:rPr/>
              <w:t>88,651</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226" w:type="dxa"/>
            <w:tcBorders>
              <w:bottom w:val="single" w:sz="2" w:space="0" w:color="1F2668"/>
            </w:tcBorders>
            <w:tcMar>
              <w:bottom w:w="30" w:type="dxa"/>
            </w:tcMar>
            <w:vAlign w:val="center"/>
          </w:tcPr>
          <w:p>
            <w:pPr>
              <w:pStyle w:val="TableContents"/>
              <w:bidi w:val="0"/>
              <w:spacing w:before="0" w:after="283"/>
              <w:jc w:val="right"/>
              <w:rPr/>
            </w:pPr>
            <w:r>
              <w:rPr/>
              <w:t>$</w:t>
            </w:r>
          </w:p>
        </w:tc>
        <w:tc>
          <w:tcPr>
            <w:tcW w:w="1186" w:type="dxa"/>
            <w:tcBorders>
              <w:bottom w:val="single" w:sz="2" w:space="0" w:color="1F2668"/>
            </w:tcBorders>
            <w:tcMar>
              <w:bottom w:w="30" w:type="dxa"/>
            </w:tcMar>
            <w:vAlign w:val="center"/>
          </w:tcPr>
          <w:p>
            <w:pPr>
              <w:pStyle w:val="TableContents"/>
              <w:bidi w:val="0"/>
              <w:spacing w:before="0" w:after="283"/>
              <w:jc w:val="right"/>
              <w:rPr/>
            </w:pPr>
            <w:r>
              <w:rPr/>
              <w:t>5,501,073</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before="0" w:after="0"/>
        <w:ind w:left="900" w:right="0" w:hanging="0"/>
        <w:jc w:val="left"/>
        <w:rPr>
          <w:caps w:val="false"/>
          <w:smallCaps w:val="false"/>
          <w:color w:val="1F2668"/>
        </w:rPr>
      </w:pPr>
      <w:r>
        <w:rPr>
          <w:caps w:val="false"/>
          <w:smallCaps w:val="false"/>
          <w:color w:val="1F2668"/>
        </w:rPr>
        <w:t>​</w:t>
      </w:r>
    </w:p>
    <w:p>
      <w:pPr>
        <w:pStyle w:val="TextBody"/>
        <w:bidi w:val="0"/>
        <w:spacing w:lineRule="atLeast" w:line="200" w:before="276"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Amounts reflect the market value of the stock on the day the stock vested.</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75260" distB="0" distL="0" distR="0" simplePos="0" locked="0" layoutInCell="1" allowOverlap="1" relativeHeight="732">
                <wp:simplePos x="0" y="0"/>
                <wp:positionH relativeFrom="column">
                  <wp:align>left</wp:align>
                </wp:positionH>
                <wp:positionV relativeFrom="line">
                  <wp:align>top</wp:align>
                </wp:positionV>
                <wp:extent cx="254000" cy="350520"/>
                <wp:effectExtent l="0" t="0" r="0" b="0"/>
                <wp:wrapSquare wrapText="right"/>
                <wp:docPr id="833" name="Frame48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b w:val="false"/>
                                <w:color w:val="000000"/>
                              </w:rPr>
                            </w:pPr>
                            <w:r>
                              <w:rPr>
                                <w:b w:val="false"/>
                                <w:color w:val="000000"/>
                                <w:spacing w:val="-2"/>
                              </w:rPr>
                              <w:t>(1)</w:t>
                            </w:r>
                            <w:r>
                              <w:rPr>
                                <w:b w:val="false"/>
                                <w:color w:val="000000"/>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3.8pt;mso-wrap-distance-bottom:0pt;margin-top:13.8pt;mso-position-vertical:top;mso-position-vertical-relative:text;margin-left:0pt;mso-position-horizontal:left;mso-position-horizontal-relative:text">
                <v:textbox>
                  <w:txbxContent>
                    <w:p>
                      <w:pPr>
                        <w:pStyle w:val="TextBody"/>
                        <w:bidi w:val="0"/>
                        <w:spacing w:lineRule="atLeast" w:line="200" w:before="0" w:after="283"/>
                        <w:jc w:val="left"/>
                        <w:rPr>
                          <w:b w:val="false"/>
                          <w:color w:val="000000"/>
                        </w:rPr>
                      </w:pPr>
                      <w:r>
                        <w:rPr>
                          <w:b w:val="false"/>
                          <w:color w:val="000000"/>
                          <w:spacing w:val="-2"/>
                        </w:rPr>
                        <w:t>(1)</w:t>
                      </w:r>
                      <w:r>
                        <w:rPr>
                          <w:b w:val="false"/>
                          <w:color w:val="000000"/>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1F2668"/>
        </w:rPr>
      </w:pPr>
      <w:r>
        <w:rPr>
          <w:caps w:val="false"/>
          <w:smallCaps w:val="false"/>
          <w:color w:val="1F2668"/>
        </w:rPr>
        <w:t>​</w:t>
      </w:r>
    </w:p>
    <w:p>
      <w:pPr>
        <w:pStyle w:val="TextBody"/>
        <w:bidi w:val="0"/>
        <w:spacing w:lineRule="atLeast" w:line="300" w:before="326" w:after="283"/>
        <w:jc w:val="left"/>
        <w:rPr>
          <w:rFonts w:ascii="Arial;Helvetica;sans-serif" w:hAnsi="Arial;Helvetica;sans-serif"/>
          <w:b/>
          <w:i w:val="false"/>
          <w:caps w:val="false"/>
          <w:smallCaps w:val="false"/>
          <w:color w:val="1F2668"/>
          <w:sz w:val="26"/>
        </w:rPr>
      </w:pPr>
      <w:r>
        <w:rPr>
          <w:rFonts w:ascii="Arial;Helvetica;sans-serif" w:hAnsi="Arial;Helvetica;sans-serif"/>
          <w:b/>
          <w:i w:val="false"/>
          <w:caps w:val="false"/>
          <w:smallCaps w:val="false"/>
          <w:color w:val="1F2668"/>
          <w:spacing w:val="-3"/>
          <w:sz w:val="26"/>
        </w:rPr>
        <w:t>Nonqualified Deferred Compensation</w:t>
      </w:r>
      <w:r>
        <w:rPr>
          <w:rFonts w:ascii="Arial;Helvetica;sans-serif" w:hAnsi="Arial;Helvetica;sans-serif"/>
          <w:b/>
          <w:i w:val="false"/>
          <w:caps w:val="false"/>
          <w:smallCaps w:val="false"/>
          <w:color w:val="000000"/>
          <w:spacing w:val="5"/>
          <w:sz w:val="26"/>
        </w:rPr>
        <w:t xml:space="preserve"> </w:t>
      </w:r>
    </w:p>
    <w:p>
      <w:pPr>
        <w:pStyle w:val="TextBody"/>
        <w:bidi w:val="0"/>
        <w:spacing w:lineRule="atLeast" w:line="23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The following table sets forth certain information regarding previously deferred non-tax qualified compensation as of December 31, 2025. We have eliminated deferred compensation from our compensation program and no new compensation has been deferred by any of our named executive officers since January 2018. All of the information below relates to notional stock units that we granted to certain of our named executive officers pursuant to employment agreements we had entered into with them. Pursuant to these employment agreements, we agreed to grant notional stock units with a specified value to certain of our named executive officers each year, which are subject to vesting based on continued employment for the following year. Once vested, these notional stock units represent a contingent right to receive the value of one share of our common stock. Under the terms of the deferred compensation agreements, each participant is also entitled to dividend equivalent rights, to be paid in cash on a current basis, equal to the amount per share of any cash dividend we declare, multiplied by the total number of notional units held by such participant as of the record date for such dividend. Vested notional stock units are settled in cash no later than 30 days following the earliest of (i) the executive’s death, (ii) the date of the executive’s separation from service with us and (iii) the effective date of a change in control.</w:t>
      </w:r>
      <w:r>
        <w:rPr>
          <w:rFonts w:ascii="Arial;Helvetica;sans-serif" w:hAnsi="Arial;Helvetica;sans-serif"/>
          <w:b w:val="false"/>
          <w:i w:val="false"/>
          <w:caps w:val="false"/>
          <w:smallCaps w:val="false"/>
          <w:color w:val="000000"/>
          <w:spacing w:val="4"/>
          <w:sz w:val="18"/>
        </w:rPr>
        <w:t xml:space="preserve"> </w:t>
      </w:r>
    </w:p>
    <w:tbl>
      <w:tblPr>
        <w:tblW w:w="9523" w:type="dxa"/>
        <w:jc w:val="left"/>
        <w:tblInd w:w="900" w:type="dxa"/>
        <w:tblLayout w:type="fixed"/>
        <w:tblCellMar>
          <w:top w:w="0" w:type="dxa"/>
          <w:left w:w="0" w:type="dxa"/>
          <w:bottom w:w="28" w:type="dxa"/>
          <w:right w:w="0" w:type="dxa"/>
        </w:tblCellMar>
      </w:tblPr>
      <w:tblGrid>
        <w:gridCol w:w="1110"/>
        <w:gridCol w:w="109"/>
        <w:gridCol w:w="109"/>
        <w:gridCol w:w="222"/>
        <w:gridCol w:w="222"/>
        <w:gridCol w:w="705"/>
        <w:gridCol w:w="223"/>
        <w:gridCol w:w="109"/>
        <w:gridCol w:w="109"/>
        <w:gridCol w:w="222"/>
        <w:gridCol w:w="222"/>
        <w:gridCol w:w="705"/>
        <w:gridCol w:w="223"/>
        <w:gridCol w:w="109"/>
        <w:gridCol w:w="109"/>
        <w:gridCol w:w="109"/>
        <w:gridCol w:w="226"/>
        <w:gridCol w:w="1141"/>
        <w:gridCol w:w="109"/>
        <w:gridCol w:w="109"/>
        <w:gridCol w:w="109"/>
        <w:gridCol w:w="109"/>
        <w:gridCol w:w="226"/>
        <w:gridCol w:w="886"/>
        <w:gridCol w:w="109"/>
        <w:gridCol w:w="109"/>
        <w:gridCol w:w="109"/>
        <w:gridCol w:w="109"/>
        <w:gridCol w:w="226"/>
        <w:gridCol w:w="1066"/>
        <w:gridCol w:w="109"/>
        <w:gridCol w:w="154"/>
      </w:tblGrid>
      <w:tr>
        <w:trPr/>
        <w:tc>
          <w:tcPr>
            <w:tcW w:w="1110" w:type="dxa"/>
            <w:tcBorders>
              <w:bottom w:val="single" w:sz="2" w:space="0" w:color="1F2668"/>
            </w:tcBorders>
            <w:vAlign w:val="center"/>
          </w:tcPr>
          <w:p>
            <w:pPr>
              <w:pStyle w:val="TableContents"/>
              <w:bidi w:val="0"/>
              <w:spacing w:before="0" w:after="0"/>
              <w:jc w:val="left"/>
              <w:rPr>
                <w:spacing w:val="-2"/>
              </w:rPr>
            </w:pPr>
            <w:r>
              <w:rPr>
                <w:spacing w:val="-2"/>
              </w:rPr>
              <w:t xml:space="preserve">Executive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72" w:type="dxa"/>
            <w:gridSpan w:val="4"/>
            <w:tcBorders>
              <w:bottom w:val="single" w:sz="2" w:space="0" w:color="1F2668"/>
            </w:tcBorders>
            <w:vAlign w:val="center"/>
          </w:tcPr>
          <w:p>
            <w:pPr>
              <w:pStyle w:val="TableContents"/>
              <w:bidi w:val="0"/>
              <w:spacing w:before="0" w:after="0"/>
              <w:jc w:val="right"/>
              <w:rPr/>
            </w:pPr>
            <w:r>
              <w:rPr>
                <w:spacing w:val="-2"/>
              </w:rPr>
              <w:t xml:space="preserve">Executive </w:t>
              <w:br/>
              <w:t xml:space="preserve">Contributions </w:t>
              <w:br/>
              <w:t xml:space="preserve">in Last FY </w:t>
              <w:br/>
              <w:t>($)</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72" w:type="dxa"/>
            <w:gridSpan w:val="4"/>
            <w:tcBorders>
              <w:bottom w:val="single" w:sz="2" w:space="0" w:color="1F2668"/>
            </w:tcBorders>
            <w:vAlign w:val="center"/>
          </w:tcPr>
          <w:p>
            <w:pPr>
              <w:pStyle w:val="TableContents"/>
              <w:bidi w:val="0"/>
              <w:spacing w:before="0" w:after="0"/>
              <w:jc w:val="right"/>
              <w:rPr/>
            </w:pPr>
            <w:r>
              <w:rPr>
                <w:spacing w:val="-2"/>
              </w:rPr>
              <w:t xml:space="preserve">Registrant </w:t>
              <w:br/>
              <w:t xml:space="preserve">Contributions </w:t>
              <w:br/>
              <w:t xml:space="preserve">in Last FY </w:t>
              <w:br/>
              <w:t>($)</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85" w:type="dxa"/>
            <w:gridSpan w:val="4"/>
            <w:tcBorders>
              <w:bottom w:val="single" w:sz="2" w:space="0" w:color="1F2668"/>
            </w:tcBorders>
            <w:vAlign w:val="center"/>
          </w:tcPr>
          <w:p>
            <w:pPr>
              <w:pStyle w:val="TableContents"/>
              <w:bidi w:val="0"/>
              <w:spacing w:lineRule="atLeast" w:line="142" w:before="0" w:after="0"/>
              <w:jc w:val="right"/>
              <w:rPr/>
            </w:pPr>
            <w:r>
              <w:rPr>
                <w:spacing w:val="-2"/>
              </w:rPr>
              <w:t xml:space="preserve">Aggregate </w:t>
              <w:br/>
              <w:t xml:space="preserve">Earnings </w:t>
              <w:br/>
              <w:t xml:space="preserve">in Last FY </w:t>
              <w:br/>
              <w:t>($)</w:t>
            </w:r>
            <w:r>
              <w:rPr>
                <w:spacing w:val="-1"/>
                <w:sz w:val="10"/>
              </w:rPr>
              <w:t>(1)(2)</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1F2668"/>
            </w:tcBorders>
            <w:vAlign w:val="center"/>
          </w:tcPr>
          <w:p>
            <w:pPr>
              <w:pStyle w:val="TableContents"/>
              <w:bidi w:val="0"/>
              <w:spacing w:lineRule="atLeast" w:line="142" w:before="0" w:after="0"/>
              <w:jc w:val="right"/>
              <w:rPr/>
            </w:pPr>
            <w:r>
              <w:rPr>
                <w:spacing w:val="-2"/>
              </w:rPr>
              <w:t xml:space="preserve">Aggregate </w:t>
              <w:br/>
              <w:t xml:space="preserve">Earnings/ </w:t>
              <w:br/>
              <w:t xml:space="preserve">Distributions </w:t>
              <w:br/>
              <w:t>($)</w:t>
            </w:r>
            <w:r>
              <w:rPr>
                <w:spacing w:val="-1"/>
                <w:sz w:val="10"/>
              </w:rPr>
              <w:t>(3)</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0" w:type="dxa"/>
            <w:gridSpan w:val="4"/>
            <w:tcBorders>
              <w:bottom w:val="single" w:sz="2" w:space="0" w:color="1F2668"/>
            </w:tcBorders>
            <w:vAlign w:val="center"/>
          </w:tcPr>
          <w:p>
            <w:pPr>
              <w:pStyle w:val="TableContents"/>
              <w:bidi w:val="0"/>
              <w:spacing w:lineRule="atLeast" w:line="142" w:before="0" w:after="0"/>
              <w:jc w:val="right"/>
              <w:rPr/>
            </w:pPr>
            <w:r>
              <w:rPr>
                <w:spacing w:val="-2"/>
              </w:rPr>
              <w:t xml:space="preserve">Aggregate </w:t>
              <w:br/>
              <w:t xml:space="preserve">Balance </w:t>
              <w:br/>
              <w:t xml:space="preserve">at Last FYE </w:t>
              <w:br/>
              <w:t>($)</w:t>
            </w:r>
            <w:r>
              <w:rPr>
                <w:spacing w:val="-1"/>
                <w:sz w:val="10"/>
              </w:rPr>
              <w:t>(1)(4)</w:t>
            </w:r>
            <w:r>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110" w:type="dxa"/>
            <w:tcBorders>
              <w:bottom w:val="single" w:sz="2" w:space="0" w:color="4B5088"/>
            </w:tcBorders>
            <w:tcMar>
              <w:bottom w:w="30" w:type="dxa"/>
            </w:tcMar>
            <w:vAlign w:val="center"/>
          </w:tcPr>
          <w:p>
            <w:pPr>
              <w:pStyle w:val="TableContents"/>
              <w:bidi w:val="0"/>
              <w:spacing w:before="0" w:after="0"/>
              <w:jc w:val="left"/>
              <w:rPr>
                <w:b/>
              </w:rPr>
            </w:pPr>
            <w:r>
              <w:rPr>
                <w:b/>
                <w:spacing w:val="-2"/>
              </w:rPr>
              <w:t>Marc Holliday</w:t>
            </w:r>
            <w:r>
              <w:rPr>
                <w:b/>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2" w:type="dxa"/>
            <w:tcBorders>
              <w:bottom w:val="single" w:sz="2" w:space="0" w:color="4B5088"/>
            </w:tcBorders>
            <w:vAlign w:val="center"/>
          </w:tcPr>
          <w:p>
            <w:pPr>
              <w:pStyle w:val="TableContents"/>
              <w:bidi w:val="0"/>
              <w:spacing w:before="0" w:after="283"/>
              <w:jc w:val="left"/>
              <w:rPr/>
            </w:pPr>
            <w:r>
              <w:rPr/>
              <w:t>​</w:t>
            </w:r>
          </w:p>
        </w:tc>
        <w:tc>
          <w:tcPr>
            <w:tcW w:w="222" w:type="dxa"/>
            <w:tcBorders>
              <w:bottom w:val="single" w:sz="2" w:space="0" w:color="4B5088"/>
            </w:tcBorders>
            <w:tcMar>
              <w:bottom w:w="30" w:type="dxa"/>
            </w:tcMar>
            <w:vAlign w:val="center"/>
          </w:tcPr>
          <w:p>
            <w:pPr>
              <w:pStyle w:val="TableContents"/>
              <w:bidi w:val="0"/>
              <w:spacing w:before="0" w:after="283"/>
              <w:jc w:val="right"/>
              <w:rPr/>
            </w:pPr>
            <w:r>
              <w:rPr/>
              <w:t>​</w:t>
            </w:r>
          </w:p>
        </w:tc>
        <w:tc>
          <w:tcPr>
            <w:tcW w:w="705" w:type="dxa"/>
            <w:tcBorders>
              <w:bottom w:val="single" w:sz="2" w:space="0" w:color="4B5088"/>
            </w:tcBorders>
            <w:tcMar>
              <w:bottom w:w="30" w:type="dxa"/>
            </w:tcMar>
            <w:vAlign w:val="center"/>
          </w:tcPr>
          <w:p>
            <w:pPr>
              <w:pStyle w:val="TableContents"/>
              <w:bidi w:val="0"/>
              <w:spacing w:before="0" w:after="283"/>
              <w:jc w:val="right"/>
              <w:rPr/>
            </w:pPr>
            <w:r>
              <w:rPr/>
              <w:t>—</w:t>
            </w:r>
          </w:p>
        </w:tc>
        <w:tc>
          <w:tcPr>
            <w:tcW w:w="223"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2" w:type="dxa"/>
            <w:tcBorders>
              <w:bottom w:val="single" w:sz="2" w:space="0" w:color="4B5088"/>
            </w:tcBorders>
            <w:vAlign w:val="center"/>
          </w:tcPr>
          <w:p>
            <w:pPr>
              <w:pStyle w:val="TableContents"/>
              <w:bidi w:val="0"/>
              <w:spacing w:before="0" w:after="283"/>
              <w:jc w:val="left"/>
              <w:rPr/>
            </w:pPr>
            <w:r>
              <w:rPr/>
              <w:t>​</w:t>
            </w:r>
          </w:p>
        </w:tc>
        <w:tc>
          <w:tcPr>
            <w:tcW w:w="222" w:type="dxa"/>
            <w:tcBorders>
              <w:bottom w:val="single" w:sz="2" w:space="0" w:color="4B5088"/>
            </w:tcBorders>
            <w:tcMar>
              <w:bottom w:w="30" w:type="dxa"/>
            </w:tcMar>
            <w:vAlign w:val="center"/>
          </w:tcPr>
          <w:p>
            <w:pPr>
              <w:pStyle w:val="TableContents"/>
              <w:bidi w:val="0"/>
              <w:spacing w:before="0" w:after="283"/>
              <w:jc w:val="right"/>
              <w:rPr/>
            </w:pPr>
            <w:r>
              <w:rPr/>
              <w:t>​</w:t>
            </w:r>
          </w:p>
        </w:tc>
        <w:tc>
          <w:tcPr>
            <w:tcW w:w="705" w:type="dxa"/>
            <w:tcBorders>
              <w:bottom w:val="single" w:sz="2" w:space="0" w:color="4B5088"/>
            </w:tcBorders>
            <w:tcMar>
              <w:bottom w:w="30" w:type="dxa"/>
            </w:tcMar>
            <w:vAlign w:val="center"/>
          </w:tcPr>
          <w:p>
            <w:pPr>
              <w:pStyle w:val="TableContents"/>
              <w:bidi w:val="0"/>
              <w:spacing w:before="0" w:after="283"/>
              <w:jc w:val="right"/>
              <w:rPr/>
            </w:pPr>
            <w:r>
              <w:rPr/>
              <w:t>—</w:t>
            </w:r>
          </w:p>
        </w:tc>
        <w:tc>
          <w:tcPr>
            <w:tcW w:w="223"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226" w:type="dxa"/>
            <w:tcBorders>
              <w:bottom w:val="single" w:sz="2" w:space="0" w:color="4B5088"/>
            </w:tcBorders>
            <w:tcMar>
              <w:bottom w:w="30" w:type="dxa"/>
            </w:tcMar>
            <w:vAlign w:val="center"/>
          </w:tcPr>
          <w:p>
            <w:pPr>
              <w:pStyle w:val="TableContents"/>
              <w:bidi w:val="0"/>
              <w:spacing w:before="0" w:after="283"/>
              <w:jc w:val="right"/>
              <w:rPr/>
            </w:pPr>
            <w:r>
              <w:rPr/>
              <w:t>$</w:t>
            </w:r>
          </w:p>
        </w:tc>
        <w:tc>
          <w:tcPr>
            <w:tcW w:w="1141" w:type="dxa"/>
            <w:tcBorders>
              <w:bottom w:val="single" w:sz="2" w:space="0" w:color="4B5088"/>
            </w:tcBorders>
            <w:tcMar>
              <w:bottom w:w="30" w:type="dxa"/>
            </w:tcMar>
            <w:vAlign w:val="center"/>
          </w:tcPr>
          <w:p>
            <w:pPr>
              <w:pStyle w:val="TableContents"/>
              <w:bidi w:val="0"/>
              <w:spacing w:before="0" w:after="283"/>
              <w:jc w:val="right"/>
              <w:rPr/>
            </w:pPr>
            <w:r>
              <w:rPr/>
              <w:t>(1,164,409)</w:t>
            </w:r>
          </w:p>
        </w:tc>
        <w:tc>
          <w:tcPr>
            <w:tcW w:w="109"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226" w:type="dxa"/>
            <w:tcBorders>
              <w:bottom w:val="single" w:sz="2" w:space="0" w:color="4B5088"/>
            </w:tcBorders>
            <w:tcMar>
              <w:bottom w:w="30" w:type="dxa"/>
            </w:tcMar>
            <w:vAlign w:val="center"/>
          </w:tcPr>
          <w:p>
            <w:pPr>
              <w:pStyle w:val="TableContents"/>
              <w:bidi w:val="0"/>
              <w:spacing w:before="0" w:after="283"/>
              <w:jc w:val="right"/>
              <w:rPr/>
            </w:pPr>
            <w:r>
              <w:rPr/>
              <w:t>$</w:t>
            </w:r>
          </w:p>
        </w:tc>
        <w:tc>
          <w:tcPr>
            <w:tcW w:w="886" w:type="dxa"/>
            <w:tcBorders>
              <w:bottom w:val="single" w:sz="2" w:space="0" w:color="4B5088"/>
            </w:tcBorders>
            <w:tcMar>
              <w:bottom w:w="30" w:type="dxa"/>
            </w:tcMar>
            <w:vAlign w:val="center"/>
          </w:tcPr>
          <w:p>
            <w:pPr>
              <w:pStyle w:val="TableContents"/>
              <w:bidi w:val="0"/>
              <w:spacing w:before="0" w:after="283"/>
              <w:jc w:val="right"/>
              <w:rPr/>
            </w:pPr>
            <w:r>
              <w:rPr/>
              <w:t>189,769</w:t>
            </w:r>
          </w:p>
        </w:tc>
        <w:tc>
          <w:tcPr>
            <w:tcW w:w="109"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226" w:type="dxa"/>
            <w:tcBorders>
              <w:bottom w:val="single" w:sz="2" w:space="0" w:color="4B5088"/>
            </w:tcBorders>
            <w:tcMar>
              <w:bottom w:w="30" w:type="dxa"/>
            </w:tcMar>
            <w:vAlign w:val="center"/>
          </w:tcPr>
          <w:p>
            <w:pPr>
              <w:pStyle w:val="TableContents"/>
              <w:bidi w:val="0"/>
              <w:spacing w:before="0" w:after="283"/>
              <w:jc w:val="right"/>
              <w:rPr/>
            </w:pPr>
            <w:r>
              <w:rPr/>
              <w:t>$</w:t>
            </w:r>
          </w:p>
        </w:tc>
        <w:tc>
          <w:tcPr>
            <w:tcW w:w="1066" w:type="dxa"/>
            <w:tcBorders>
              <w:bottom w:val="single" w:sz="2" w:space="0" w:color="4B5088"/>
            </w:tcBorders>
            <w:tcMar>
              <w:bottom w:w="30" w:type="dxa"/>
            </w:tcMar>
            <w:vAlign w:val="center"/>
          </w:tcPr>
          <w:p>
            <w:pPr>
              <w:pStyle w:val="TableContents"/>
              <w:bidi w:val="0"/>
              <w:spacing w:before="0" w:after="283"/>
              <w:jc w:val="right"/>
              <w:rPr/>
            </w:pPr>
            <w:r>
              <w:rPr/>
              <w:t>2,817,060</w:t>
            </w:r>
          </w:p>
        </w:tc>
        <w:tc>
          <w:tcPr>
            <w:tcW w:w="109" w:type="dxa"/>
            <w:tcBorders>
              <w:bottom w:val="single" w:sz="2" w:space="0" w:color="4B5088"/>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110" w:type="dxa"/>
            <w:tcBorders>
              <w:bottom w:val="single" w:sz="2" w:space="0" w:color="4B5088"/>
            </w:tcBorders>
            <w:tcMar>
              <w:bottom w:w="30" w:type="dxa"/>
            </w:tcMar>
            <w:vAlign w:val="center"/>
          </w:tcPr>
          <w:p>
            <w:pPr>
              <w:pStyle w:val="TableContents"/>
              <w:bidi w:val="0"/>
              <w:spacing w:before="0" w:after="0"/>
              <w:jc w:val="left"/>
              <w:rPr>
                <w:b/>
              </w:rPr>
            </w:pPr>
            <w:r>
              <w:rPr>
                <w:b/>
                <w:spacing w:val="-2"/>
              </w:rPr>
              <w:t>Matthew J. DiLiberto</w:t>
            </w:r>
            <w:r>
              <w:rPr>
                <w:b/>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2" w:type="dxa"/>
            <w:tcBorders>
              <w:bottom w:val="single" w:sz="2" w:space="0" w:color="4B5088"/>
            </w:tcBorders>
            <w:vAlign w:val="center"/>
          </w:tcPr>
          <w:p>
            <w:pPr>
              <w:pStyle w:val="TableContents"/>
              <w:bidi w:val="0"/>
              <w:spacing w:before="0" w:after="283"/>
              <w:jc w:val="left"/>
              <w:rPr/>
            </w:pPr>
            <w:r>
              <w:rPr/>
              <w:t>​</w:t>
            </w:r>
          </w:p>
        </w:tc>
        <w:tc>
          <w:tcPr>
            <w:tcW w:w="222" w:type="dxa"/>
            <w:tcBorders>
              <w:bottom w:val="single" w:sz="2" w:space="0" w:color="4B5088"/>
            </w:tcBorders>
            <w:tcMar>
              <w:bottom w:w="30" w:type="dxa"/>
            </w:tcMar>
            <w:vAlign w:val="center"/>
          </w:tcPr>
          <w:p>
            <w:pPr>
              <w:pStyle w:val="TableContents"/>
              <w:bidi w:val="0"/>
              <w:spacing w:before="0" w:after="283"/>
              <w:jc w:val="right"/>
              <w:rPr/>
            </w:pPr>
            <w:r>
              <w:rPr/>
              <w:t>​</w:t>
            </w:r>
          </w:p>
        </w:tc>
        <w:tc>
          <w:tcPr>
            <w:tcW w:w="705" w:type="dxa"/>
            <w:tcBorders>
              <w:bottom w:val="single" w:sz="2" w:space="0" w:color="4B5088"/>
            </w:tcBorders>
            <w:tcMar>
              <w:bottom w:w="30" w:type="dxa"/>
            </w:tcMar>
            <w:vAlign w:val="center"/>
          </w:tcPr>
          <w:p>
            <w:pPr>
              <w:pStyle w:val="TableContents"/>
              <w:bidi w:val="0"/>
              <w:spacing w:before="0" w:after="283"/>
              <w:jc w:val="right"/>
              <w:rPr/>
            </w:pPr>
            <w:r>
              <w:rPr/>
              <w:t>—</w:t>
            </w:r>
          </w:p>
        </w:tc>
        <w:tc>
          <w:tcPr>
            <w:tcW w:w="223"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2" w:type="dxa"/>
            <w:tcBorders>
              <w:bottom w:val="single" w:sz="2" w:space="0" w:color="4B5088"/>
            </w:tcBorders>
            <w:vAlign w:val="center"/>
          </w:tcPr>
          <w:p>
            <w:pPr>
              <w:pStyle w:val="TableContents"/>
              <w:bidi w:val="0"/>
              <w:spacing w:before="0" w:after="283"/>
              <w:jc w:val="left"/>
              <w:rPr/>
            </w:pPr>
            <w:r>
              <w:rPr/>
              <w:t>​</w:t>
            </w:r>
          </w:p>
        </w:tc>
        <w:tc>
          <w:tcPr>
            <w:tcW w:w="222" w:type="dxa"/>
            <w:tcBorders>
              <w:bottom w:val="single" w:sz="2" w:space="0" w:color="4B5088"/>
            </w:tcBorders>
            <w:tcMar>
              <w:bottom w:w="30" w:type="dxa"/>
            </w:tcMar>
            <w:vAlign w:val="center"/>
          </w:tcPr>
          <w:p>
            <w:pPr>
              <w:pStyle w:val="TableContents"/>
              <w:bidi w:val="0"/>
              <w:spacing w:before="0" w:after="283"/>
              <w:jc w:val="right"/>
              <w:rPr/>
            </w:pPr>
            <w:r>
              <w:rPr/>
              <w:t>​</w:t>
            </w:r>
          </w:p>
        </w:tc>
        <w:tc>
          <w:tcPr>
            <w:tcW w:w="705" w:type="dxa"/>
            <w:tcBorders>
              <w:bottom w:val="single" w:sz="2" w:space="0" w:color="4B5088"/>
            </w:tcBorders>
            <w:tcMar>
              <w:bottom w:w="30" w:type="dxa"/>
            </w:tcMar>
            <w:vAlign w:val="center"/>
          </w:tcPr>
          <w:p>
            <w:pPr>
              <w:pStyle w:val="TableContents"/>
              <w:bidi w:val="0"/>
              <w:spacing w:before="0" w:after="283"/>
              <w:jc w:val="right"/>
              <w:rPr/>
            </w:pPr>
            <w:r>
              <w:rPr/>
              <w:t>—</w:t>
            </w:r>
          </w:p>
        </w:tc>
        <w:tc>
          <w:tcPr>
            <w:tcW w:w="223"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226" w:type="dxa"/>
            <w:tcBorders>
              <w:bottom w:val="single" w:sz="2" w:space="0" w:color="4B5088"/>
            </w:tcBorders>
            <w:tcMar>
              <w:bottom w:w="30" w:type="dxa"/>
            </w:tcMar>
            <w:vAlign w:val="center"/>
          </w:tcPr>
          <w:p>
            <w:pPr>
              <w:pStyle w:val="TableContents"/>
              <w:bidi w:val="0"/>
              <w:spacing w:before="0" w:after="283"/>
              <w:jc w:val="right"/>
              <w:rPr/>
            </w:pPr>
            <w:r>
              <w:rPr/>
              <w:t>​</w:t>
            </w:r>
          </w:p>
        </w:tc>
        <w:tc>
          <w:tcPr>
            <w:tcW w:w="1141" w:type="dxa"/>
            <w:tcBorders>
              <w:bottom w:val="single" w:sz="2" w:space="0" w:color="4B5088"/>
            </w:tcBorders>
            <w:tcMar>
              <w:bottom w:w="30" w:type="dxa"/>
            </w:tcMar>
            <w:vAlign w:val="center"/>
          </w:tcPr>
          <w:p>
            <w:pPr>
              <w:pStyle w:val="TableContents"/>
              <w:bidi w:val="0"/>
              <w:spacing w:before="0" w:after="283"/>
              <w:jc w:val="righ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226" w:type="dxa"/>
            <w:tcBorders>
              <w:bottom w:val="single" w:sz="2" w:space="0" w:color="4B5088"/>
            </w:tcBorders>
            <w:tcMar>
              <w:bottom w:w="30" w:type="dxa"/>
            </w:tcMar>
            <w:vAlign w:val="center"/>
          </w:tcPr>
          <w:p>
            <w:pPr>
              <w:pStyle w:val="TableContents"/>
              <w:bidi w:val="0"/>
              <w:spacing w:before="0" w:after="283"/>
              <w:jc w:val="right"/>
              <w:rPr/>
            </w:pPr>
            <w:r>
              <w:rPr/>
              <w:t>​</w:t>
            </w:r>
          </w:p>
        </w:tc>
        <w:tc>
          <w:tcPr>
            <w:tcW w:w="886" w:type="dxa"/>
            <w:tcBorders>
              <w:bottom w:val="single" w:sz="2" w:space="0" w:color="4B5088"/>
            </w:tcBorders>
            <w:tcMar>
              <w:bottom w:w="30" w:type="dxa"/>
            </w:tcMar>
            <w:vAlign w:val="center"/>
          </w:tcPr>
          <w:p>
            <w:pPr>
              <w:pStyle w:val="TableContents"/>
              <w:bidi w:val="0"/>
              <w:spacing w:before="0" w:after="283"/>
              <w:jc w:val="righ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226" w:type="dxa"/>
            <w:tcBorders>
              <w:bottom w:val="single" w:sz="2" w:space="0" w:color="4B5088"/>
            </w:tcBorders>
            <w:tcMar>
              <w:bottom w:w="30" w:type="dxa"/>
            </w:tcMar>
            <w:vAlign w:val="center"/>
          </w:tcPr>
          <w:p>
            <w:pPr>
              <w:pStyle w:val="TableContents"/>
              <w:bidi w:val="0"/>
              <w:spacing w:before="0" w:after="283"/>
              <w:jc w:val="right"/>
              <w:rPr/>
            </w:pPr>
            <w:r>
              <w:rPr/>
              <w:t>​</w:t>
            </w:r>
          </w:p>
        </w:tc>
        <w:tc>
          <w:tcPr>
            <w:tcW w:w="1066" w:type="dxa"/>
            <w:tcBorders>
              <w:bottom w:val="single" w:sz="2" w:space="0" w:color="4B5088"/>
            </w:tcBorders>
            <w:tcMar>
              <w:bottom w:w="30" w:type="dxa"/>
            </w:tcMar>
            <w:vAlign w:val="center"/>
          </w:tcPr>
          <w:p>
            <w:pPr>
              <w:pStyle w:val="TableContents"/>
              <w:bidi w:val="0"/>
              <w:spacing w:before="0" w:after="283"/>
              <w:jc w:val="righ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110" w:type="dxa"/>
            <w:tcBorders>
              <w:bottom w:val="single" w:sz="2" w:space="0" w:color="1F2668"/>
            </w:tcBorders>
            <w:tcMar>
              <w:bottom w:w="30" w:type="dxa"/>
            </w:tcMar>
            <w:vAlign w:val="center"/>
          </w:tcPr>
          <w:p>
            <w:pPr>
              <w:pStyle w:val="TableContents"/>
              <w:bidi w:val="0"/>
              <w:spacing w:before="0" w:after="0"/>
              <w:jc w:val="left"/>
              <w:rPr>
                <w:b/>
              </w:rPr>
            </w:pPr>
            <w:r>
              <w:rPr>
                <w:b/>
                <w:spacing w:val="-2"/>
              </w:rPr>
              <w:t>Andrew S. Levine</w:t>
            </w:r>
            <w:r>
              <w:rPr>
                <w:b/>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2" w:type="dxa"/>
            <w:tcBorders>
              <w:bottom w:val="single" w:sz="2" w:space="0" w:color="1F2668"/>
            </w:tcBorders>
            <w:vAlign w:val="center"/>
          </w:tcPr>
          <w:p>
            <w:pPr>
              <w:pStyle w:val="TableContents"/>
              <w:bidi w:val="0"/>
              <w:spacing w:before="0" w:after="283"/>
              <w:jc w:val="left"/>
              <w:rPr/>
            </w:pPr>
            <w:r>
              <w:rPr/>
              <w:t>​</w:t>
            </w:r>
          </w:p>
        </w:tc>
        <w:tc>
          <w:tcPr>
            <w:tcW w:w="222" w:type="dxa"/>
            <w:tcBorders>
              <w:bottom w:val="single" w:sz="2" w:space="0" w:color="1F2668"/>
            </w:tcBorders>
            <w:tcMar>
              <w:bottom w:w="30" w:type="dxa"/>
            </w:tcMar>
            <w:vAlign w:val="center"/>
          </w:tcPr>
          <w:p>
            <w:pPr>
              <w:pStyle w:val="TableContents"/>
              <w:bidi w:val="0"/>
              <w:spacing w:before="0" w:after="283"/>
              <w:jc w:val="right"/>
              <w:rPr/>
            </w:pPr>
            <w:r>
              <w:rPr/>
              <w:t>​</w:t>
            </w:r>
          </w:p>
        </w:tc>
        <w:tc>
          <w:tcPr>
            <w:tcW w:w="705" w:type="dxa"/>
            <w:tcBorders>
              <w:bottom w:val="single" w:sz="2" w:space="0" w:color="1F2668"/>
            </w:tcBorders>
            <w:tcMar>
              <w:bottom w:w="30" w:type="dxa"/>
            </w:tcMar>
            <w:vAlign w:val="center"/>
          </w:tcPr>
          <w:p>
            <w:pPr>
              <w:pStyle w:val="TableContents"/>
              <w:bidi w:val="0"/>
              <w:spacing w:before="0" w:after="283"/>
              <w:jc w:val="right"/>
              <w:rPr/>
            </w:pPr>
            <w:r>
              <w:rPr/>
              <w:t>—</w:t>
            </w:r>
          </w:p>
        </w:tc>
        <w:tc>
          <w:tcPr>
            <w:tcW w:w="223" w:type="dxa"/>
            <w:tcBorders>
              <w:bottom w:val="single" w:sz="2" w:space="0" w:color="1F2668"/>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2" w:type="dxa"/>
            <w:tcBorders>
              <w:bottom w:val="single" w:sz="2" w:space="0" w:color="1F2668"/>
            </w:tcBorders>
            <w:vAlign w:val="center"/>
          </w:tcPr>
          <w:p>
            <w:pPr>
              <w:pStyle w:val="TableContents"/>
              <w:bidi w:val="0"/>
              <w:spacing w:before="0" w:after="283"/>
              <w:jc w:val="left"/>
              <w:rPr/>
            </w:pPr>
            <w:r>
              <w:rPr/>
              <w:t>​</w:t>
            </w:r>
          </w:p>
        </w:tc>
        <w:tc>
          <w:tcPr>
            <w:tcW w:w="222" w:type="dxa"/>
            <w:tcBorders>
              <w:bottom w:val="single" w:sz="2" w:space="0" w:color="1F2668"/>
            </w:tcBorders>
            <w:tcMar>
              <w:bottom w:w="30" w:type="dxa"/>
            </w:tcMar>
            <w:vAlign w:val="center"/>
          </w:tcPr>
          <w:p>
            <w:pPr>
              <w:pStyle w:val="TableContents"/>
              <w:bidi w:val="0"/>
              <w:spacing w:before="0" w:after="283"/>
              <w:jc w:val="right"/>
              <w:rPr/>
            </w:pPr>
            <w:r>
              <w:rPr/>
              <w:t>​</w:t>
            </w:r>
          </w:p>
        </w:tc>
        <w:tc>
          <w:tcPr>
            <w:tcW w:w="705" w:type="dxa"/>
            <w:tcBorders>
              <w:bottom w:val="single" w:sz="2" w:space="0" w:color="1F2668"/>
            </w:tcBorders>
            <w:tcMar>
              <w:bottom w:w="30" w:type="dxa"/>
            </w:tcMar>
            <w:vAlign w:val="center"/>
          </w:tcPr>
          <w:p>
            <w:pPr>
              <w:pStyle w:val="TableContents"/>
              <w:bidi w:val="0"/>
              <w:spacing w:before="0" w:after="283"/>
              <w:jc w:val="right"/>
              <w:rPr/>
            </w:pPr>
            <w:r>
              <w:rPr/>
              <w:t>—</w:t>
            </w:r>
          </w:p>
        </w:tc>
        <w:tc>
          <w:tcPr>
            <w:tcW w:w="223" w:type="dxa"/>
            <w:tcBorders>
              <w:bottom w:val="single" w:sz="2" w:space="0" w:color="1F2668"/>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1F2668"/>
            </w:tcBorders>
            <w:vAlign w:val="center"/>
          </w:tcPr>
          <w:p>
            <w:pPr>
              <w:pStyle w:val="TableContents"/>
              <w:bidi w:val="0"/>
              <w:spacing w:before="0" w:after="283"/>
              <w:jc w:val="left"/>
              <w:rPr/>
            </w:pPr>
            <w:r>
              <w:rPr/>
              <w:t>​</w:t>
            </w:r>
          </w:p>
        </w:tc>
        <w:tc>
          <w:tcPr>
            <w:tcW w:w="226" w:type="dxa"/>
            <w:tcBorders>
              <w:bottom w:val="single" w:sz="2" w:space="0" w:color="1F2668"/>
            </w:tcBorders>
            <w:tcMar>
              <w:bottom w:w="30" w:type="dxa"/>
            </w:tcMar>
            <w:vAlign w:val="center"/>
          </w:tcPr>
          <w:p>
            <w:pPr>
              <w:pStyle w:val="TableContents"/>
              <w:bidi w:val="0"/>
              <w:spacing w:before="0" w:after="283"/>
              <w:jc w:val="right"/>
              <w:rPr/>
            </w:pPr>
            <w:r>
              <w:rPr/>
              <w:t>​</w:t>
            </w:r>
          </w:p>
        </w:tc>
        <w:tc>
          <w:tcPr>
            <w:tcW w:w="1141" w:type="dxa"/>
            <w:tcBorders>
              <w:bottom w:val="single" w:sz="2" w:space="0" w:color="1F2668"/>
            </w:tcBorders>
            <w:tcMar>
              <w:bottom w:w="30" w:type="dxa"/>
            </w:tcMar>
            <w:vAlign w:val="center"/>
          </w:tcPr>
          <w:p>
            <w:pPr>
              <w:pStyle w:val="TableContents"/>
              <w:bidi w:val="0"/>
              <w:spacing w:before="0" w:after="283"/>
              <w:jc w:val="right"/>
              <w:rPr/>
            </w:pPr>
            <w:r>
              <w:rPr/>
              <w:t>—</w:t>
            </w:r>
          </w:p>
        </w:tc>
        <w:tc>
          <w:tcPr>
            <w:tcW w:w="109" w:type="dxa"/>
            <w:tcBorders>
              <w:bottom w:val="single" w:sz="2" w:space="0" w:color="1F2668"/>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1F2668"/>
            </w:tcBorders>
            <w:vAlign w:val="center"/>
          </w:tcPr>
          <w:p>
            <w:pPr>
              <w:pStyle w:val="TableContents"/>
              <w:bidi w:val="0"/>
              <w:spacing w:before="0" w:after="283"/>
              <w:jc w:val="left"/>
              <w:rPr/>
            </w:pPr>
            <w:r>
              <w:rPr/>
              <w:t>​</w:t>
            </w:r>
          </w:p>
        </w:tc>
        <w:tc>
          <w:tcPr>
            <w:tcW w:w="226" w:type="dxa"/>
            <w:tcBorders>
              <w:bottom w:val="single" w:sz="2" w:space="0" w:color="1F2668"/>
            </w:tcBorders>
            <w:tcMar>
              <w:bottom w:w="30" w:type="dxa"/>
            </w:tcMar>
            <w:vAlign w:val="center"/>
          </w:tcPr>
          <w:p>
            <w:pPr>
              <w:pStyle w:val="TableContents"/>
              <w:bidi w:val="0"/>
              <w:spacing w:before="0" w:after="283"/>
              <w:jc w:val="right"/>
              <w:rPr/>
            </w:pPr>
            <w:r>
              <w:rPr/>
              <w:t>​</w:t>
            </w:r>
          </w:p>
        </w:tc>
        <w:tc>
          <w:tcPr>
            <w:tcW w:w="886" w:type="dxa"/>
            <w:tcBorders>
              <w:bottom w:val="single" w:sz="2" w:space="0" w:color="1F2668"/>
            </w:tcBorders>
            <w:tcMar>
              <w:bottom w:w="30" w:type="dxa"/>
            </w:tcMar>
            <w:vAlign w:val="center"/>
          </w:tcPr>
          <w:p>
            <w:pPr>
              <w:pStyle w:val="TableContents"/>
              <w:bidi w:val="0"/>
              <w:spacing w:before="0" w:after="283"/>
              <w:jc w:val="right"/>
              <w:rPr/>
            </w:pPr>
            <w:r>
              <w:rPr/>
              <w:t>—</w:t>
            </w:r>
          </w:p>
        </w:tc>
        <w:tc>
          <w:tcPr>
            <w:tcW w:w="109" w:type="dxa"/>
            <w:tcBorders>
              <w:bottom w:val="single" w:sz="2" w:space="0" w:color="1F2668"/>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1F2668"/>
            </w:tcBorders>
            <w:vAlign w:val="center"/>
          </w:tcPr>
          <w:p>
            <w:pPr>
              <w:pStyle w:val="TableContents"/>
              <w:bidi w:val="0"/>
              <w:spacing w:before="0" w:after="283"/>
              <w:jc w:val="left"/>
              <w:rPr/>
            </w:pPr>
            <w:r>
              <w:rPr/>
              <w:t>​</w:t>
            </w:r>
          </w:p>
        </w:tc>
        <w:tc>
          <w:tcPr>
            <w:tcW w:w="226" w:type="dxa"/>
            <w:tcBorders>
              <w:bottom w:val="single" w:sz="2" w:space="0" w:color="1F2668"/>
            </w:tcBorders>
            <w:tcMar>
              <w:bottom w:w="30" w:type="dxa"/>
            </w:tcMar>
            <w:vAlign w:val="center"/>
          </w:tcPr>
          <w:p>
            <w:pPr>
              <w:pStyle w:val="TableContents"/>
              <w:bidi w:val="0"/>
              <w:spacing w:before="0" w:after="283"/>
              <w:jc w:val="right"/>
              <w:rPr/>
            </w:pPr>
            <w:r>
              <w:rPr/>
              <w:t>​</w:t>
            </w:r>
          </w:p>
        </w:tc>
        <w:tc>
          <w:tcPr>
            <w:tcW w:w="1066" w:type="dxa"/>
            <w:tcBorders>
              <w:bottom w:val="single" w:sz="2" w:space="0" w:color="1F2668"/>
            </w:tcBorders>
            <w:tcMar>
              <w:bottom w:w="30" w:type="dxa"/>
            </w:tcMar>
            <w:vAlign w:val="center"/>
          </w:tcPr>
          <w:p>
            <w:pPr>
              <w:pStyle w:val="TableContents"/>
              <w:bidi w:val="0"/>
              <w:spacing w:before="0" w:after="283"/>
              <w:jc w:val="right"/>
              <w:rPr/>
            </w:pPr>
            <w:r>
              <w:rPr/>
              <w:t>—</w:t>
            </w:r>
          </w:p>
        </w:tc>
        <w:tc>
          <w:tcPr>
            <w:tcW w:w="109" w:type="dxa"/>
            <w:tcBorders>
              <w:bottom w:val="single" w:sz="2" w:space="0" w:color="1F2668"/>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bl>
    <w:p>
      <w:pPr>
        <w:pStyle w:val="TextBody"/>
        <w:bidi w:val="0"/>
        <w:spacing w:before="0" w:after="0"/>
        <w:ind w:left="900" w:right="0" w:hanging="0"/>
        <w:jc w:val="left"/>
        <w:rPr>
          <w:caps w:val="false"/>
          <w:smallCaps w:val="false"/>
          <w:color w:val="1F2668"/>
        </w:rPr>
      </w:pPr>
      <w:r>
        <w:rPr>
          <w:caps w:val="false"/>
          <w:smallCaps w:val="false"/>
          <w:color w:val="1F2668"/>
        </w:rPr>
        <w:t>​</w:t>
      </w:r>
    </w:p>
    <w:p>
      <w:pPr>
        <w:pStyle w:val="TextBody"/>
        <w:bidi w:val="0"/>
        <w:spacing w:lineRule="atLeast" w:line="200" w:before="240"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Awards of notional units constitute “Stock Awards” for purposes of the Summary Compensation Table, and, as a result, the full grant date fair value of these awards computed in accordance with ASC 718, as of the grant date of such awards, are included in the “Stock Awards” column of the Summary Compensation Table for the year in which they were granted. The right to receive dividend equivalents was factored into the determination of the grant date fair value, which means that the value of the dividend equivalents included in “Aggregate Earnings in Last FY” was effectively already included in the Summary Compensation Table.</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52400" distB="0" distL="0" distR="0" simplePos="0" locked="0" layoutInCell="1" allowOverlap="1" relativeHeight="733">
                <wp:simplePos x="0" y="0"/>
                <wp:positionH relativeFrom="column">
                  <wp:align>left</wp:align>
                </wp:positionH>
                <wp:positionV relativeFrom="line">
                  <wp:align>top</wp:align>
                </wp:positionV>
                <wp:extent cx="254000" cy="350520"/>
                <wp:effectExtent l="0" t="0" r="0" b="0"/>
                <wp:wrapSquare wrapText="right"/>
                <wp:docPr id="834" name="Frame48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b w:val="false"/>
                                <w:color w:val="000000"/>
                              </w:rPr>
                            </w:pPr>
                            <w:r>
                              <w:rPr>
                                <w:b w:val="false"/>
                                <w:color w:val="000000"/>
                                <w:spacing w:val="-2"/>
                              </w:rPr>
                              <w:t>(1)</w:t>
                            </w:r>
                            <w:r>
                              <w:rPr>
                                <w:b w:val="false"/>
                                <w:color w:val="000000"/>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00" w:before="0" w:after="283"/>
                        <w:jc w:val="left"/>
                        <w:rPr>
                          <w:b w:val="false"/>
                          <w:color w:val="000000"/>
                        </w:rPr>
                      </w:pPr>
                      <w:r>
                        <w:rPr>
                          <w:b w:val="false"/>
                          <w:color w:val="000000"/>
                          <w:spacing w:val="-2"/>
                        </w:rPr>
                        <w:t>(1)</w:t>
                      </w:r>
                      <w:r>
                        <w:rPr>
                          <w:b w:val="false"/>
                          <w:color w:val="000000"/>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1F2668"/>
        </w:rPr>
      </w:pPr>
      <w:r>
        <w:rPr>
          <w:caps w:val="false"/>
          <w:smallCaps w:val="false"/>
          <w:color w:val="1F2668"/>
        </w:rPr>
        <w:t>​</w:t>
      </w:r>
    </w:p>
    <w:p>
      <w:pPr>
        <w:pStyle w:val="TextBody"/>
        <w:bidi w:val="0"/>
        <w:spacing w:lineRule="atLeast" w:line="200" w:before="62"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The amounts in this column represent the increase or decrease in value of vested notional units from December 31, 2024 through December 31, 2025, as calculated based on the closing stock price on the NYSE of one share of our common stock on December 31, 2024 compared to the closing stock price on the NYSE of one share of our common stock on December 31, 2025, plus the aggregate value of dividend equivalent rights paid with respect to all vested and unvested notional units held by each executive during 2025.</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39370" distB="0" distL="0" distR="0" simplePos="0" locked="0" layoutInCell="1" allowOverlap="1" relativeHeight="734">
                <wp:simplePos x="0" y="0"/>
                <wp:positionH relativeFrom="column">
                  <wp:align>left</wp:align>
                </wp:positionH>
                <wp:positionV relativeFrom="line">
                  <wp:align>top</wp:align>
                </wp:positionV>
                <wp:extent cx="254000" cy="350520"/>
                <wp:effectExtent l="0" t="0" r="0" b="0"/>
                <wp:wrapSquare wrapText="right"/>
                <wp:docPr id="835" name="Frame48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b w:val="false"/>
                                <w:color w:val="000000"/>
                              </w:rPr>
                            </w:pPr>
                            <w:r>
                              <w:rPr>
                                <w:b w:val="false"/>
                                <w:color w:val="000000"/>
                                <w:spacing w:val="-2"/>
                              </w:rPr>
                              <w:t>(2)</w:t>
                            </w:r>
                            <w:r>
                              <w:rPr>
                                <w:b w:val="false"/>
                                <w:color w:val="000000"/>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1pt;mso-wrap-distance-bottom:0pt;margin-top:3.1pt;mso-position-vertical:top;mso-position-vertical-relative:text;margin-left:0pt;mso-position-horizontal:left;mso-position-horizontal-relative:text">
                <v:textbox>
                  <w:txbxContent>
                    <w:p>
                      <w:pPr>
                        <w:pStyle w:val="TextBody"/>
                        <w:bidi w:val="0"/>
                        <w:spacing w:lineRule="atLeast" w:line="200" w:before="0" w:after="283"/>
                        <w:jc w:val="left"/>
                        <w:rPr>
                          <w:b w:val="false"/>
                          <w:color w:val="000000"/>
                        </w:rPr>
                      </w:pPr>
                      <w:r>
                        <w:rPr>
                          <w:b w:val="false"/>
                          <w:color w:val="000000"/>
                          <w:spacing w:val="-2"/>
                        </w:rPr>
                        <w:t>(2)</w:t>
                      </w:r>
                      <w:r>
                        <w:rPr>
                          <w:b w:val="false"/>
                          <w:color w:val="000000"/>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1F2668"/>
        </w:rPr>
      </w:pPr>
      <w:r>
        <w:rPr>
          <w:caps w:val="false"/>
          <w:smallCaps w:val="false"/>
          <w:color w:val="1F2668"/>
        </w:rPr>
        <w:t>​</w:t>
      </w:r>
    </w:p>
    <w:p>
      <w:pPr>
        <w:pStyle w:val="TextBody"/>
        <w:bidi w:val="0"/>
        <w:spacing w:lineRule="atLeast" w:line="200" w:before="60"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Represents the aggregate value of dividend equivalent rights paid with respect to all vested and unvested notional units held by each executive during 2025.</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38100" distB="0" distL="0" distR="0" simplePos="0" locked="0" layoutInCell="1" allowOverlap="1" relativeHeight="735">
                <wp:simplePos x="0" y="0"/>
                <wp:positionH relativeFrom="column">
                  <wp:align>left</wp:align>
                </wp:positionH>
                <wp:positionV relativeFrom="line">
                  <wp:align>top</wp:align>
                </wp:positionV>
                <wp:extent cx="254000" cy="350520"/>
                <wp:effectExtent l="0" t="0" r="0" b="0"/>
                <wp:wrapSquare wrapText="right"/>
                <wp:docPr id="836" name="Frame48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b w:val="false"/>
                                <w:color w:val="000000"/>
                              </w:rPr>
                            </w:pPr>
                            <w:r>
                              <w:rPr>
                                <w:b w:val="false"/>
                                <w:color w:val="000000"/>
                                <w:spacing w:val="-2"/>
                              </w:rPr>
                              <w:t>(3)</w:t>
                            </w:r>
                            <w:r>
                              <w:rPr>
                                <w:b w:val="false"/>
                                <w:color w:val="000000"/>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00" w:before="0" w:after="283"/>
                        <w:jc w:val="left"/>
                        <w:rPr>
                          <w:b w:val="false"/>
                          <w:color w:val="000000"/>
                        </w:rPr>
                      </w:pPr>
                      <w:r>
                        <w:rPr>
                          <w:b w:val="false"/>
                          <w:color w:val="000000"/>
                          <w:spacing w:val="-2"/>
                        </w:rPr>
                        <w:t>(3)</w:t>
                      </w:r>
                      <w:r>
                        <w:rPr>
                          <w:b w:val="false"/>
                          <w:color w:val="000000"/>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1F2668"/>
        </w:rPr>
      </w:pPr>
      <w:r>
        <w:rPr>
          <w:caps w:val="false"/>
          <w:smallCaps w:val="false"/>
          <w:color w:val="1F2668"/>
        </w:rPr>
        <w:t>​</w:t>
      </w:r>
    </w:p>
    <w:p>
      <w:pPr>
        <w:pStyle w:val="TextBody"/>
        <w:bidi w:val="0"/>
        <w:spacing w:lineRule="atLeast" w:line="200" w:before="60"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Based on a per share price of $45.87, which was the closing stock price on the NYSE of one share of our common stock on December 31, 2025.</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38100" distB="0" distL="0" distR="0" simplePos="0" locked="0" layoutInCell="1" allowOverlap="1" relativeHeight="736">
                <wp:simplePos x="0" y="0"/>
                <wp:positionH relativeFrom="column">
                  <wp:align>left</wp:align>
                </wp:positionH>
                <wp:positionV relativeFrom="line">
                  <wp:align>top</wp:align>
                </wp:positionV>
                <wp:extent cx="254000" cy="350520"/>
                <wp:effectExtent l="0" t="0" r="0" b="0"/>
                <wp:wrapSquare wrapText="right"/>
                <wp:docPr id="837" name="Frame48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b w:val="false"/>
                                <w:color w:val="000000"/>
                              </w:rPr>
                            </w:pPr>
                            <w:r>
                              <w:rPr>
                                <w:b w:val="false"/>
                                <w:color w:val="000000"/>
                                <w:spacing w:val="-2"/>
                              </w:rPr>
                              <w:t>(4)</w:t>
                            </w:r>
                            <w:r>
                              <w:rPr>
                                <w:b w:val="false"/>
                                <w:color w:val="000000"/>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00" w:before="0" w:after="283"/>
                        <w:jc w:val="left"/>
                        <w:rPr>
                          <w:b w:val="false"/>
                          <w:color w:val="000000"/>
                        </w:rPr>
                      </w:pPr>
                      <w:r>
                        <w:rPr>
                          <w:b w:val="false"/>
                          <w:color w:val="000000"/>
                          <w:spacing w:val="-2"/>
                        </w:rPr>
                        <w:t>(4)</w:t>
                      </w:r>
                      <w:r>
                        <w:rPr>
                          <w:b w:val="false"/>
                          <w:color w:val="000000"/>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1F2668"/>
        </w:rPr>
      </w:pPr>
      <w:r>
        <w:rPr>
          <w:caps w:val="false"/>
          <w:smallCaps w:val="false"/>
          <w:color w:val="1F2668"/>
        </w:rPr>
        <w:t>​</w:t>
      </w:r>
    </w:p>
    <w:p>
      <w:pPr>
        <w:pStyle w:val="TextBody"/>
        <w:bidi w:val="0"/>
        <w:spacing w:lineRule="atLeast" w:line="300" w:before="325" w:after="283"/>
        <w:jc w:val="left"/>
        <w:rPr>
          <w:rFonts w:ascii="Arial;Helvetica;sans-serif" w:hAnsi="Arial;Helvetica;sans-serif"/>
          <w:b/>
          <w:i w:val="false"/>
          <w:caps w:val="false"/>
          <w:smallCaps w:val="false"/>
          <w:color w:val="1F2668"/>
          <w:sz w:val="26"/>
        </w:rPr>
      </w:pPr>
      <w:r>
        <w:rPr>
          <w:rFonts w:ascii="Arial;Helvetica;sans-serif" w:hAnsi="Arial;Helvetica;sans-serif"/>
          <w:b/>
          <w:i w:val="false"/>
          <w:caps w:val="false"/>
          <w:smallCaps w:val="false"/>
          <w:color w:val="1F2668"/>
          <w:spacing w:val="-3"/>
          <w:sz w:val="26"/>
        </w:rPr>
        <w:t>Potential Payments Upon Termination or Change in Control</w:t>
      </w:r>
      <w:r>
        <w:rPr>
          <w:rFonts w:ascii="Arial;Helvetica;sans-serif" w:hAnsi="Arial;Helvetica;sans-serif"/>
          <w:b/>
          <w:i w:val="false"/>
          <w:caps w:val="false"/>
          <w:smallCaps w:val="false"/>
          <w:color w:val="000000"/>
          <w:spacing w:val="5"/>
          <w:sz w:val="26"/>
        </w:rPr>
        <w:t xml:space="preserve"> </w:t>
      </w:r>
    </w:p>
    <w:p>
      <w:pPr>
        <w:pStyle w:val="TextBody"/>
        <w:bidi w:val="0"/>
        <w:spacing w:lineRule="atLeast" w:line="23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We have contractual arrangements with our named executive officers that provide for payments, acceleration of vesting or other benefits to our named executive officers upon a termination of employment in certain circumstances or upon a change in control. These include our employment agreements with our named executive officers, our performance-based equity awards and our stock options and Class O LTIP Units. The discussion below describes these contractual arrangements in greater detail.</w:t>
      </w:r>
      <w:r>
        <w:rPr>
          <w:rFonts w:ascii="Arial;Helvetica;sans-serif" w:hAnsi="Arial;Helvetica;sans-serif"/>
          <w:b w:val="false"/>
          <w:i w:val="false"/>
          <w:caps w:val="false"/>
          <w:smallCaps w:val="false"/>
          <w:color w:val="000000"/>
          <w:spacing w:val="4"/>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225" w:type="dxa"/>
        <w:jc w:val="left"/>
        <w:tblInd w:w="900" w:type="dxa"/>
        <w:tblLayout w:type="fixed"/>
        <w:tblCellMar>
          <w:top w:w="0" w:type="dxa"/>
          <w:left w:w="0" w:type="dxa"/>
          <w:bottom w:w="0" w:type="dxa"/>
          <w:right w:w="0" w:type="dxa"/>
        </w:tblCellMar>
      </w:tblPr>
      <w:tblGrid>
        <w:gridCol w:w="124"/>
        <w:gridCol w:w="346"/>
        <w:gridCol w:w="109"/>
        <w:gridCol w:w="109"/>
        <w:gridCol w:w="4383"/>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72</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383" w:type="dxa"/>
            <w:tcBorders/>
            <w:vAlign w:val="center"/>
          </w:tcPr>
          <w:p>
            <w:pPr>
              <w:pStyle w:val="TableContents"/>
              <w:bidi w:val="0"/>
              <w:spacing w:lineRule="atLeast" w:line="200" w:before="0" w:after="0"/>
              <w:jc w:val="left"/>
              <w:rPr/>
            </w:pPr>
            <w:r>
              <w:rPr>
                <w:spacing w:val="-2"/>
              </w:rPr>
              <w:t>    </w:t>
            </w:r>
            <w:r>
              <w:rPr>
                <w:spacing w:val="-2"/>
                <w:sz w:val="16"/>
              </w:rPr>
              <w:t>SL GREEN REALTY CORP. 2026 PROXY STATEMENT</w:t>
            </w:r>
            <w:r>
              <w:rPr>
                <w:sz w:val="16"/>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60" w:before="560" w:after="154"/>
        <w:ind w:left="900" w:right="0" w:hanging="0"/>
        <w:jc w:val="left"/>
        <w:rPr>
          <w:rFonts w:ascii="Arial;Helvetica;sans-serif" w:hAnsi="Arial;Helvetica;sans-serif"/>
          <w:b/>
          <w:i w:val="false"/>
          <w:caps w:val="false"/>
          <w:smallCaps w:val="false"/>
          <w:color w:val="83AD40"/>
          <w:sz w:val="22"/>
        </w:rPr>
      </w:pPr>
      <w:r>
        <w:rPr>
          <w:rFonts w:ascii="Arial;Helvetica;sans-serif" w:hAnsi="Arial;Helvetica;sans-serif"/>
          <w:b/>
          <w:i w:val="false"/>
          <w:caps w:val="false"/>
          <w:smallCaps w:val="false"/>
          <w:color w:val="83AD40"/>
          <w:spacing w:val="-2"/>
          <w:sz w:val="22"/>
        </w:rPr>
        <w:t>Employment Agreements</w:t>
      </w:r>
      <w:r>
        <w:rPr>
          <w:rFonts w:ascii="Arial;Helvetica;sans-serif" w:hAnsi="Arial;Helvetica;sans-serif"/>
          <w:b/>
          <w:i w:val="false"/>
          <w:caps w:val="false"/>
          <w:smallCaps w:val="false"/>
          <w:color w:val="000000"/>
          <w:spacing w:val="4"/>
          <w:sz w:val="22"/>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During 2025, we had employment agreements with each of our named executive officers. Additionally, during 2026, we entered into (i) an employment agreement with Mr. Sitomer in connection with his appointment as our President on February 27, 2026 and (ii) a new employment agreement with Mr. DiLiberto. Each of the employment agreements with our named executive officers provided for, among other things, severance payments and benefits and acceleration of equity awards in connection with the termination of employment in certain circumstances. In return, each of our named executive officers agreed to non-compete, non-solicitation, non-interference and confidentiality provisions.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The table below summarizes the material terms of our employment agreements that, in the case of Mr. Holliday and Mr. Levine, were in effect during 2025. Since Mr. Levine’s current employment agreement was entered into in August of 2025, the below also summarizes the terms of Mr. Levine’s prior employment agreement, as relevant. Further, the below summarizes the terms of our CFO’s new employment agreement that was entered into in 2026 but, as relevant, also summarizes the terms of Mr. DiLiberto’s prior employment agreement that was in effect during 2025, and the material terms of Mr. Sitomer’s new agreement that will be effective for 2026.</w:t>
      </w:r>
      <w:r>
        <w:rPr>
          <w:rFonts w:ascii="Arial;Helvetica;sans-serif" w:hAnsi="Arial;Helvetica;sans-serif"/>
          <w:b w:val="false"/>
          <w:i w:val="false"/>
          <w:caps w:val="false"/>
          <w:smallCaps w:val="false"/>
          <w:color w:val="000000"/>
          <w:spacing w:val="4"/>
          <w:sz w:val="18"/>
        </w:rPr>
        <w:t xml:space="preserve"> </w:t>
      </w:r>
    </w:p>
    <w:tbl>
      <w:tblPr>
        <w:tblW w:w="9305" w:type="dxa"/>
        <w:jc w:val="left"/>
        <w:tblInd w:w="900" w:type="dxa"/>
        <w:tblLayout w:type="fixed"/>
        <w:tblCellMar>
          <w:top w:w="0" w:type="dxa"/>
          <w:left w:w="0" w:type="dxa"/>
          <w:bottom w:w="28" w:type="dxa"/>
          <w:right w:w="0" w:type="dxa"/>
        </w:tblCellMar>
      </w:tblPr>
      <w:tblGrid>
        <w:gridCol w:w="2147"/>
        <w:gridCol w:w="109"/>
        <w:gridCol w:w="109"/>
        <w:gridCol w:w="1591"/>
        <w:gridCol w:w="110"/>
        <w:gridCol w:w="110"/>
        <w:gridCol w:w="1500"/>
        <w:gridCol w:w="110"/>
        <w:gridCol w:w="110"/>
        <w:gridCol w:w="1528"/>
        <w:gridCol w:w="110"/>
        <w:gridCol w:w="110"/>
        <w:gridCol w:w="1503"/>
        <w:gridCol w:w="158"/>
      </w:tblGrid>
      <w:tr>
        <w:trPr/>
        <w:tc>
          <w:tcPr>
            <w:tcW w:w="2147" w:type="dxa"/>
            <w:tcBorders>
              <w:bottom w:val="single" w:sz="2" w:space="0" w:color="1F2668"/>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1591" w:type="dxa"/>
            <w:tcBorders>
              <w:bottom w:val="single" w:sz="2" w:space="0" w:color="1F2668"/>
            </w:tcBorders>
            <w:tcMar>
              <w:bottom w:w="70" w:type="dxa"/>
            </w:tcMar>
            <w:vAlign w:val="center"/>
          </w:tcPr>
          <w:p>
            <w:pPr>
              <w:pStyle w:val="TableContents"/>
              <w:bidi w:val="0"/>
              <w:spacing w:before="0" w:after="0"/>
              <w:jc w:val="left"/>
              <w:rPr>
                <w:spacing w:val="-2"/>
              </w:rPr>
            </w:pPr>
            <w:r>
              <w:rPr>
                <w:spacing w:val="-2"/>
              </w:rPr>
              <w:t xml:space="preserve">Marc Holliday </w:t>
            </w:r>
          </w:p>
        </w:tc>
        <w:tc>
          <w:tcPr>
            <w:tcW w:w="110" w:type="dxa"/>
            <w:tcBorders>
              <w:bottom w:val="single" w:sz="12" w:space="0" w:color="FFFFFF"/>
            </w:tcBorders>
            <w:vAlign w:val="center"/>
          </w:tcPr>
          <w:p>
            <w:pPr>
              <w:pStyle w:val="TableContents"/>
              <w:bidi w:val="0"/>
              <w:spacing w:before="0" w:after="283"/>
              <w:jc w:val="left"/>
              <w:rPr/>
            </w:pPr>
            <w:r>
              <w:rPr/>
              <w:t>​</w:t>
            </w:r>
          </w:p>
        </w:tc>
        <w:tc>
          <w:tcPr>
            <w:tcW w:w="110" w:type="dxa"/>
            <w:tcBorders>
              <w:bottom w:val="single" w:sz="12" w:space="0" w:color="FFFFFF"/>
            </w:tcBorders>
            <w:vAlign w:val="center"/>
          </w:tcPr>
          <w:p>
            <w:pPr>
              <w:pStyle w:val="TableContents"/>
              <w:bidi w:val="0"/>
              <w:spacing w:before="0" w:after="283"/>
              <w:jc w:val="left"/>
              <w:rPr/>
            </w:pPr>
            <w:r>
              <w:rPr/>
              <w:t>​</w:t>
            </w:r>
          </w:p>
        </w:tc>
        <w:tc>
          <w:tcPr>
            <w:tcW w:w="1500" w:type="dxa"/>
            <w:tcBorders>
              <w:bottom w:val="single" w:sz="2" w:space="0" w:color="1F2668"/>
            </w:tcBorders>
            <w:tcMar>
              <w:bottom w:w="70" w:type="dxa"/>
            </w:tcMar>
            <w:vAlign w:val="center"/>
          </w:tcPr>
          <w:p>
            <w:pPr>
              <w:pStyle w:val="TableContents"/>
              <w:bidi w:val="0"/>
              <w:spacing w:before="0" w:after="0"/>
              <w:jc w:val="left"/>
              <w:rPr>
                <w:spacing w:val="-2"/>
              </w:rPr>
            </w:pPr>
            <w:r>
              <w:rPr>
                <w:spacing w:val="-2"/>
              </w:rPr>
              <w:t xml:space="preserve">Matthew J. DiLiberto </w:t>
            </w:r>
          </w:p>
        </w:tc>
        <w:tc>
          <w:tcPr>
            <w:tcW w:w="110" w:type="dxa"/>
            <w:tcBorders>
              <w:bottom w:val="single" w:sz="12" w:space="0" w:color="FFFFFF"/>
            </w:tcBorders>
            <w:vAlign w:val="center"/>
          </w:tcPr>
          <w:p>
            <w:pPr>
              <w:pStyle w:val="TableContents"/>
              <w:bidi w:val="0"/>
              <w:spacing w:before="0" w:after="283"/>
              <w:jc w:val="left"/>
              <w:rPr/>
            </w:pPr>
            <w:r>
              <w:rPr/>
              <w:t>​</w:t>
            </w:r>
          </w:p>
        </w:tc>
        <w:tc>
          <w:tcPr>
            <w:tcW w:w="110" w:type="dxa"/>
            <w:tcBorders>
              <w:bottom w:val="single" w:sz="12" w:space="0" w:color="FFFFFF"/>
            </w:tcBorders>
            <w:vAlign w:val="center"/>
          </w:tcPr>
          <w:p>
            <w:pPr>
              <w:pStyle w:val="TableContents"/>
              <w:bidi w:val="0"/>
              <w:spacing w:before="0" w:after="283"/>
              <w:jc w:val="left"/>
              <w:rPr/>
            </w:pPr>
            <w:r>
              <w:rPr/>
              <w:t>​</w:t>
            </w:r>
          </w:p>
        </w:tc>
        <w:tc>
          <w:tcPr>
            <w:tcW w:w="1528" w:type="dxa"/>
            <w:tcBorders>
              <w:bottom w:val="single" w:sz="2" w:space="0" w:color="1F2668"/>
            </w:tcBorders>
            <w:tcMar>
              <w:bottom w:w="70" w:type="dxa"/>
            </w:tcMar>
            <w:vAlign w:val="center"/>
          </w:tcPr>
          <w:p>
            <w:pPr>
              <w:pStyle w:val="TableContents"/>
              <w:bidi w:val="0"/>
              <w:spacing w:before="0" w:after="0"/>
              <w:jc w:val="left"/>
              <w:rPr>
                <w:spacing w:val="-2"/>
              </w:rPr>
            </w:pPr>
            <w:r>
              <w:rPr>
                <w:spacing w:val="-2"/>
              </w:rPr>
              <w:t xml:space="preserve">Andrew S. Levine </w:t>
            </w:r>
          </w:p>
        </w:tc>
        <w:tc>
          <w:tcPr>
            <w:tcW w:w="110" w:type="dxa"/>
            <w:tcBorders>
              <w:bottom w:val="single" w:sz="12" w:space="0" w:color="FFFFFF"/>
            </w:tcBorders>
            <w:vAlign w:val="center"/>
          </w:tcPr>
          <w:p>
            <w:pPr>
              <w:pStyle w:val="TableContents"/>
              <w:bidi w:val="0"/>
              <w:spacing w:before="0" w:after="283"/>
              <w:jc w:val="left"/>
              <w:rPr/>
            </w:pPr>
            <w:r>
              <w:rPr/>
              <w:t>​</w:t>
            </w:r>
          </w:p>
        </w:tc>
        <w:tc>
          <w:tcPr>
            <w:tcW w:w="110" w:type="dxa"/>
            <w:tcBorders>
              <w:bottom w:val="single" w:sz="12" w:space="0" w:color="FFFFFF"/>
            </w:tcBorders>
            <w:vAlign w:val="center"/>
          </w:tcPr>
          <w:p>
            <w:pPr>
              <w:pStyle w:val="TableContents"/>
              <w:bidi w:val="0"/>
              <w:spacing w:before="0" w:after="283"/>
              <w:jc w:val="left"/>
              <w:rPr/>
            </w:pPr>
            <w:r>
              <w:rPr/>
              <w:t>​</w:t>
            </w:r>
          </w:p>
        </w:tc>
        <w:tc>
          <w:tcPr>
            <w:tcW w:w="1503" w:type="dxa"/>
            <w:tcBorders>
              <w:bottom w:val="single" w:sz="2" w:space="0" w:color="1F2668"/>
            </w:tcBorders>
            <w:tcMar>
              <w:bottom w:w="70" w:type="dxa"/>
            </w:tcMar>
            <w:vAlign w:val="center"/>
          </w:tcPr>
          <w:p>
            <w:pPr>
              <w:pStyle w:val="TableContents"/>
              <w:bidi w:val="0"/>
              <w:spacing w:before="0" w:after="0"/>
              <w:jc w:val="left"/>
              <w:rPr>
                <w:spacing w:val="-2"/>
              </w:rPr>
            </w:pPr>
            <w:r>
              <w:rPr>
                <w:spacing w:val="-2"/>
              </w:rPr>
              <w:t xml:space="preserve">Harrison Sitomer </w:t>
            </w:r>
          </w:p>
        </w:tc>
        <w:tc>
          <w:tcPr>
            <w:tcW w:w="158" w:type="dxa"/>
            <w:tcBorders>
              <w:bottom w:val="single" w:sz="12" w:space="0" w:color="FFFFFF"/>
            </w:tcBorders>
            <w:vAlign w:val="center"/>
          </w:tcPr>
          <w:p>
            <w:pPr>
              <w:pStyle w:val="TableContents"/>
              <w:bidi w:val="0"/>
              <w:spacing w:before="0" w:after="283"/>
              <w:jc w:val="left"/>
              <w:rPr/>
            </w:pPr>
            <w:r>
              <w:rPr/>
              <w:t>​</w:t>
            </w:r>
          </w:p>
        </w:tc>
      </w:tr>
      <w:tr>
        <w:trPr/>
        <w:tc>
          <w:tcPr>
            <w:tcW w:w="2147" w:type="dxa"/>
            <w:tcBorders>
              <w:bottom w:val="single" w:sz="2" w:space="0" w:color="4B5088"/>
            </w:tcBorders>
            <w:tcMar>
              <w:bottom w:w="76" w:type="dxa"/>
            </w:tcMar>
            <w:vAlign w:val="center"/>
          </w:tcPr>
          <w:p>
            <w:pPr>
              <w:pStyle w:val="TableContents"/>
              <w:bidi w:val="0"/>
              <w:spacing w:before="0" w:after="0"/>
              <w:jc w:val="left"/>
              <w:rPr>
                <w:b/>
                <w:color w:val="1F2668"/>
              </w:rPr>
            </w:pPr>
            <w:r>
              <w:rPr>
                <w:b/>
                <w:color w:val="1F2668"/>
                <w:spacing w:val="-2"/>
              </w:rPr>
              <w:t>Term</w:t>
            </w:r>
            <w:r>
              <w:rPr>
                <w:b/>
                <w:color w:val="1F2668"/>
                <w:spacing w:val="-1"/>
                <w:sz w:val="10"/>
              </w:rPr>
              <w:t>(1)</w:t>
            </w:r>
            <w:r>
              <w:rPr>
                <w:b/>
                <w:color w:val="1F2668"/>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91" w:type="dxa"/>
            <w:tcBorders>
              <w:bottom w:val="single" w:sz="2" w:space="0" w:color="4B5088"/>
            </w:tcBorders>
            <w:tcMar>
              <w:bottom w:w="76" w:type="dxa"/>
            </w:tcMar>
            <w:vAlign w:val="center"/>
          </w:tcPr>
          <w:p>
            <w:pPr>
              <w:pStyle w:val="TableContents"/>
              <w:bidi w:val="0"/>
              <w:spacing w:before="0" w:after="283"/>
              <w:jc w:val="left"/>
              <w:rPr>
                <w:spacing w:val="-2"/>
              </w:rPr>
            </w:pPr>
            <w:r>
              <w:rPr>
                <w:spacing w:val="-2"/>
              </w:rPr>
              <w:t xml:space="preserve">1/18/25–6/17/28 </w:t>
            </w:r>
          </w:p>
        </w:tc>
        <w:tc>
          <w:tcPr>
            <w:tcW w:w="110" w:type="dxa"/>
            <w:tcBorders>
              <w:bottom w:val="single" w:sz="2" w:space="0" w:color="FFFFFF"/>
            </w:tcBorders>
            <w:vAlign w:val="center"/>
          </w:tcPr>
          <w:p>
            <w:pPr>
              <w:pStyle w:val="TableContents"/>
              <w:bidi w:val="0"/>
              <w:spacing w:before="0" w:after="283"/>
              <w:jc w:val="left"/>
              <w:rPr/>
            </w:pPr>
            <w:r>
              <w:rPr/>
              <w:t>​</w:t>
            </w:r>
          </w:p>
        </w:tc>
        <w:tc>
          <w:tcPr>
            <w:tcW w:w="110" w:type="dxa"/>
            <w:tcBorders>
              <w:bottom w:val="single" w:sz="2" w:space="0" w:color="FFFFFF"/>
            </w:tcBorders>
            <w:vAlign w:val="center"/>
          </w:tcPr>
          <w:p>
            <w:pPr>
              <w:pStyle w:val="TableContents"/>
              <w:bidi w:val="0"/>
              <w:spacing w:before="0" w:after="283"/>
              <w:jc w:val="left"/>
              <w:rPr/>
            </w:pPr>
            <w:r>
              <w:rPr/>
              <w:t>​</w:t>
            </w:r>
          </w:p>
        </w:tc>
        <w:tc>
          <w:tcPr>
            <w:tcW w:w="1500" w:type="dxa"/>
            <w:tcBorders>
              <w:bottom w:val="single" w:sz="2" w:space="0" w:color="4B5088"/>
            </w:tcBorders>
            <w:tcMar>
              <w:bottom w:w="76" w:type="dxa"/>
            </w:tcMar>
            <w:vAlign w:val="center"/>
          </w:tcPr>
          <w:p>
            <w:pPr>
              <w:pStyle w:val="TableContents"/>
              <w:bidi w:val="0"/>
              <w:spacing w:before="0" w:after="283"/>
              <w:jc w:val="left"/>
              <w:rPr>
                <w:spacing w:val="-2"/>
              </w:rPr>
            </w:pPr>
            <w:r>
              <w:rPr>
                <w:spacing w:val="-2"/>
              </w:rPr>
              <w:t xml:space="preserve">1/1/26–1/1/29 </w:t>
            </w:r>
          </w:p>
        </w:tc>
        <w:tc>
          <w:tcPr>
            <w:tcW w:w="110" w:type="dxa"/>
            <w:tcBorders>
              <w:bottom w:val="single" w:sz="2" w:space="0" w:color="FFFFFF"/>
            </w:tcBorders>
            <w:vAlign w:val="center"/>
          </w:tcPr>
          <w:p>
            <w:pPr>
              <w:pStyle w:val="TableContents"/>
              <w:bidi w:val="0"/>
              <w:spacing w:before="0" w:after="283"/>
              <w:jc w:val="left"/>
              <w:rPr/>
            </w:pPr>
            <w:r>
              <w:rPr/>
              <w:t>​</w:t>
            </w:r>
          </w:p>
        </w:tc>
        <w:tc>
          <w:tcPr>
            <w:tcW w:w="110" w:type="dxa"/>
            <w:tcBorders>
              <w:bottom w:val="single" w:sz="2" w:space="0" w:color="FFFFFF"/>
            </w:tcBorders>
            <w:vAlign w:val="center"/>
          </w:tcPr>
          <w:p>
            <w:pPr>
              <w:pStyle w:val="TableContents"/>
              <w:bidi w:val="0"/>
              <w:spacing w:before="0" w:after="283"/>
              <w:jc w:val="left"/>
              <w:rPr/>
            </w:pPr>
            <w:r>
              <w:rPr/>
              <w:t>​</w:t>
            </w:r>
          </w:p>
        </w:tc>
        <w:tc>
          <w:tcPr>
            <w:tcW w:w="1528" w:type="dxa"/>
            <w:tcBorders>
              <w:bottom w:val="single" w:sz="2" w:space="0" w:color="4B5088"/>
            </w:tcBorders>
            <w:tcMar>
              <w:bottom w:w="76" w:type="dxa"/>
            </w:tcMar>
            <w:vAlign w:val="center"/>
          </w:tcPr>
          <w:p>
            <w:pPr>
              <w:pStyle w:val="TableContents"/>
              <w:bidi w:val="0"/>
              <w:spacing w:before="0" w:after="283"/>
              <w:jc w:val="left"/>
              <w:rPr>
                <w:spacing w:val="-2"/>
              </w:rPr>
            </w:pPr>
            <w:r>
              <w:rPr>
                <w:spacing w:val="-2"/>
              </w:rPr>
              <w:t xml:space="preserve">1/1/25–1/1/28 </w:t>
            </w:r>
          </w:p>
        </w:tc>
        <w:tc>
          <w:tcPr>
            <w:tcW w:w="110" w:type="dxa"/>
            <w:tcBorders>
              <w:bottom w:val="single" w:sz="2" w:space="0" w:color="FFFFFF"/>
            </w:tcBorders>
            <w:vAlign w:val="center"/>
          </w:tcPr>
          <w:p>
            <w:pPr>
              <w:pStyle w:val="TableContents"/>
              <w:bidi w:val="0"/>
              <w:spacing w:before="0" w:after="283"/>
              <w:jc w:val="left"/>
              <w:rPr/>
            </w:pPr>
            <w:r>
              <w:rPr/>
              <w:t>​</w:t>
            </w:r>
          </w:p>
        </w:tc>
        <w:tc>
          <w:tcPr>
            <w:tcW w:w="110" w:type="dxa"/>
            <w:tcBorders>
              <w:bottom w:val="single" w:sz="2" w:space="0" w:color="FFFFFF"/>
            </w:tcBorders>
            <w:vAlign w:val="center"/>
          </w:tcPr>
          <w:p>
            <w:pPr>
              <w:pStyle w:val="TableContents"/>
              <w:bidi w:val="0"/>
              <w:spacing w:before="0" w:after="283"/>
              <w:jc w:val="left"/>
              <w:rPr/>
            </w:pPr>
            <w:r>
              <w:rPr/>
              <w:t>​</w:t>
            </w:r>
          </w:p>
        </w:tc>
        <w:tc>
          <w:tcPr>
            <w:tcW w:w="1503" w:type="dxa"/>
            <w:tcBorders>
              <w:bottom w:val="single" w:sz="2" w:space="0" w:color="4B5088"/>
            </w:tcBorders>
            <w:tcMar>
              <w:bottom w:w="76" w:type="dxa"/>
            </w:tcMar>
            <w:vAlign w:val="center"/>
          </w:tcPr>
          <w:p>
            <w:pPr>
              <w:pStyle w:val="TableContents"/>
              <w:bidi w:val="0"/>
              <w:spacing w:before="0" w:after="283"/>
              <w:jc w:val="left"/>
              <w:rPr>
                <w:spacing w:val="-2"/>
              </w:rPr>
            </w:pPr>
            <w:r>
              <w:rPr>
                <w:spacing w:val="-2"/>
              </w:rPr>
              <w:t xml:space="preserve">1/1/26–1/1/30 </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2147" w:type="dxa"/>
            <w:tcBorders>
              <w:bottom w:val="single" w:sz="2" w:space="0" w:color="4B5088"/>
            </w:tcBorders>
            <w:tcMar>
              <w:bottom w:w="70" w:type="dxa"/>
            </w:tcMar>
            <w:vAlign w:val="center"/>
          </w:tcPr>
          <w:p>
            <w:pPr>
              <w:pStyle w:val="TableContents"/>
              <w:bidi w:val="0"/>
              <w:spacing w:before="0" w:after="0"/>
              <w:jc w:val="left"/>
              <w:rPr>
                <w:b/>
                <w:color w:val="1F2668"/>
              </w:rPr>
            </w:pPr>
            <w:r>
              <w:rPr>
                <w:b/>
                <w:color w:val="1F2668"/>
                <w:spacing w:val="-2"/>
              </w:rPr>
              <w:t>Annual Salary</w:t>
            </w:r>
            <w:r>
              <w:rPr>
                <w:b/>
                <w:color w:val="1F2668"/>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91" w:type="dxa"/>
            <w:tcBorders>
              <w:bottom w:val="single" w:sz="2" w:space="0" w:color="4B5088"/>
            </w:tcBorders>
            <w:tcMar>
              <w:bottom w:w="70" w:type="dxa"/>
            </w:tcMar>
            <w:vAlign w:val="center"/>
          </w:tcPr>
          <w:p>
            <w:pPr>
              <w:pStyle w:val="TableContents"/>
              <w:bidi w:val="0"/>
              <w:spacing w:before="0" w:after="283"/>
              <w:jc w:val="left"/>
              <w:rPr>
                <w:spacing w:val="-2"/>
              </w:rPr>
            </w:pPr>
            <w:r>
              <w:rPr>
                <w:spacing w:val="-2"/>
              </w:rPr>
              <w:t xml:space="preserve">$1.40M </w:t>
            </w:r>
          </w:p>
        </w:tc>
        <w:tc>
          <w:tcPr>
            <w:tcW w:w="110" w:type="dxa"/>
            <w:tcBorders>
              <w:bottom w:val="single" w:sz="2" w:space="0" w:color="FFFFFF"/>
            </w:tcBorders>
            <w:vAlign w:val="center"/>
          </w:tcPr>
          <w:p>
            <w:pPr>
              <w:pStyle w:val="TableContents"/>
              <w:bidi w:val="0"/>
              <w:spacing w:before="0" w:after="283"/>
              <w:jc w:val="left"/>
              <w:rPr/>
            </w:pPr>
            <w:r>
              <w:rPr/>
              <w:t>​</w:t>
            </w:r>
          </w:p>
        </w:tc>
        <w:tc>
          <w:tcPr>
            <w:tcW w:w="110" w:type="dxa"/>
            <w:tcBorders>
              <w:bottom w:val="single" w:sz="2" w:space="0" w:color="FFFFFF"/>
            </w:tcBorders>
            <w:vAlign w:val="center"/>
          </w:tcPr>
          <w:p>
            <w:pPr>
              <w:pStyle w:val="TableContents"/>
              <w:bidi w:val="0"/>
              <w:spacing w:before="0" w:after="283"/>
              <w:jc w:val="left"/>
              <w:rPr/>
            </w:pPr>
            <w:r>
              <w:rPr/>
              <w:t>​</w:t>
            </w:r>
          </w:p>
        </w:tc>
        <w:tc>
          <w:tcPr>
            <w:tcW w:w="1500" w:type="dxa"/>
            <w:tcBorders>
              <w:bottom w:val="single" w:sz="2" w:space="0" w:color="4B5088"/>
            </w:tcBorders>
            <w:tcMar>
              <w:bottom w:w="70" w:type="dxa"/>
            </w:tcMar>
            <w:vAlign w:val="center"/>
          </w:tcPr>
          <w:p>
            <w:pPr>
              <w:pStyle w:val="TableContents"/>
              <w:bidi w:val="0"/>
              <w:spacing w:before="0" w:after="283"/>
              <w:jc w:val="left"/>
              <w:rPr>
                <w:spacing w:val="-2"/>
              </w:rPr>
            </w:pPr>
            <w:r>
              <w:rPr>
                <w:spacing w:val="-2"/>
              </w:rPr>
              <w:t xml:space="preserve">$660K ($600K under prior contract) </w:t>
            </w:r>
          </w:p>
        </w:tc>
        <w:tc>
          <w:tcPr>
            <w:tcW w:w="110" w:type="dxa"/>
            <w:tcBorders>
              <w:bottom w:val="single" w:sz="2" w:space="0" w:color="FFFFFF"/>
            </w:tcBorders>
            <w:vAlign w:val="center"/>
          </w:tcPr>
          <w:p>
            <w:pPr>
              <w:pStyle w:val="TableContents"/>
              <w:bidi w:val="0"/>
              <w:spacing w:before="0" w:after="283"/>
              <w:jc w:val="left"/>
              <w:rPr/>
            </w:pPr>
            <w:r>
              <w:rPr/>
              <w:t>​</w:t>
            </w:r>
          </w:p>
        </w:tc>
        <w:tc>
          <w:tcPr>
            <w:tcW w:w="110" w:type="dxa"/>
            <w:tcBorders>
              <w:bottom w:val="single" w:sz="2" w:space="0" w:color="FFFFFF"/>
            </w:tcBorders>
            <w:vAlign w:val="center"/>
          </w:tcPr>
          <w:p>
            <w:pPr>
              <w:pStyle w:val="TableContents"/>
              <w:bidi w:val="0"/>
              <w:spacing w:before="0" w:after="283"/>
              <w:jc w:val="left"/>
              <w:rPr/>
            </w:pPr>
            <w:r>
              <w:rPr/>
              <w:t>​</w:t>
            </w:r>
          </w:p>
        </w:tc>
        <w:tc>
          <w:tcPr>
            <w:tcW w:w="1528" w:type="dxa"/>
            <w:tcBorders>
              <w:bottom w:val="single" w:sz="2" w:space="0" w:color="4B5088"/>
            </w:tcBorders>
            <w:tcMar>
              <w:bottom w:w="70" w:type="dxa"/>
            </w:tcMar>
            <w:vAlign w:val="center"/>
          </w:tcPr>
          <w:p>
            <w:pPr>
              <w:pStyle w:val="TableContents"/>
              <w:bidi w:val="0"/>
              <w:spacing w:before="0" w:after="283"/>
              <w:jc w:val="left"/>
              <w:rPr>
                <w:spacing w:val="-2"/>
              </w:rPr>
            </w:pPr>
            <w:r>
              <w:rPr>
                <w:spacing w:val="-2"/>
              </w:rPr>
              <w:t xml:space="preserve">$600K ($580K under prior contract) </w:t>
            </w:r>
          </w:p>
        </w:tc>
        <w:tc>
          <w:tcPr>
            <w:tcW w:w="110" w:type="dxa"/>
            <w:tcBorders>
              <w:bottom w:val="single" w:sz="2" w:space="0" w:color="FFFFFF"/>
            </w:tcBorders>
            <w:vAlign w:val="center"/>
          </w:tcPr>
          <w:p>
            <w:pPr>
              <w:pStyle w:val="TableContents"/>
              <w:bidi w:val="0"/>
              <w:spacing w:before="0" w:after="283"/>
              <w:jc w:val="left"/>
              <w:rPr/>
            </w:pPr>
            <w:r>
              <w:rPr/>
              <w:t>​</w:t>
            </w:r>
          </w:p>
        </w:tc>
        <w:tc>
          <w:tcPr>
            <w:tcW w:w="110" w:type="dxa"/>
            <w:tcBorders>
              <w:bottom w:val="single" w:sz="2" w:space="0" w:color="FFFFFF"/>
            </w:tcBorders>
            <w:vAlign w:val="center"/>
          </w:tcPr>
          <w:p>
            <w:pPr>
              <w:pStyle w:val="TableContents"/>
              <w:bidi w:val="0"/>
              <w:spacing w:before="0" w:after="283"/>
              <w:jc w:val="left"/>
              <w:rPr/>
            </w:pPr>
            <w:r>
              <w:rPr/>
              <w:t>​</w:t>
            </w:r>
          </w:p>
        </w:tc>
        <w:tc>
          <w:tcPr>
            <w:tcW w:w="1503" w:type="dxa"/>
            <w:tcBorders>
              <w:bottom w:val="single" w:sz="2" w:space="0" w:color="4B5088"/>
            </w:tcBorders>
            <w:tcMar>
              <w:bottom w:w="70" w:type="dxa"/>
            </w:tcMar>
            <w:vAlign w:val="center"/>
          </w:tcPr>
          <w:p>
            <w:pPr>
              <w:pStyle w:val="TableContents"/>
              <w:bidi w:val="0"/>
              <w:spacing w:before="0" w:after="283"/>
              <w:jc w:val="left"/>
              <w:rPr>
                <w:spacing w:val="-2"/>
              </w:rPr>
            </w:pPr>
            <w:r>
              <w:rPr>
                <w:spacing w:val="-2"/>
              </w:rPr>
              <w:t xml:space="preserve">$700K </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2147" w:type="dxa"/>
            <w:tcBorders>
              <w:bottom w:val="single" w:sz="2" w:space="0" w:color="4B5088"/>
            </w:tcBorders>
            <w:tcMar>
              <w:bottom w:w="70" w:type="dxa"/>
            </w:tcMar>
            <w:vAlign w:val="center"/>
          </w:tcPr>
          <w:p>
            <w:pPr>
              <w:pStyle w:val="TableContents"/>
              <w:bidi w:val="0"/>
              <w:spacing w:before="0" w:after="0"/>
              <w:jc w:val="left"/>
              <w:rPr>
                <w:b/>
                <w:color w:val="1F2668"/>
              </w:rPr>
            </w:pPr>
            <w:r>
              <w:rPr>
                <w:b/>
                <w:color w:val="1F2668"/>
                <w:spacing w:val="-2"/>
              </w:rPr>
              <w:t>Formulaic Annual Bonus</w:t>
            </w:r>
            <w:r>
              <w:rPr>
                <w:b/>
                <w:color w:val="1F2668"/>
                <w:spacing w:val="-1"/>
                <w:sz w:val="10"/>
              </w:rPr>
              <w:t>(2)</w:t>
            </w:r>
            <w:r>
              <w:rPr>
                <w:b/>
                <w:color w:val="1F2668"/>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91" w:type="dxa"/>
            <w:tcBorders>
              <w:bottom w:val="single" w:sz="2" w:space="0" w:color="4B5088"/>
            </w:tcBorders>
            <w:tcMar>
              <w:bottom w:w="70" w:type="dxa"/>
            </w:tcMar>
            <w:vAlign w:val="center"/>
          </w:tcPr>
          <w:p>
            <w:pPr>
              <w:pStyle w:val="TableContents"/>
              <w:bidi w:val="0"/>
              <w:spacing w:before="0" w:after="283"/>
              <w:jc w:val="left"/>
              <w:rPr>
                <w:spacing w:val="-2"/>
              </w:rPr>
            </w:pPr>
            <w:r>
              <w:rPr>
                <w:spacing w:val="-2"/>
              </w:rPr>
              <w:t xml:space="preserve">50-400% base salary </w:t>
            </w:r>
          </w:p>
        </w:tc>
        <w:tc>
          <w:tcPr>
            <w:tcW w:w="110" w:type="dxa"/>
            <w:tcBorders>
              <w:bottom w:val="single" w:sz="2" w:space="0" w:color="FFFFFF"/>
            </w:tcBorders>
            <w:vAlign w:val="center"/>
          </w:tcPr>
          <w:p>
            <w:pPr>
              <w:pStyle w:val="TableContents"/>
              <w:bidi w:val="0"/>
              <w:spacing w:before="0" w:after="283"/>
              <w:jc w:val="left"/>
              <w:rPr/>
            </w:pPr>
            <w:r>
              <w:rPr/>
              <w:t>​</w:t>
            </w:r>
          </w:p>
        </w:tc>
        <w:tc>
          <w:tcPr>
            <w:tcW w:w="110" w:type="dxa"/>
            <w:tcBorders>
              <w:bottom w:val="single" w:sz="2" w:space="0" w:color="FFFFFF"/>
            </w:tcBorders>
            <w:vAlign w:val="center"/>
          </w:tcPr>
          <w:p>
            <w:pPr>
              <w:pStyle w:val="TableContents"/>
              <w:bidi w:val="0"/>
              <w:spacing w:before="0" w:after="283"/>
              <w:jc w:val="left"/>
              <w:rPr/>
            </w:pPr>
            <w:r>
              <w:rPr/>
              <w:t>​</w:t>
            </w:r>
          </w:p>
        </w:tc>
        <w:tc>
          <w:tcPr>
            <w:tcW w:w="1500" w:type="dxa"/>
            <w:tcBorders>
              <w:bottom w:val="single" w:sz="2" w:space="0" w:color="4B5088"/>
            </w:tcBorders>
            <w:tcMar>
              <w:bottom w:w="70" w:type="dxa"/>
            </w:tcMar>
            <w:vAlign w:val="center"/>
          </w:tcPr>
          <w:p>
            <w:pPr>
              <w:pStyle w:val="TableContents"/>
              <w:bidi w:val="0"/>
              <w:spacing w:before="0" w:after="283"/>
              <w:jc w:val="left"/>
              <w:rPr>
                <w:spacing w:val="-2"/>
              </w:rPr>
            </w:pPr>
            <w:r>
              <w:rPr>
                <w:spacing w:val="-2"/>
              </w:rPr>
              <w:t xml:space="preserve">50-250% base salary </w:t>
            </w:r>
          </w:p>
        </w:tc>
        <w:tc>
          <w:tcPr>
            <w:tcW w:w="110" w:type="dxa"/>
            <w:tcBorders>
              <w:bottom w:val="single" w:sz="2" w:space="0" w:color="FFFFFF"/>
            </w:tcBorders>
            <w:vAlign w:val="center"/>
          </w:tcPr>
          <w:p>
            <w:pPr>
              <w:pStyle w:val="TableContents"/>
              <w:bidi w:val="0"/>
              <w:spacing w:before="0" w:after="283"/>
              <w:jc w:val="left"/>
              <w:rPr/>
            </w:pPr>
            <w:r>
              <w:rPr/>
              <w:t>​</w:t>
            </w:r>
          </w:p>
        </w:tc>
        <w:tc>
          <w:tcPr>
            <w:tcW w:w="110" w:type="dxa"/>
            <w:tcBorders>
              <w:bottom w:val="single" w:sz="2" w:space="0" w:color="FFFFFF"/>
            </w:tcBorders>
            <w:vAlign w:val="center"/>
          </w:tcPr>
          <w:p>
            <w:pPr>
              <w:pStyle w:val="TableContents"/>
              <w:bidi w:val="0"/>
              <w:spacing w:before="0" w:after="283"/>
              <w:jc w:val="left"/>
              <w:rPr/>
            </w:pPr>
            <w:r>
              <w:rPr/>
              <w:t>​</w:t>
            </w:r>
          </w:p>
        </w:tc>
        <w:tc>
          <w:tcPr>
            <w:tcW w:w="1528" w:type="dxa"/>
            <w:tcBorders>
              <w:bottom w:val="single" w:sz="2" w:space="0" w:color="4B5088"/>
            </w:tcBorders>
            <w:tcMar>
              <w:bottom w:w="70" w:type="dxa"/>
            </w:tcMar>
            <w:vAlign w:val="center"/>
          </w:tcPr>
          <w:p>
            <w:pPr>
              <w:pStyle w:val="TableContents"/>
              <w:bidi w:val="0"/>
              <w:spacing w:before="0" w:after="283"/>
              <w:jc w:val="left"/>
              <w:rPr>
                <w:spacing w:val="-2"/>
              </w:rPr>
            </w:pPr>
            <w:r>
              <w:rPr>
                <w:spacing w:val="-2"/>
              </w:rPr>
              <w:t xml:space="preserve">50-150% base salary (no formulaic component under prior contract) </w:t>
            </w:r>
          </w:p>
        </w:tc>
        <w:tc>
          <w:tcPr>
            <w:tcW w:w="110" w:type="dxa"/>
            <w:tcBorders>
              <w:bottom w:val="single" w:sz="2" w:space="0" w:color="FFFFFF"/>
            </w:tcBorders>
            <w:vAlign w:val="center"/>
          </w:tcPr>
          <w:p>
            <w:pPr>
              <w:pStyle w:val="TableContents"/>
              <w:bidi w:val="0"/>
              <w:spacing w:before="0" w:after="283"/>
              <w:jc w:val="left"/>
              <w:rPr/>
            </w:pPr>
            <w:r>
              <w:rPr/>
              <w:t>​</w:t>
            </w:r>
          </w:p>
        </w:tc>
        <w:tc>
          <w:tcPr>
            <w:tcW w:w="110" w:type="dxa"/>
            <w:tcBorders>
              <w:bottom w:val="single" w:sz="2" w:space="0" w:color="FFFFFF"/>
            </w:tcBorders>
            <w:vAlign w:val="center"/>
          </w:tcPr>
          <w:p>
            <w:pPr>
              <w:pStyle w:val="TableContents"/>
              <w:bidi w:val="0"/>
              <w:spacing w:before="0" w:after="283"/>
              <w:jc w:val="left"/>
              <w:rPr/>
            </w:pPr>
            <w:r>
              <w:rPr/>
              <w:t>​</w:t>
            </w:r>
          </w:p>
        </w:tc>
        <w:tc>
          <w:tcPr>
            <w:tcW w:w="1503" w:type="dxa"/>
            <w:tcBorders>
              <w:bottom w:val="single" w:sz="2" w:space="0" w:color="4B5088"/>
            </w:tcBorders>
            <w:tcMar>
              <w:bottom w:w="70" w:type="dxa"/>
            </w:tcMar>
            <w:vAlign w:val="center"/>
          </w:tcPr>
          <w:p>
            <w:pPr>
              <w:pStyle w:val="TableContents"/>
              <w:bidi w:val="0"/>
              <w:spacing w:before="0" w:after="283"/>
              <w:jc w:val="left"/>
              <w:rPr>
                <w:spacing w:val="-2"/>
              </w:rPr>
            </w:pPr>
            <w:r>
              <w:rPr>
                <w:spacing w:val="-2"/>
              </w:rPr>
              <w:t xml:space="preserve">50-400% base salary </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2147" w:type="dxa"/>
            <w:tcBorders>
              <w:bottom w:val="single" w:sz="2" w:space="0" w:color="4B5088"/>
            </w:tcBorders>
            <w:tcMar>
              <w:bottom w:w="70" w:type="dxa"/>
            </w:tcMar>
            <w:vAlign w:val="center"/>
          </w:tcPr>
          <w:p>
            <w:pPr>
              <w:pStyle w:val="TableContents"/>
              <w:bidi w:val="0"/>
              <w:spacing w:before="0" w:after="0"/>
              <w:jc w:val="left"/>
              <w:rPr>
                <w:b/>
                <w:color w:val="1F2668"/>
              </w:rPr>
            </w:pPr>
            <w:r>
              <w:rPr>
                <w:b/>
                <w:color w:val="1F2668"/>
                <w:spacing w:val="-2"/>
              </w:rPr>
              <w:t>Performance-Based LTIP Units</w:t>
            </w:r>
            <w:r>
              <w:rPr>
                <w:b/>
                <w:color w:val="1F2668"/>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91" w:type="dxa"/>
            <w:tcBorders>
              <w:bottom w:val="single" w:sz="2" w:space="0" w:color="4B5088"/>
            </w:tcBorders>
            <w:tcMar>
              <w:bottom w:w="70" w:type="dxa"/>
            </w:tcMar>
            <w:vAlign w:val="center"/>
          </w:tcPr>
          <w:p>
            <w:pPr>
              <w:pStyle w:val="TableContents"/>
              <w:bidi w:val="0"/>
              <w:spacing w:before="0" w:after="283"/>
              <w:jc w:val="left"/>
              <w:rPr/>
            </w:pPr>
            <w:r>
              <w:rPr>
                <w:spacing w:val="-2"/>
              </w:rPr>
              <w:t>$5.0M (Target)</w:t>
            </w:r>
            <w:r>
              <w:rPr>
                <w:spacing w:val="-1"/>
                <w:sz w:val="10"/>
              </w:rPr>
              <w:t>(3)</w:t>
            </w:r>
            <w:r>
              <w:rPr/>
              <w:t xml:space="preserve"> </w:t>
            </w:r>
          </w:p>
        </w:tc>
        <w:tc>
          <w:tcPr>
            <w:tcW w:w="110" w:type="dxa"/>
            <w:tcBorders>
              <w:bottom w:val="single" w:sz="2" w:space="0" w:color="FFFFFF"/>
            </w:tcBorders>
            <w:vAlign w:val="center"/>
          </w:tcPr>
          <w:p>
            <w:pPr>
              <w:pStyle w:val="TableContents"/>
              <w:bidi w:val="0"/>
              <w:spacing w:before="0" w:after="283"/>
              <w:jc w:val="left"/>
              <w:rPr/>
            </w:pPr>
            <w:r>
              <w:rPr/>
              <w:t>​</w:t>
            </w:r>
          </w:p>
        </w:tc>
        <w:tc>
          <w:tcPr>
            <w:tcW w:w="110" w:type="dxa"/>
            <w:tcBorders>
              <w:bottom w:val="single" w:sz="2" w:space="0" w:color="FFFFFF"/>
            </w:tcBorders>
            <w:vAlign w:val="center"/>
          </w:tcPr>
          <w:p>
            <w:pPr>
              <w:pStyle w:val="TableContents"/>
              <w:bidi w:val="0"/>
              <w:spacing w:before="0" w:after="283"/>
              <w:jc w:val="left"/>
              <w:rPr/>
            </w:pPr>
            <w:r>
              <w:rPr/>
              <w:t>​</w:t>
            </w:r>
          </w:p>
        </w:tc>
        <w:tc>
          <w:tcPr>
            <w:tcW w:w="1500" w:type="dxa"/>
            <w:tcBorders>
              <w:bottom w:val="single" w:sz="2" w:space="0" w:color="4B5088"/>
            </w:tcBorders>
            <w:tcMar>
              <w:bottom w:w="70" w:type="dxa"/>
            </w:tcMar>
            <w:vAlign w:val="center"/>
          </w:tcPr>
          <w:p>
            <w:pPr>
              <w:pStyle w:val="TableContents"/>
              <w:bidi w:val="0"/>
              <w:spacing w:lineRule="atLeast" w:line="180" w:before="0" w:after="0"/>
              <w:jc w:val="left"/>
              <w:rPr>
                <w:spacing w:val="-2"/>
              </w:rPr>
            </w:pPr>
            <w:r>
              <w:rPr>
                <w:spacing w:val="-2"/>
              </w:rPr>
              <w:t xml:space="preserve">$1M (Target) (no target amount under prior contract) </w:t>
            </w:r>
          </w:p>
        </w:tc>
        <w:tc>
          <w:tcPr>
            <w:tcW w:w="110" w:type="dxa"/>
            <w:tcBorders>
              <w:bottom w:val="single" w:sz="2" w:space="0" w:color="FFFFFF"/>
            </w:tcBorders>
            <w:vAlign w:val="center"/>
          </w:tcPr>
          <w:p>
            <w:pPr>
              <w:pStyle w:val="TableContents"/>
              <w:bidi w:val="0"/>
              <w:spacing w:before="0" w:after="283"/>
              <w:jc w:val="left"/>
              <w:rPr/>
            </w:pPr>
            <w:r>
              <w:rPr/>
              <w:t>​</w:t>
            </w:r>
          </w:p>
        </w:tc>
        <w:tc>
          <w:tcPr>
            <w:tcW w:w="110" w:type="dxa"/>
            <w:tcBorders>
              <w:bottom w:val="single" w:sz="2" w:space="0" w:color="FFFFFF"/>
            </w:tcBorders>
            <w:vAlign w:val="center"/>
          </w:tcPr>
          <w:p>
            <w:pPr>
              <w:pStyle w:val="TableContents"/>
              <w:bidi w:val="0"/>
              <w:spacing w:before="0" w:after="283"/>
              <w:jc w:val="left"/>
              <w:rPr/>
            </w:pPr>
            <w:r>
              <w:rPr/>
              <w:t>​</w:t>
            </w:r>
          </w:p>
        </w:tc>
        <w:tc>
          <w:tcPr>
            <w:tcW w:w="1528" w:type="dxa"/>
            <w:tcBorders>
              <w:bottom w:val="single" w:sz="2" w:space="0" w:color="4B5088"/>
            </w:tcBorders>
            <w:tcMar>
              <w:bottom w:w="70" w:type="dxa"/>
            </w:tcMar>
            <w:vAlign w:val="center"/>
          </w:tcPr>
          <w:p>
            <w:pPr>
              <w:pStyle w:val="TableContents"/>
              <w:bidi w:val="0"/>
              <w:spacing w:before="0" w:after="283"/>
              <w:jc w:val="left"/>
              <w:rPr>
                <w:spacing w:val="-2"/>
              </w:rPr>
            </w:pPr>
            <w:r>
              <w:rPr>
                <w:spacing w:val="-2"/>
              </w:rPr>
              <w:t xml:space="preserve">None </w:t>
            </w:r>
          </w:p>
        </w:tc>
        <w:tc>
          <w:tcPr>
            <w:tcW w:w="110" w:type="dxa"/>
            <w:tcBorders>
              <w:bottom w:val="single" w:sz="2" w:space="0" w:color="FFFFFF"/>
            </w:tcBorders>
            <w:vAlign w:val="center"/>
          </w:tcPr>
          <w:p>
            <w:pPr>
              <w:pStyle w:val="TableContents"/>
              <w:bidi w:val="0"/>
              <w:spacing w:before="0" w:after="283"/>
              <w:jc w:val="left"/>
              <w:rPr/>
            </w:pPr>
            <w:r>
              <w:rPr/>
              <w:t>​</w:t>
            </w:r>
          </w:p>
        </w:tc>
        <w:tc>
          <w:tcPr>
            <w:tcW w:w="110" w:type="dxa"/>
            <w:tcBorders>
              <w:bottom w:val="single" w:sz="2" w:space="0" w:color="FFFFFF"/>
            </w:tcBorders>
            <w:vAlign w:val="center"/>
          </w:tcPr>
          <w:p>
            <w:pPr>
              <w:pStyle w:val="TableContents"/>
              <w:bidi w:val="0"/>
              <w:spacing w:before="0" w:after="283"/>
              <w:jc w:val="left"/>
              <w:rPr/>
            </w:pPr>
            <w:r>
              <w:rPr/>
              <w:t>​</w:t>
            </w:r>
          </w:p>
        </w:tc>
        <w:tc>
          <w:tcPr>
            <w:tcW w:w="1503" w:type="dxa"/>
            <w:tcBorders>
              <w:bottom w:val="single" w:sz="2" w:space="0" w:color="4B5088"/>
            </w:tcBorders>
            <w:tcMar>
              <w:bottom w:w="70" w:type="dxa"/>
            </w:tcMar>
            <w:vAlign w:val="center"/>
          </w:tcPr>
          <w:p>
            <w:pPr>
              <w:pStyle w:val="TableContents"/>
              <w:bidi w:val="0"/>
              <w:spacing w:before="0" w:after="283"/>
              <w:jc w:val="left"/>
              <w:rPr/>
            </w:pPr>
            <w:r>
              <w:rPr>
                <w:spacing w:val="-2"/>
              </w:rPr>
              <w:t>$2.5M (Target)</w:t>
            </w:r>
            <w:r>
              <w:rPr>
                <w:spacing w:val="-1"/>
                <w:sz w:val="10"/>
              </w:rPr>
              <w:t>(3)</w:t>
            </w:r>
            <w:r>
              <w:rPr/>
              <w:t xml:space="preserve"> </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2147" w:type="dxa"/>
            <w:tcBorders>
              <w:bottom w:val="single" w:sz="2" w:space="0" w:color="4B5088"/>
            </w:tcBorders>
            <w:tcMar>
              <w:bottom w:w="70" w:type="dxa"/>
            </w:tcMar>
            <w:vAlign w:val="center"/>
          </w:tcPr>
          <w:p>
            <w:pPr>
              <w:pStyle w:val="TableContents"/>
              <w:bidi w:val="0"/>
              <w:spacing w:before="0" w:after="0"/>
              <w:jc w:val="left"/>
              <w:rPr>
                <w:b/>
                <w:color w:val="1F2668"/>
              </w:rPr>
            </w:pPr>
            <w:r>
              <w:rPr>
                <w:b/>
                <w:color w:val="1F2668"/>
                <w:spacing w:val="-2"/>
              </w:rPr>
              <w:t>Time-Based LTIP Units</w:t>
            </w:r>
            <w:r>
              <w:rPr>
                <w:b/>
                <w:color w:val="1F2668"/>
                <w:spacing w:val="-1"/>
                <w:sz w:val="10"/>
              </w:rPr>
              <w:t>(4)</w:t>
            </w:r>
            <w:r>
              <w:rPr>
                <w:b/>
                <w:color w:val="1F2668"/>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91" w:type="dxa"/>
            <w:tcBorders>
              <w:bottom w:val="single" w:sz="2" w:space="0" w:color="4B5088"/>
            </w:tcBorders>
            <w:tcMar>
              <w:bottom w:w="70" w:type="dxa"/>
            </w:tcMar>
            <w:vAlign w:val="center"/>
          </w:tcPr>
          <w:p>
            <w:pPr>
              <w:pStyle w:val="TableContents"/>
              <w:bidi w:val="0"/>
              <w:spacing w:before="0" w:after="283"/>
              <w:jc w:val="left"/>
              <w:rPr>
                <w:spacing w:val="-2"/>
              </w:rPr>
            </w:pPr>
            <w:r>
              <w:rPr>
                <w:spacing w:val="-2"/>
              </w:rPr>
              <w:t xml:space="preserve">$5.0M (Target, with up to 200% outperformance modifier) </w:t>
            </w:r>
          </w:p>
        </w:tc>
        <w:tc>
          <w:tcPr>
            <w:tcW w:w="110" w:type="dxa"/>
            <w:tcBorders>
              <w:bottom w:val="single" w:sz="2" w:space="0" w:color="FFFFFF"/>
            </w:tcBorders>
            <w:vAlign w:val="center"/>
          </w:tcPr>
          <w:p>
            <w:pPr>
              <w:pStyle w:val="TableContents"/>
              <w:bidi w:val="0"/>
              <w:spacing w:before="0" w:after="283"/>
              <w:jc w:val="left"/>
              <w:rPr/>
            </w:pPr>
            <w:r>
              <w:rPr/>
              <w:t>​</w:t>
            </w:r>
          </w:p>
        </w:tc>
        <w:tc>
          <w:tcPr>
            <w:tcW w:w="110" w:type="dxa"/>
            <w:tcBorders>
              <w:bottom w:val="single" w:sz="2" w:space="0" w:color="FFFFFF"/>
            </w:tcBorders>
            <w:vAlign w:val="center"/>
          </w:tcPr>
          <w:p>
            <w:pPr>
              <w:pStyle w:val="TableContents"/>
              <w:bidi w:val="0"/>
              <w:spacing w:before="0" w:after="283"/>
              <w:jc w:val="left"/>
              <w:rPr/>
            </w:pPr>
            <w:r>
              <w:rPr/>
              <w:t>​</w:t>
            </w:r>
          </w:p>
        </w:tc>
        <w:tc>
          <w:tcPr>
            <w:tcW w:w="1500" w:type="dxa"/>
            <w:tcBorders>
              <w:bottom w:val="single" w:sz="2" w:space="0" w:color="4B5088"/>
            </w:tcBorders>
            <w:tcMar>
              <w:bottom w:w="70" w:type="dxa"/>
            </w:tcMar>
            <w:vAlign w:val="center"/>
          </w:tcPr>
          <w:p>
            <w:pPr>
              <w:pStyle w:val="TableContents"/>
              <w:bidi w:val="0"/>
              <w:spacing w:before="0" w:after="283"/>
              <w:jc w:val="left"/>
              <w:rPr>
                <w:spacing w:val="-2"/>
              </w:rPr>
            </w:pPr>
            <w:r>
              <w:rPr>
                <w:spacing w:val="-2"/>
              </w:rPr>
              <w:t xml:space="preserve">$1.54M (Target) ($1.4M target amount under prior contract) </w:t>
            </w:r>
          </w:p>
        </w:tc>
        <w:tc>
          <w:tcPr>
            <w:tcW w:w="110" w:type="dxa"/>
            <w:tcBorders>
              <w:bottom w:val="single" w:sz="2" w:space="0" w:color="FFFFFF"/>
            </w:tcBorders>
            <w:vAlign w:val="center"/>
          </w:tcPr>
          <w:p>
            <w:pPr>
              <w:pStyle w:val="TableContents"/>
              <w:bidi w:val="0"/>
              <w:spacing w:before="0" w:after="283"/>
              <w:jc w:val="left"/>
              <w:rPr/>
            </w:pPr>
            <w:r>
              <w:rPr/>
              <w:t>​</w:t>
            </w:r>
          </w:p>
        </w:tc>
        <w:tc>
          <w:tcPr>
            <w:tcW w:w="110" w:type="dxa"/>
            <w:tcBorders>
              <w:bottom w:val="single" w:sz="2" w:space="0" w:color="FFFFFF"/>
            </w:tcBorders>
            <w:vAlign w:val="center"/>
          </w:tcPr>
          <w:p>
            <w:pPr>
              <w:pStyle w:val="TableContents"/>
              <w:bidi w:val="0"/>
              <w:spacing w:before="0" w:after="283"/>
              <w:jc w:val="left"/>
              <w:rPr/>
            </w:pPr>
            <w:r>
              <w:rPr/>
              <w:t>​</w:t>
            </w:r>
          </w:p>
        </w:tc>
        <w:tc>
          <w:tcPr>
            <w:tcW w:w="1528" w:type="dxa"/>
            <w:tcBorders>
              <w:bottom w:val="single" w:sz="2" w:space="0" w:color="4B5088"/>
            </w:tcBorders>
            <w:tcMar>
              <w:bottom w:w="70" w:type="dxa"/>
            </w:tcMar>
            <w:vAlign w:val="center"/>
          </w:tcPr>
          <w:p>
            <w:pPr>
              <w:pStyle w:val="TableContents"/>
              <w:bidi w:val="0"/>
              <w:spacing w:before="0" w:after="283"/>
              <w:jc w:val="left"/>
              <w:rPr>
                <w:spacing w:val="-2"/>
              </w:rPr>
            </w:pPr>
            <w:r>
              <w:rPr>
                <w:spacing w:val="-2"/>
              </w:rPr>
              <w:t xml:space="preserve">$1.45M (Target) ($1.3M target amount under prior contract) </w:t>
            </w:r>
          </w:p>
        </w:tc>
        <w:tc>
          <w:tcPr>
            <w:tcW w:w="110" w:type="dxa"/>
            <w:tcBorders>
              <w:bottom w:val="single" w:sz="2" w:space="0" w:color="FFFFFF"/>
            </w:tcBorders>
            <w:vAlign w:val="center"/>
          </w:tcPr>
          <w:p>
            <w:pPr>
              <w:pStyle w:val="TableContents"/>
              <w:bidi w:val="0"/>
              <w:spacing w:before="0" w:after="283"/>
              <w:jc w:val="left"/>
              <w:rPr/>
            </w:pPr>
            <w:r>
              <w:rPr/>
              <w:t>​</w:t>
            </w:r>
          </w:p>
        </w:tc>
        <w:tc>
          <w:tcPr>
            <w:tcW w:w="110" w:type="dxa"/>
            <w:tcBorders>
              <w:bottom w:val="single" w:sz="2" w:space="0" w:color="FFFFFF"/>
            </w:tcBorders>
            <w:vAlign w:val="center"/>
          </w:tcPr>
          <w:p>
            <w:pPr>
              <w:pStyle w:val="TableContents"/>
              <w:bidi w:val="0"/>
              <w:spacing w:before="0" w:after="283"/>
              <w:jc w:val="left"/>
              <w:rPr/>
            </w:pPr>
            <w:r>
              <w:rPr/>
              <w:t>​</w:t>
            </w:r>
          </w:p>
        </w:tc>
        <w:tc>
          <w:tcPr>
            <w:tcW w:w="1503" w:type="dxa"/>
            <w:tcBorders>
              <w:bottom w:val="single" w:sz="2" w:space="0" w:color="4B5088"/>
            </w:tcBorders>
            <w:tcMar>
              <w:bottom w:w="70" w:type="dxa"/>
            </w:tcMar>
            <w:vAlign w:val="center"/>
          </w:tcPr>
          <w:p>
            <w:pPr>
              <w:pStyle w:val="TableContents"/>
              <w:bidi w:val="0"/>
              <w:spacing w:before="0" w:after="283"/>
              <w:jc w:val="left"/>
              <w:rPr>
                <w:spacing w:val="-2"/>
              </w:rPr>
            </w:pPr>
            <w:r>
              <w:rPr>
                <w:spacing w:val="-2"/>
              </w:rPr>
              <w:t xml:space="preserve">$3.3M (Target, with up to 100% outperformance modifier) </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2147" w:type="dxa"/>
            <w:tcBorders>
              <w:bottom w:val="single" w:sz="2" w:space="0" w:color="4B5088"/>
            </w:tcBorders>
            <w:tcMar>
              <w:bottom w:w="90" w:type="dxa"/>
            </w:tcMar>
            <w:vAlign w:val="center"/>
          </w:tcPr>
          <w:p>
            <w:pPr>
              <w:pStyle w:val="TableContents"/>
              <w:bidi w:val="0"/>
              <w:spacing w:before="0" w:after="0"/>
              <w:jc w:val="left"/>
              <w:rPr>
                <w:color w:val="1F2668"/>
              </w:rPr>
            </w:pPr>
            <w:r>
              <w:rPr>
                <w:b/>
                <w:color w:val="1F2668"/>
                <w:spacing w:val="-2"/>
              </w:rPr>
              <w:t>Other Compensation / Benefits</w:t>
            </w:r>
            <w:r>
              <w:rPr>
                <w:bCs/>
                <w:color w:val="1F2668"/>
                <w:spacing w:val="-1"/>
                <w:szCs w:val="10"/>
              </w:rPr>
              <w:t>﻿</w:t>
            </w:r>
            <w:r>
              <w:rPr>
                <w:b/>
                <w:color w:val="1F2668"/>
                <w:spacing w:val="-1"/>
                <w:sz w:val="10"/>
              </w:rPr>
              <w:t>(5)</w:t>
            </w:r>
            <w:r>
              <w:rPr>
                <w:b/>
                <w:color w:val="1F2668"/>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91" w:type="dxa"/>
            <w:tcBorders>
              <w:bottom w:val="single" w:sz="2" w:space="0" w:color="4B5088"/>
            </w:tcBorders>
            <w:tcMar>
              <w:bottom w:w="90" w:type="dxa"/>
            </w:tcMar>
            <w:vAlign w:val="center"/>
          </w:tcPr>
          <w:p>
            <w:pPr>
              <w:pStyle w:val="TableContents"/>
              <w:bidi w:val="0"/>
              <w:spacing w:lineRule="atLeast" w:line="180" w:before="0" w:after="0"/>
              <w:jc w:val="left"/>
              <w:rPr>
                <w:spacing w:val="-2"/>
              </w:rPr>
            </w:pPr>
            <w:r>
              <w:rPr>
                <w:spacing w:val="-2"/>
              </w:rPr>
              <w:t xml:space="preserve">Carried interest, if any, received from opportunistic debt fund; $10M of life insurance </w:t>
            </w:r>
          </w:p>
        </w:tc>
        <w:tc>
          <w:tcPr>
            <w:tcW w:w="110" w:type="dxa"/>
            <w:tcBorders>
              <w:bottom w:val="single" w:sz="2" w:space="0" w:color="FFFFFF"/>
            </w:tcBorders>
            <w:vAlign w:val="center"/>
          </w:tcPr>
          <w:p>
            <w:pPr>
              <w:pStyle w:val="TableContents"/>
              <w:bidi w:val="0"/>
              <w:spacing w:before="0" w:after="283"/>
              <w:jc w:val="left"/>
              <w:rPr/>
            </w:pPr>
            <w:r>
              <w:rPr/>
              <w:t>​</w:t>
            </w:r>
          </w:p>
        </w:tc>
        <w:tc>
          <w:tcPr>
            <w:tcW w:w="110" w:type="dxa"/>
            <w:tcBorders>
              <w:bottom w:val="single" w:sz="2" w:space="0" w:color="FFFFFF"/>
            </w:tcBorders>
            <w:vAlign w:val="center"/>
          </w:tcPr>
          <w:p>
            <w:pPr>
              <w:pStyle w:val="TableContents"/>
              <w:bidi w:val="0"/>
              <w:spacing w:before="0" w:after="283"/>
              <w:jc w:val="left"/>
              <w:rPr/>
            </w:pPr>
            <w:r>
              <w:rPr/>
              <w:t>​</w:t>
            </w:r>
          </w:p>
        </w:tc>
        <w:tc>
          <w:tcPr>
            <w:tcW w:w="1500" w:type="dxa"/>
            <w:tcBorders>
              <w:bottom w:val="single" w:sz="2" w:space="0" w:color="4B5088"/>
            </w:tcBorders>
            <w:tcMar>
              <w:bottom w:w="90" w:type="dxa"/>
            </w:tcMar>
            <w:vAlign w:val="center"/>
          </w:tcPr>
          <w:p>
            <w:pPr>
              <w:pStyle w:val="TableContents"/>
              <w:bidi w:val="0"/>
              <w:spacing w:lineRule="atLeast" w:line="180" w:before="0" w:after="0"/>
              <w:jc w:val="left"/>
              <w:rPr/>
            </w:pPr>
            <w:r>
              <w:rPr>
                <w:spacing w:val="-2"/>
              </w:rPr>
              <w:t>Carried interest, if any, received from opportunistic</w:t>
            </w:r>
            <w:r>
              <w:rPr/>
              <w:t xml:space="preserve"> </w:t>
            </w:r>
          </w:p>
          <w:p>
            <w:pPr>
              <w:pStyle w:val="TableContents"/>
              <w:bidi w:val="0"/>
              <w:spacing w:before="60" w:after="283"/>
              <w:jc w:val="left"/>
              <w:rPr>
                <w:spacing w:val="-2"/>
              </w:rPr>
            </w:pPr>
            <w:r>
              <w:rPr>
                <w:spacing w:val="-2"/>
              </w:rPr>
              <w:t xml:space="preserve">debt fund </w:t>
            </w:r>
          </w:p>
        </w:tc>
        <w:tc>
          <w:tcPr>
            <w:tcW w:w="110" w:type="dxa"/>
            <w:tcBorders>
              <w:bottom w:val="single" w:sz="2" w:space="0" w:color="FFFFFF"/>
            </w:tcBorders>
            <w:vAlign w:val="center"/>
          </w:tcPr>
          <w:p>
            <w:pPr>
              <w:pStyle w:val="TableContents"/>
              <w:bidi w:val="0"/>
              <w:spacing w:before="0" w:after="283"/>
              <w:jc w:val="left"/>
              <w:rPr/>
            </w:pPr>
            <w:r>
              <w:rPr/>
              <w:t>​</w:t>
            </w:r>
          </w:p>
        </w:tc>
        <w:tc>
          <w:tcPr>
            <w:tcW w:w="110" w:type="dxa"/>
            <w:tcBorders>
              <w:bottom w:val="single" w:sz="2" w:space="0" w:color="FFFFFF"/>
            </w:tcBorders>
            <w:vAlign w:val="center"/>
          </w:tcPr>
          <w:p>
            <w:pPr>
              <w:pStyle w:val="TableContents"/>
              <w:bidi w:val="0"/>
              <w:spacing w:before="0" w:after="283"/>
              <w:jc w:val="left"/>
              <w:rPr/>
            </w:pPr>
            <w:r>
              <w:rPr/>
              <w:t>​</w:t>
            </w:r>
          </w:p>
        </w:tc>
        <w:tc>
          <w:tcPr>
            <w:tcW w:w="1528" w:type="dxa"/>
            <w:tcBorders>
              <w:bottom w:val="single" w:sz="2" w:space="0" w:color="4B5088"/>
            </w:tcBorders>
            <w:tcMar>
              <w:bottom w:w="90" w:type="dxa"/>
            </w:tcMar>
            <w:vAlign w:val="center"/>
          </w:tcPr>
          <w:p>
            <w:pPr>
              <w:pStyle w:val="TableContents"/>
              <w:bidi w:val="0"/>
              <w:spacing w:lineRule="atLeast" w:line="180" w:before="0" w:after="0"/>
              <w:jc w:val="left"/>
              <w:rPr>
                <w:spacing w:val="-2"/>
              </w:rPr>
            </w:pPr>
            <w:r>
              <w:rPr>
                <w:spacing w:val="-2"/>
              </w:rPr>
              <w:t xml:space="preserve">Carried interest, if any, received from opportunistic debt fund </w:t>
            </w:r>
          </w:p>
        </w:tc>
        <w:tc>
          <w:tcPr>
            <w:tcW w:w="110" w:type="dxa"/>
            <w:tcBorders>
              <w:bottom w:val="single" w:sz="2" w:space="0" w:color="FFFFFF"/>
            </w:tcBorders>
            <w:vAlign w:val="center"/>
          </w:tcPr>
          <w:p>
            <w:pPr>
              <w:pStyle w:val="TableContents"/>
              <w:bidi w:val="0"/>
              <w:spacing w:before="0" w:after="283"/>
              <w:jc w:val="left"/>
              <w:rPr/>
            </w:pPr>
            <w:r>
              <w:rPr/>
              <w:t>​</w:t>
            </w:r>
          </w:p>
        </w:tc>
        <w:tc>
          <w:tcPr>
            <w:tcW w:w="110" w:type="dxa"/>
            <w:tcBorders>
              <w:bottom w:val="single" w:sz="2" w:space="0" w:color="FFFFFF"/>
            </w:tcBorders>
            <w:vAlign w:val="center"/>
          </w:tcPr>
          <w:p>
            <w:pPr>
              <w:pStyle w:val="TableContents"/>
              <w:bidi w:val="0"/>
              <w:spacing w:before="0" w:after="283"/>
              <w:jc w:val="left"/>
              <w:rPr/>
            </w:pPr>
            <w:r>
              <w:rPr/>
              <w:t>​</w:t>
            </w:r>
          </w:p>
        </w:tc>
        <w:tc>
          <w:tcPr>
            <w:tcW w:w="1503" w:type="dxa"/>
            <w:tcBorders>
              <w:bottom w:val="single" w:sz="2" w:space="0" w:color="4B5088"/>
            </w:tcBorders>
            <w:tcMar>
              <w:bottom w:w="90" w:type="dxa"/>
            </w:tcMar>
            <w:vAlign w:val="center"/>
          </w:tcPr>
          <w:p>
            <w:pPr>
              <w:pStyle w:val="TableContents"/>
              <w:bidi w:val="0"/>
              <w:spacing w:lineRule="atLeast" w:line="180" w:before="0" w:after="0"/>
              <w:jc w:val="left"/>
              <w:rPr>
                <w:spacing w:val="-2"/>
              </w:rPr>
            </w:pPr>
            <w:r>
              <w:rPr>
                <w:spacing w:val="-2"/>
              </w:rPr>
              <w:t xml:space="preserve">Carried interest, if any, received from opportunistic debt fund </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2147" w:type="dxa"/>
            <w:tcBorders>
              <w:bottom w:val="single" w:sz="2" w:space="0" w:color="FFFFFF"/>
            </w:tcBorders>
            <w:tcMar>
              <w:bottom w:w="90" w:type="dxa"/>
            </w:tcMar>
            <w:vAlign w:val="center"/>
          </w:tcPr>
          <w:p>
            <w:pPr>
              <w:pStyle w:val="TableContents"/>
              <w:bidi w:val="0"/>
              <w:spacing w:lineRule="atLeast" w:line="180" w:before="0" w:after="0"/>
              <w:jc w:val="left"/>
              <w:rPr>
                <w:caps w:val="false"/>
                <w:smallCaps w:val="false"/>
                <w:color w:val="1F2668"/>
              </w:rPr>
            </w:pPr>
            <w:r>
              <w:rPr>
                <w:i w:val="false"/>
                <w:caps w:val="false"/>
                <w:smallCaps w:val="false"/>
                <w:color w:val="1F2668"/>
                <w:spacing w:val="-2"/>
              </w:rPr>
              <w:t xml:space="preserve">Severance Benefits–Without </w:t>
              <w:br/>
              <w:t xml:space="preserve">CiC and </w:t>
            </w:r>
            <w:r>
              <w:rPr>
                <w:i/>
                <w:caps w:val="false"/>
                <w:smallCaps w:val="false"/>
                <w:color w:val="1F2668"/>
                <w:spacing w:val="-2"/>
              </w:rPr>
              <w:t>(in connection with a CiC)</w:t>
            </w:r>
            <w:r>
              <w:rPr>
                <w:bCs w:val="false"/>
                <w:iCs w:val="false"/>
                <w:caps w:val="false"/>
                <w:smallCaps w:val="false"/>
                <w:color w:val="1F2668"/>
                <w:spacing w:val="-1"/>
                <w:szCs w:val="10"/>
              </w:rPr>
              <w:t>﻿</w:t>
            </w:r>
            <w:r>
              <w:rPr>
                <w:b w:val="false"/>
                <w:i w:val="false"/>
                <w:caps w:val="false"/>
                <w:smallCaps w:val="false"/>
                <w:color w:val="1F2668"/>
                <w:spacing w:val="-1"/>
                <w:sz w:val="10"/>
              </w:rPr>
              <w:t>(6)(8)</w:t>
            </w:r>
            <w:r>
              <w:rPr>
                <w:i w:val="false"/>
                <w:caps w:val="false"/>
                <w:smallCaps w:val="false"/>
                <w:color w:val="1F2668"/>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782" w:type="dxa"/>
            <w:gridSpan w:val="10"/>
            <w:tcBorders>
              <w:bottom w:val="single" w:sz="2" w:space="0" w:color="4B5088"/>
            </w:tcBorders>
            <w:tcMar>
              <w:bottom w:w="90" w:type="dxa"/>
            </w:tcMar>
            <w:vAlign w:val="center"/>
          </w:tcPr>
          <w:p>
            <w:pPr>
              <w:pStyle w:val="TableContents"/>
              <w:bidi w:val="0"/>
              <w:spacing w:before="0" w:after="283"/>
              <w:jc w:val="left"/>
              <w:rPr/>
            </w:pPr>
            <w:r>
              <w:rPr>
                <w:b w:val="false"/>
                <w:i w:val="false"/>
                <w:caps w:val="false"/>
                <w:smallCaps w:val="false"/>
                <w:spacing w:val="-2"/>
              </w:rPr>
              <w:t xml:space="preserve">If the executive’s employment is terminated by us without Cause or by the executive for Good Reason during the term, the executive will be entitled to the following payments or benefits, subject to the effectiveness of a mutual release. </w:t>
            </w:r>
            <w:r>
              <w:rPr>
                <w:spacing w:val="-2"/>
              </w:rPr>
              <w:t>(For all executives, a Section 280G modified cut-back will apply in connection with a termination in connection with or within 18 months after a CiC.)</w:t>
            </w:r>
            <w:r>
              <w:rPr>
                <w:i w:val="false"/>
                <w:caps w:val="false"/>
                <w:smallCaps w:val="false"/>
                <w:spacing w:val="-1"/>
                <w:sz w:val="10"/>
              </w:rPr>
              <w:t>(7)</w:t>
            </w:r>
            <w:r>
              <w:rPr/>
              <w:t xml:space="preserve"> </w:t>
            </w:r>
          </w:p>
        </w:tc>
        <w:tc>
          <w:tcPr>
            <w:tcW w:w="158" w:type="dxa"/>
            <w:tcBorders>
              <w:bottom w:val="single" w:sz="2" w:space="0" w:color="FFFFFF"/>
            </w:tcBorders>
            <w:vAlign w:val="center"/>
          </w:tcPr>
          <w:p>
            <w:pPr>
              <w:pStyle w:val="TableContents"/>
              <w:bidi w:val="0"/>
              <w:spacing w:before="0" w:after="283"/>
              <w:jc w:val="left"/>
              <w:rPr/>
            </w:pPr>
            <w:r>
              <w:rPr/>
              <w:t>​</w:t>
            </w:r>
          </w:p>
        </w:tc>
      </w:tr>
    </w:tbl>
    <w:tbl>
      <w:tblPr>
        <w:tblW w:w="9305" w:type="dxa"/>
        <w:jc w:val="left"/>
        <w:tblInd w:w="900" w:type="dxa"/>
        <w:tblLayout w:type="fixed"/>
        <w:tblCellMar>
          <w:top w:w="0" w:type="dxa"/>
          <w:left w:w="0" w:type="dxa"/>
          <w:bottom w:w="28" w:type="dxa"/>
          <w:right w:w="0" w:type="dxa"/>
        </w:tblCellMar>
      </w:tblPr>
      <w:tblGrid>
        <w:gridCol w:w="124"/>
        <w:gridCol w:w="109"/>
        <w:gridCol w:w="109"/>
        <w:gridCol w:w="109"/>
        <w:gridCol w:w="3176"/>
        <w:gridCol w:w="109"/>
        <w:gridCol w:w="109"/>
        <w:gridCol w:w="2527"/>
        <w:gridCol w:w="109"/>
        <w:gridCol w:w="109"/>
        <w:gridCol w:w="2559"/>
        <w:gridCol w:w="156"/>
      </w:tblGrid>
      <w:tr>
        <w:trPr/>
        <w:tc>
          <w:tcPr>
            <w:tcW w:w="12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176" w:type="dxa"/>
            <w:tcBorders>
              <w:bottom w:val="single" w:sz="2" w:space="0" w:color="4B5088"/>
            </w:tcBorders>
            <w:tcMar>
              <w:bottom w:w="70" w:type="dxa"/>
            </w:tcMar>
            <w:vAlign w:val="center"/>
          </w:tcPr>
          <w:p>
            <w:pPr>
              <w:pStyle w:val="TableContents"/>
              <w:bidi w:val="0"/>
              <w:spacing w:lineRule="atLeast" w:line="180" w:before="0" w:after="0"/>
              <w:ind w:left="160" w:right="0" w:hanging="0"/>
              <w:jc w:val="left"/>
              <w:rPr/>
            </w:pPr>
            <w:r>
              <w:rPr>
                <w:spacing w:val="-2"/>
              </w:rPr>
              <w:t xml:space="preserve">3.0x the sum of base salary, average annual bonus for prior two years and 1.0x the target value of annual time-based equity award </w:t>
            </w:r>
            <w:r>
              <w:rPr>
                <w:b/>
                <w:i/>
                <w:spacing w:val="-2"/>
              </w:rPr>
              <w:t>(if CiC: 3.0x the sum of base salary, average annual bonus for prior two years and target value of annual time-based award)</w:t>
            </w:r>
            <w:r>
              <w:rPr/>
              <w:t xml:space="preserve"> </w:t>
            </w:r>
            <w:r>
              <mc:AlternateContent>
                <mc:Choice Requires="wps">
                  <w:drawing>
                    <wp:anchor behindDoc="0" distT="0" distB="0" distL="0" distR="0" simplePos="0" locked="0" layoutInCell="1" allowOverlap="1" relativeHeight="737">
                      <wp:simplePos x="0" y="0"/>
                      <wp:positionH relativeFrom="column">
                        <wp:align>left</wp:align>
                      </wp:positionH>
                      <wp:positionV relativeFrom="line">
                        <wp:posOffset>635</wp:posOffset>
                      </wp:positionV>
                      <wp:extent cx="101600" cy="350520"/>
                      <wp:effectExtent l="0" t="0" r="0" b="0"/>
                      <wp:wrapSquare wrapText="right"/>
                      <wp:docPr id="838" name="Frame488"/>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80" w:after="0"/>
              <w:ind w:left="160" w:right="0" w:hanging="0"/>
              <w:jc w:val="left"/>
              <w:rPr/>
            </w:pPr>
            <w:r>
              <w:rPr>
                <w:spacing w:val="-2"/>
              </w:rPr>
              <w:t>Pro-rata bonus and pro-rata portion of target value of annual time-based award for partial year</w:t>
            </w:r>
            <w:r>
              <w:rPr/>
              <w:t xml:space="preserve"> </w:t>
            </w:r>
            <w:r>
              <mc:AlternateContent>
                <mc:Choice Requires="wps">
                  <w:drawing>
                    <wp:anchor behindDoc="0" distT="50800" distB="0" distL="0" distR="0" simplePos="0" locked="0" layoutInCell="1" allowOverlap="1" relativeHeight="738">
                      <wp:simplePos x="0" y="0"/>
                      <wp:positionH relativeFrom="column">
                        <wp:align>left</wp:align>
                      </wp:positionH>
                      <wp:positionV relativeFrom="line">
                        <wp:align>top</wp:align>
                      </wp:positionV>
                      <wp:extent cx="101600" cy="350520"/>
                      <wp:effectExtent l="0" t="0" r="0" b="0"/>
                      <wp:wrapSquare wrapText="right"/>
                      <wp:docPr id="839" name="Frame489"/>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80" w:after="0"/>
              <w:ind w:left="160" w:right="0" w:hanging="0"/>
              <w:jc w:val="left"/>
              <w:rPr/>
            </w:pPr>
            <w:r>
              <w:rPr>
                <w:spacing w:val="-2"/>
              </w:rPr>
              <w:t>Acceleration of all unvested time-based equity awards</w:t>
            </w:r>
            <w:r>
              <w:rPr/>
              <w:t xml:space="preserve"> </w:t>
            </w:r>
            <w:r>
              <mc:AlternateContent>
                <mc:Choice Requires="wps">
                  <w:drawing>
                    <wp:anchor behindDoc="0" distT="50800" distB="0" distL="0" distR="0" simplePos="0" locked="0" layoutInCell="1" allowOverlap="1" relativeHeight="739">
                      <wp:simplePos x="0" y="0"/>
                      <wp:positionH relativeFrom="column">
                        <wp:align>left</wp:align>
                      </wp:positionH>
                      <wp:positionV relativeFrom="line">
                        <wp:align>top</wp:align>
                      </wp:positionV>
                      <wp:extent cx="101600" cy="350520"/>
                      <wp:effectExtent l="0" t="0" r="0" b="0"/>
                      <wp:wrapSquare wrapText="right"/>
                      <wp:docPr id="840" name="Frame490"/>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80" w:after="0"/>
              <w:ind w:left="160" w:right="0" w:hanging="0"/>
              <w:jc w:val="left"/>
              <w:rPr/>
            </w:pPr>
            <w:r>
              <w:rPr>
                <w:spacing w:val="-2"/>
              </w:rPr>
              <w:t>Class O LTIP unit/option exercise period extended to second January 1</w:t>
            </w:r>
            <w:r>
              <w:rPr>
                <w:spacing w:val="-1"/>
                <w:sz w:val="10"/>
              </w:rPr>
              <w:t>st</w:t>
            </w:r>
            <w:r>
              <w:rPr>
                <w:spacing w:val="-2"/>
              </w:rPr>
              <w:t xml:space="preserve"> following termination</w:t>
            </w:r>
            <w:r>
              <w:rPr/>
              <w:t xml:space="preserve"> </w:t>
            </w:r>
            <w:r>
              <mc:AlternateContent>
                <mc:Choice Requires="wps">
                  <w:drawing>
                    <wp:anchor behindDoc="0" distT="50800" distB="0" distL="0" distR="0" simplePos="0" locked="0" layoutInCell="1" allowOverlap="1" relativeHeight="740">
                      <wp:simplePos x="0" y="0"/>
                      <wp:positionH relativeFrom="column">
                        <wp:align>left</wp:align>
                      </wp:positionH>
                      <wp:positionV relativeFrom="line">
                        <wp:align>top</wp:align>
                      </wp:positionV>
                      <wp:extent cx="101600" cy="350520"/>
                      <wp:effectExtent l="0" t="0" r="0" b="0"/>
                      <wp:wrapSquare wrapText="right"/>
                      <wp:docPr id="841" name="Frame491"/>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80" w:after="0"/>
              <w:ind w:left="160" w:right="0" w:hanging="0"/>
              <w:jc w:val="left"/>
              <w:rPr/>
            </w:pPr>
            <w:r>
              <w:rPr>
                <w:spacing w:val="-2"/>
              </w:rPr>
              <w:t>Performance-based awards (including Class O LTIP units/</w:t>
            </w:r>
            <w:r>
              <w:rPr/>
              <w:t>​</w:t>
            </w:r>
            <w:r>
              <w:rPr>
                <w:spacing w:val="-2"/>
              </w:rPr>
              <w:t>options) governed by their terms</w:t>
            </w:r>
            <w:r>
              <mc:AlternateContent>
                <mc:Choice Requires="wps">
                  <w:drawing>
                    <wp:anchor behindDoc="0" distT="50800" distB="0" distL="0" distR="0" simplePos="0" locked="0" layoutInCell="1" allowOverlap="1" relativeHeight="741">
                      <wp:simplePos x="0" y="0"/>
                      <wp:positionH relativeFrom="column">
                        <wp:align>left</wp:align>
                      </wp:positionH>
                      <wp:positionV relativeFrom="line">
                        <wp:align>top</wp:align>
                      </wp:positionV>
                      <wp:extent cx="101600" cy="350520"/>
                      <wp:effectExtent l="0" t="0" r="0" b="0"/>
                      <wp:wrapSquare wrapText="right"/>
                      <wp:docPr id="842" name="Frame492"/>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80" w:after="0"/>
              <w:ind w:left="160" w:right="0" w:hanging="0"/>
              <w:jc w:val="left"/>
              <w:rPr/>
            </w:pPr>
            <w:r>
              <w:rPr>
                <w:spacing w:val="-2"/>
              </w:rPr>
              <w:t xml:space="preserve">24 </w:t>
            </w:r>
            <w:r>
              <w:rPr>
                <w:b/>
                <w:i/>
                <w:spacing w:val="-2"/>
              </w:rPr>
              <w:t>(36 if CiC)</w:t>
            </w:r>
            <w:r>
              <w:rPr>
                <w:spacing w:val="-2"/>
              </w:rPr>
              <w:t xml:space="preserve"> months of benefit continuation payments </w:t>
            </w:r>
            <w:r>
              <mc:AlternateContent>
                <mc:Choice Requires="wps">
                  <w:drawing>
                    <wp:anchor behindDoc="0" distT="50800" distB="0" distL="0" distR="0" simplePos="0" locked="0" layoutInCell="1" allowOverlap="1" relativeHeight="742">
                      <wp:simplePos x="0" y="0"/>
                      <wp:positionH relativeFrom="column">
                        <wp:align>left</wp:align>
                      </wp:positionH>
                      <wp:positionV relativeFrom="line">
                        <wp:align>top</wp:align>
                      </wp:positionV>
                      <wp:extent cx="101600" cy="350520"/>
                      <wp:effectExtent l="0" t="0" r="0" b="0"/>
                      <wp:wrapSquare wrapText="right"/>
                      <wp:docPr id="843" name="Frame493"/>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527" w:type="dxa"/>
            <w:tcBorders>
              <w:bottom w:val="single" w:sz="2" w:space="0" w:color="4B5088"/>
            </w:tcBorders>
            <w:tcMar>
              <w:bottom w:w="70" w:type="dxa"/>
            </w:tcMar>
            <w:vAlign w:val="center"/>
          </w:tcPr>
          <w:p>
            <w:pPr>
              <w:pStyle w:val="TableContents"/>
              <w:bidi w:val="0"/>
              <w:spacing w:lineRule="atLeast" w:line="180" w:before="0" w:after="0"/>
              <w:ind w:left="160" w:right="0" w:hanging="0"/>
              <w:jc w:val="left"/>
              <w:rPr/>
            </w:pPr>
            <w:r>
              <w:rPr>
                <w:spacing w:val="-2"/>
              </w:rPr>
              <w:t xml:space="preserve">1.0x </w:t>
            </w:r>
            <w:r>
              <w:rPr>
                <w:b/>
                <w:i/>
                <w:spacing w:val="-2"/>
              </w:rPr>
              <w:t>(2x if CiC)</w:t>
            </w:r>
            <w:r>
              <w:rPr>
                <w:spacing w:val="-2"/>
              </w:rPr>
              <w:t xml:space="preserve"> the sum of base salary and average annual bonus for prior two years (Levine) or prior three years (DiLiberto)</w:t>
            </w:r>
            <w:r>
              <w:rPr/>
              <w:t xml:space="preserve"> </w:t>
            </w:r>
            <w:r>
              <mc:AlternateContent>
                <mc:Choice Requires="wps">
                  <w:drawing>
                    <wp:anchor behindDoc="0" distT="0" distB="0" distL="0" distR="0" simplePos="0" locked="0" layoutInCell="1" allowOverlap="1" relativeHeight="743">
                      <wp:simplePos x="0" y="0"/>
                      <wp:positionH relativeFrom="column">
                        <wp:align>left</wp:align>
                      </wp:positionH>
                      <wp:positionV relativeFrom="line">
                        <wp:posOffset>635</wp:posOffset>
                      </wp:positionV>
                      <wp:extent cx="101600" cy="350520"/>
                      <wp:effectExtent l="0" t="0" r="0" b="0"/>
                      <wp:wrapSquare wrapText="right"/>
                      <wp:docPr id="844" name="Frame494"/>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80" w:after="0"/>
              <w:ind w:left="160" w:right="0" w:hanging="0"/>
              <w:jc w:val="left"/>
              <w:rPr/>
            </w:pPr>
            <w:r>
              <w:rPr>
                <w:spacing w:val="-2"/>
              </w:rPr>
              <w:t>The target value of the annual time-based equity awards to be granted in each January remaining in the term, to the extent not yet granted</w:t>
            </w:r>
            <w:r>
              <w:rPr/>
              <w:t xml:space="preserve"> </w:t>
            </w:r>
            <w:r>
              <mc:AlternateContent>
                <mc:Choice Requires="wps">
                  <w:drawing>
                    <wp:anchor behindDoc="0" distT="50800" distB="0" distL="0" distR="0" simplePos="0" locked="0" layoutInCell="1" allowOverlap="1" relativeHeight="744">
                      <wp:simplePos x="0" y="0"/>
                      <wp:positionH relativeFrom="column">
                        <wp:align>left</wp:align>
                      </wp:positionH>
                      <wp:positionV relativeFrom="line">
                        <wp:align>top</wp:align>
                      </wp:positionV>
                      <wp:extent cx="101600" cy="350520"/>
                      <wp:effectExtent l="0" t="0" r="0" b="0"/>
                      <wp:wrapSquare wrapText="right"/>
                      <wp:docPr id="845" name="Frame495"/>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60" w:before="80" w:after="0"/>
              <w:ind w:left="160" w:right="0" w:hanging="0"/>
              <w:jc w:val="left"/>
              <w:rPr/>
            </w:pPr>
            <w:r>
              <w:rPr>
                <w:spacing w:val="-2"/>
              </w:rPr>
              <w:t>Pro-rata bonus for partial year</w:t>
            </w:r>
            <w:r>
              <w:rPr/>
              <w:t xml:space="preserve"> </w:t>
            </w:r>
            <w:r>
              <mc:AlternateContent>
                <mc:Choice Requires="wps">
                  <w:drawing>
                    <wp:anchor behindDoc="0" distT="50800" distB="0" distL="0" distR="0" simplePos="0" locked="0" layoutInCell="1" allowOverlap="1" relativeHeight="745">
                      <wp:simplePos x="0" y="0"/>
                      <wp:positionH relativeFrom="column">
                        <wp:align>left</wp:align>
                      </wp:positionH>
                      <wp:positionV relativeFrom="line">
                        <wp:align>top</wp:align>
                      </wp:positionV>
                      <wp:extent cx="101600" cy="350520"/>
                      <wp:effectExtent l="0" t="0" r="0" b="0"/>
                      <wp:wrapSquare wrapText="right"/>
                      <wp:docPr id="846" name="Frame496"/>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6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6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80" w:after="0"/>
              <w:ind w:left="160" w:right="0" w:hanging="0"/>
              <w:jc w:val="left"/>
              <w:rPr/>
            </w:pPr>
            <w:r>
              <w:rPr>
                <w:spacing w:val="-2"/>
              </w:rPr>
              <w:t>Acceleration of all unvested time-based equity awards</w:t>
            </w:r>
            <w:r>
              <w:rPr/>
              <w:t xml:space="preserve"> </w:t>
            </w:r>
            <w:r>
              <mc:AlternateContent>
                <mc:Choice Requires="wps">
                  <w:drawing>
                    <wp:anchor behindDoc="0" distT="50800" distB="0" distL="0" distR="0" simplePos="0" locked="0" layoutInCell="1" allowOverlap="1" relativeHeight="746">
                      <wp:simplePos x="0" y="0"/>
                      <wp:positionH relativeFrom="column">
                        <wp:align>left</wp:align>
                      </wp:positionH>
                      <wp:positionV relativeFrom="line">
                        <wp:align>top</wp:align>
                      </wp:positionV>
                      <wp:extent cx="101600" cy="350520"/>
                      <wp:effectExtent l="0" t="0" r="0" b="0"/>
                      <wp:wrapSquare wrapText="right"/>
                      <wp:docPr id="847" name="Frame497"/>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80" w:after="0"/>
              <w:ind w:left="160" w:right="0" w:hanging="0"/>
              <w:jc w:val="left"/>
              <w:rPr/>
            </w:pPr>
            <w:r>
              <w:rPr>
                <w:spacing w:val="-2"/>
              </w:rPr>
              <w:t>Class O LTIP unit/option exercise period extended to second January 1st following termination</w:t>
            </w:r>
            <w:r>
              <w:rPr/>
              <w:t xml:space="preserve"> </w:t>
            </w:r>
            <w:r>
              <mc:AlternateContent>
                <mc:Choice Requires="wps">
                  <w:drawing>
                    <wp:anchor behindDoc="0" distT="50800" distB="0" distL="0" distR="0" simplePos="0" locked="0" layoutInCell="1" allowOverlap="1" relativeHeight="747">
                      <wp:simplePos x="0" y="0"/>
                      <wp:positionH relativeFrom="column">
                        <wp:align>left</wp:align>
                      </wp:positionH>
                      <wp:positionV relativeFrom="line">
                        <wp:align>top</wp:align>
                      </wp:positionV>
                      <wp:extent cx="101600" cy="350520"/>
                      <wp:effectExtent l="0" t="0" r="0" b="0"/>
                      <wp:wrapSquare wrapText="right"/>
                      <wp:docPr id="848" name="Frame498"/>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80" w:after="0"/>
              <w:ind w:left="160" w:right="0" w:hanging="0"/>
              <w:jc w:val="left"/>
              <w:rPr/>
            </w:pPr>
            <w:r>
              <w:rPr>
                <w:spacing w:val="-2"/>
              </w:rPr>
              <w:t>Performance-based awards governed by their terms</w:t>
            </w:r>
            <w:r>
              <w:rPr/>
              <w:t xml:space="preserve"> </w:t>
            </w:r>
            <w:r>
              <mc:AlternateContent>
                <mc:Choice Requires="wps">
                  <w:drawing>
                    <wp:anchor behindDoc="0" distT="50800" distB="0" distL="0" distR="0" simplePos="0" locked="0" layoutInCell="1" allowOverlap="1" relativeHeight="748">
                      <wp:simplePos x="0" y="0"/>
                      <wp:positionH relativeFrom="column">
                        <wp:align>left</wp:align>
                      </wp:positionH>
                      <wp:positionV relativeFrom="line">
                        <wp:align>top</wp:align>
                      </wp:positionV>
                      <wp:extent cx="101600" cy="350520"/>
                      <wp:effectExtent l="0" t="0" r="0" b="0"/>
                      <wp:wrapSquare wrapText="right"/>
                      <wp:docPr id="849" name="Frame499"/>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80" w:after="0"/>
              <w:ind w:left="160" w:right="0" w:hanging="0"/>
              <w:jc w:val="left"/>
              <w:rPr/>
            </w:pPr>
            <w:r>
              <w:rPr>
                <w:spacing w:val="-2"/>
              </w:rPr>
              <w:t xml:space="preserve">12 </w:t>
            </w:r>
            <w:r>
              <w:rPr>
                <w:b/>
                <w:i/>
                <w:spacing w:val="-2"/>
              </w:rPr>
              <w:t>(24 if CiC)</w:t>
            </w:r>
            <w:r>
              <w:rPr>
                <w:spacing w:val="-2"/>
              </w:rPr>
              <w:t xml:space="preserve"> months of benefit continuation payments </w:t>
            </w:r>
            <w:r>
              <mc:AlternateContent>
                <mc:Choice Requires="wps">
                  <w:drawing>
                    <wp:anchor behindDoc="0" distT="50800" distB="0" distL="0" distR="0" simplePos="0" locked="0" layoutInCell="1" allowOverlap="1" relativeHeight="749">
                      <wp:simplePos x="0" y="0"/>
                      <wp:positionH relativeFrom="column">
                        <wp:align>left</wp:align>
                      </wp:positionH>
                      <wp:positionV relativeFrom="line">
                        <wp:align>top</wp:align>
                      </wp:positionV>
                      <wp:extent cx="101600" cy="350520"/>
                      <wp:effectExtent l="0" t="0" r="0" b="0"/>
                      <wp:wrapSquare wrapText="right"/>
                      <wp:docPr id="850" name="Frame500"/>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559" w:type="dxa"/>
            <w:tcBorders>
              <w:bottom w:val="single" w:sz="2" w:space="0" w:color="4B5088"/>
            </w:tcBorders>
            <w:tcMar>
              <w:bottom w:w="70" w:type="dxa"/>
            </w:tcMar>
            <w:vAlign w:val="center"/>
          </w:tcPr>
          <w:p>
            <w:pPr>
              <w:pStyle w:val="TableContents"/>
              <w:bidi w:val="0"/>
              <w:spacing w:lineRule="atLeast" w:line="180" w:before="0" w:after="0"/>
              <w:ind w:left="160" w:right="0" w:hanging="0"/>
              <w:jc w:val="left"/>
              <w:rPr/>
            </w:pPr>
            <w:r>
              <w:rPr>
                <w:spacing w:val="-2"/>
              </w:rPr>
              <w:t xml:space="preserve">1.5x </w:t>
            </w:r>
            <w:r>
              <w:rPr>
                <w:b/>
                <w:i/>
                <w:spacing w:val="-2"/>
              </w:rPr>
              <w:t>(2.5x if CiC)</w:t>
            </w:r>
            <w:r>
              <w:rPr>
                <w:spacing w:val="-2"/>
              </w:rPr>
              <w:t xml:space="preserve"> the sum of base salary,average annual bonus for prior two years and 1.0x the target value of annual time-based equity award</w:t>
            </w:r>
            <w:r>
              <w:rPr/>
              <w:t xml:space="preserve"> </w:t>
            </w:r>
            <w:r>
              <mc:AlternateContent>
                <mc:Choice Requires="wps">
                  <w:drawing>
                    <wp:anchor behindDoc="0" distT="0" distB="0" distL="0" distR="0" simplePos="0" locked="0" layoutInCell="1" allowOverlap="1" relativeHeight="750">
                      <wp:simplePos x="0" y="0"/>
                      <wp:positionH relativeFrom="column">
                        <wp:align>left</wp:align>
                      </wp:positionH>
                      <wp:positionV relativeFrom="line">
                        <wp:posOffset>635</wp:posOffset>
                      </wp:positionV>
                      <wp:extent cx="101600" cy="350520"/>
                      <wp:effectExtent l="0" t="0" r="0" b="0"/>
                      <wp:wrapSquare wrapText="right"/>
                      <wp:docPr id="851" name="Frame501"/>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80" w:after="0"/>
              <w:ind w:left="160" w:right="0" w:hanging="0"/>
              <w:jc w:val="left"/>
              <w:rPr/>
            </w:pPr>
            <w:r>
              <w:rPr>
                <w:spacing w:val="-2"/>
              </w:rPr>
              <w:t>Pro-rata bonus and pro-rata portion of target value of annual time-based award for partial year</w:t>
            </w:r>
            <w:r>
              <w:rPr/>
              <w:t xml:space="preserve"> </w:t>
            </w:r>
            <w:r>
              <mc:AlternateContent>
                <mc:Choice Requires="wps">
                  <w:drawing>
                    <wp:anchor behindDoc="0" distT="50800" distB="0" distL="0" distR="0" simplePos="0" locked="0" layoutInCell="1" allowOverlap="1" relativeHeight="751">
                      <wp:simplePos x="0" y="0"/>
                      <wp:positionH relativeFrom="column">
                        <wp:align>left</wp:align>
                      </wp:positionH>
                      <wp:positionV relativeFrom="line">
                        <wp:align>top</wp:align>
                      </wp:positionV>
                      <wp:extent cx="101600" cy="350520"/>
                      <wp:effectExtent l="0" t="0" r="0" b="0"/>
                      <wp:wrapSquare wrapText="right"/>
                      <wp:docPr id="852" name="Frame502"/>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80" w:after="0"/>
              <w:ind w:left="160" w:right="0" w:hanging="0"/>
              <w:jc w:val="left"/>
              <w:rPr/>
            </w:pPr>
            <w:r>
              <w:rPr>
                <w:spacing w:val="-2"/>
              </w:rPr>
              <w:t>Acceleration of all unvested time-based equity awards</w:t>
            </w:r>
            <w:r>
              <w:rPr/>
              <w:t xml:space="preserve"> </w:t>
            </w:r>
            <w:r>
              <mc:AlternateContent>
                <mc:Choice Requires="wps">
                  <w:drawing>
                    <wp:anchor behindDoc="0" distT="50800" distB="0" distL="0" distR="0" simplePos="0" locked="0" layoutInCell="1" allowOverlap="1" relativeHeight="752">
                      <wp:simplePos x="0" y="0"/>
                      <wp:positionH relativeFrom="column">
                        <wp:align>left</wp:align>
                      </wp:positionH>
                      <wp:positionV relativeFrom="line">
                        <wp:align>top</wp:align>
                      </wp:positionV>
                      <wp:extent cx="101600" cy="350520"/>
                      <wp:effectExtent l="0" t="0" r="0" b="0"/>
                      <wp:wrapSquare wrapText="right"/>
                      <wp:docPr id="853" name="Frame503"/>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80" w:after="0"/>
              <w:ind w:left="160" w:right="0" w:hanging="0"/>
              <w:jc w:val="left"/>
              <w:rPr/>
            </w:pPr>
            <w:r>
              <w:rPr>
                <w:spacing w:val="-2"/>
              </w:rPr>
              <w:t>Class O LTIP unit/option exercise period extended to second January 1st following termination</w:t>
            </w:r>
            <w:r>
              <w:rPr/>
              <w:t xml:space="preserve"> </w:t>
            </w:r>
            <w:r>
              <mc:AlternateContent>
                <mc:Choice Requires="wps">
                  <w:drawing>
                    <wp:anchor behindDoc="0" distT="50800" distB="0" distL="0" distR="0" simplePos="0" locked="0" layoutInCell="1" allowOverlap="1" relativeHeight="753">
                      <wp:simplePos x="0" y="0"/>
                      <wp:positionH relativeFrom="column">
                        <wp:align>left</wp:align>
                      </wp:positionH>
                      <wp:positionV relativeFrom="line">
                        <wp:align>top</wp:align>
                      </wp:positionV>
                      <wp:extent cx="101600" cy="350520"/>
                      <wp:effectExtent l="0" t="0" r="0" b="0"/>
                      <wp:wrapSquare wrapText="right"/>
                      <wp:docPr id="854" name="Frame504"/>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80" w:after="0"/>
              <w:ind w:left="160" w:right="0" w:hanging="0"/>
              <w:jc w:val="left"/>
              <w:rPr/>
            </w:pPr>
            <w:r>
              <w:rPr>
                <w:spacing w:val="-2"/>
              </w:rPr>
              <w:t>Performance-based awards governed by their terms</w:t>
            </w:r>
            <w:r>
              <w:rPr/>
              <w:t xml:space="preserve"> </w:t>
            </w:r>
            <w:r>
              <mc:AlternateContent>
                <mc:Choice Requires="wps">
                  <w:drawing>
                    <wp:anchor behindDoc="0" distT="50800" distB="0" distL="0" distR="0" simplePos="0" locked="0" layoutInCell="1" allowOverlap="1" relativeHeight="754">
                      <wp:simplePos x="0" y="0"/>
                      <wp:positionH relativeFrom="column">
                        <wp:align>left</wp:align>
                      </wp:positionH>
                      <wp:positionV relativeFrom="line">
                        <wp:align>top</wp:align>
                      </wp:positionV>
                      <wp:extent cx="101600" cy="350520"/>
                      <wp:effectExtent l="0" t="0" r="0" b="0"/>
                      <wp:wrapSquare wrapText="right"/>
                      <wp:docPr id="855" name="Frame505"/>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80" w:after="0"/>
              <w:ind w:left="160" w:right="0" w:hanging="0"/>
              <w:jc w:val="left"/>
              <w:rPr/>
            </w:pPr>
            <w:r>
              <w:rPr>
                <w:spacing w:val="-2"/>
              </w:rPr>
              <w:t xml:space="preserve">12 </w:t>
            </w:r>
            <w:r>
              <w:rPr>
                <w:b/>
                <w:i/>
                <w:spacing w:val="-2"/>
              </w:rPr>
              <w:t>(24 if CiC)</w:t>
            </w:r>
            <w:r>
              <w:rPr>
                <w:spacing w:val="-2"/>
              </w:rPr>
              <w:t xml:space="preserve"> months of benefit continuation payments</w:t>
            </w:r>
            <w:r>
              <w:rPr/>
              <w:t xml:space="preserve"> </w:t>
            </w:r>
            <w:r>
              <mc:AlternateContent>
                <mc:Choice Requires="wps">
                  <w:drawing>
                    <wp:anchor behindDoc="0" distT="50800" distB="0" distL="0" distR="0" simplePos="0" locked="0" layoutInCell="1" allowOverlap="1" relativeHeight="755">
                      <wp:simplePos x="0" y="0"/>
                      <wp:positionH relativeFrom="column">
                        <wp:align>left</wp:align>
                      </wp:positionH>
                      <wp:positionV relativeFrom="line">
                        <wp:align>top</wp:align>
                      </wp:positionV>
                      <wp:extent cx="101600" cy="350520"/>
                      <wp:effectExtent l="0" t="0" r="0" b="0"/>
                      <wp:wrapSquare wrapText="right"/>
                      <wp:docPr id="856" name="Frame506"/>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6" w:type="dxa"/>
            <w:tcBorders>
              <w:bottom w:val="single" w:sz="2" w:space="0" w:color="FFFFFF"/>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4330" w:type="dxa"/>
        <w:jc w:val="left"/>
        <w:tblInd w:w="900" w:type="dxa"/>
        <w:tblLayout w:type="fixed"/>
        <w:tblCellMar>
          <w:top w:w="0" w:type="dxa"/>
          <w:left w:w="0" w:type="dxa"/>
          <w:bottom w:w="0" w:type="dxa"/>
          <w:right w:w="0" w:type="dxa"/>
        </w:tblCellMar>
      </w:tblPr>
      <w:tblGrid>
        <w:gridCol w:w="124"/>
        <w:gridCol w:w="3488"/>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3488" w:type="dxa"/>
            <w:tcBorders/>
            <w:vAlign w:val="center"/>
          </w:tcPr>
          <w:p>
            <w:pPr>
              <w:pStyle w:val="TableContents"/>
              <w:bidi w:val="0"/>
              <w:spacing w:lineRule="atLeast" w:line="200" w:before="0" w:after="0"/>
              <w:jc w:val="left"/>
              <w:rPr/>
            </w:pPr>
            <w:r>
              <w:rPr>
                <w:spacing w:val="-2"/>
              </w:rPr>
              <w:t>EXECUTIVE COMPENSATION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color w:val="1F2668"/>
                <w:sz w:val="24"/>
              </w:rPr>
            </w:pPr>
            <w:r>
              <w:rPr>
                <w:color w:val="1F2668"/>
                <w:sz w:val="24"/>
              </w:rPr>
              <w:t>73</w:t>
            </w:r>
          </w:p>
        </w:tc>
        <w:tc>
          <w:tcPr>
            <w:tcW w:w="154" w:type="dxa"/>
            <w:tcBorders/>
            <w:vAlign w:val="center"/>
          </w:tcPr>
          <w:p>
            <w:pPr>
              <w:pStyle w:val="TableContents"/>
              <w:bidi w:val="0"/>
              <w:spacing w:before="0" w:after="283"/>
              <w:jc w:val="left"/>
              <w:rPr/>
            </w:pPr>
            <w:r>
              <w:rPr/>
              <w:t>​</w:t>
            </w:r>
          </w:p>
        </w:tc>
      </w:tr>
    </w:tbl>
    <w:tbl>
      <w:tblPr>
        <w:tblW w:w="9305" w:type="dxa"/>
        <w:jc w:val="left"/>
        <w:tblInd w:w="900" w:type="dxa"/>
        <w:tblLayout w:type="fixed"/>
        <w:tblCellMar>
          <w:top w:w="0" w:type="dxa"/>
          <w:left w:w="0" w:type="dxa"/>
          <w:bottom w:w="28" w:type="dxa"/>
          <w:right w:w="0" w:type="dxa"/>
        </w:tblCellMar>
      </w:tblPr>
      <w:tblGrid>
        <w:gridCol w:w="1445"/>
        <w:gridCol w:w="109"/>
        <w:gridCol w:w="109"/>
        <w:gridCol w:w="1496"/>
        <w:gridCol w:w="144"/>
        <w:gridCol w:w="144"/>
        <w:gridCol w:w="1886"/>
        <w:gridCol w:w="144"/>
        <w:gridCol w:w="144"/>
        <w:gridCol w:w="1634"/>
        <w:gridCol w:w="144"/>
        <w:gridCol w:w="144"/>
        <w:gridCol w:w="1605"/>
        <w:gridCol w:w="157"/>
      </w:tblGrid>
      <w:tr>
        <w:trPr/>
        <w:tc>
          <w:tcPr>
            <w:tcW w:w="1445" w:type="dxa"/>
            <w:tcBorders>
              <w:bottom w:val="single" w:sz="2" w:space="0" w:color="1F2668"/>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1496" w:type="dxa"/>
            <w:tcBorders>
              <w:bottom w:val="single" w:sz="2" w:space="0" w:color="1F2668"/>
            </w:tcBorders>
            <w:tcMar>
              <w:bottom w:w="70" w:type="dxa"/>
            </w:tcMar>
            <w:vAlign w:val="center"/>
          </w:tcPr>
          <w:p>
            <w:pPr>
              <w:pStyle w:val="TableContents"/>
              <w:bidi w:val="0"/>
              <w:spacing w:before="0" w:after="0"/>
              <w:jc w:val="left"/>
              <w:rPr>
                <w:spacing w:val="-2"/>
              </w:rPr>
            </w:pPr>
            <w:r>
              <w:rPr>
                <w:spacing w:val="-2"/>
              </w:rPr>
              <w:t xml:space="preserve">Marc Holliday </w:t>
            </w:r>
          </w:p>
        </w:tc>
        <w:tc>
          <w:tcPr>
            <w:tcW w:w="144" w:type="dxa"/>
            <w:tcBorders>
              <w:bottom w:val="single" w:sz="12" w:space="0" w:color="FFFFFF"/>
            </w:tcBorders>
            <w:vAlign w:val="center"/>
          </w:tcPr>
          <w:p>
            <w:pPr>
              <w:pStyle w:val="TableContents"/>
              <w:bidi w:val="0"/>
              <w:spacing w:before="0" w:after="283"/>
              <w:jc w:val="left"/>
              <w:rPr/>
            </w:pPr>
            <w:r>
              <w:rPr/>
              <w:t>​</w:t>
            </w:r>
          </w:p>
        </w:tc>
        <w:tc>
          <w:tcPr>
            <w:tcW w:w="144" w:type="dxa"/>
            <w:tcBorders>
              <w:bottom w:val="single" w:sz="12" w:space="0" w:color="FFFFFF"/>
            </w:tcBorders>
            <w:vAlign w:val="center"/>
          </w:tcPr>
          <w:p>
            <w:pPr>
              <w:pStyle w:val="TableContents"/>
              <w:bidi w:val="0"/>
              <w:spacing w:before="0" w:after="283"/>
              <w:jc w:val="left"/>
              <w:rPr/>
            </w:pPr>
            <w:r>
              <w:rPr/>
              <w:t>​</w:t>
            </w:r>
          </w:p>
        </w:tc>
        <w:tc>
          <w:tcPr>
            <w:tcW w:w="1886" w:type="dxa"/>
            <w:tcBorders>
              <w:bottom w:val="single" w:sz="2" w:space="0" w:color="1F2668"/>
            </w:tcBorders>
            <w:tcMar>
              <w:bottom w:w="70" w:type="dxa"/>
            </w:tcMar>
            <w:vAlign w:val="center"/>
          </w:tcPr>
          <w:p>
            <w:pPr>
              <w:pStyle w:val="TableContents"/>
              <w:bidi w:val="0"/>
              <w:spacing w:before="0" w:after="0"/>
              <w:jc w:val="left"/>
              <w:rPr>
                <w:spacing w:val="-2"/>
              </w:rPr>
            </w:pPr>
            <w:r>
              <w:rPr>
                <w:spacing w:val="-2"/>
              </w:rPr>
              <w:t xml:space="preserve">Matthew J. DiLiberto </w:t>
            </w:r>
          </w:p>
        </w:tc>
        <w:tc>
          <w:tcPr>
            <w:tcW w:w="144" w:type="dxa"/>
            <w:tcBorders>
              <w:bottom w:val="single" w:sz="12" w:space="0" w:color="FFFFFF"/>
            </w:tcBorders>
            <w:vAlign w:val="center"/>
          </w:tcPr>
          <w:p>
            <w:pPr>
              <w:pStyle w:val="TableContents"/>
              <w:bidi w:val="0"/>
              <w:spacing w:before="0" w:after="283"/>
              <w:jc w:val="left"/>
              <w:rPr/>
            </w:pPr>
            <w:r>
              <w:rPr/>
              <w:t>​</w:t>
            </w:r>
          </w:p>
        </w:tc>
        <w:tc>
          <w:tcPr>
            <w:tcW w:w="144" w:type="dxa"/>
            <w:tcBorders>
              <w:bottom w:val="single" w:sz="12" w:space="0" w:color="FFFFFF"/>
            </w:tcBorders>
            <w:vAlign w:val="center"/>
          </w:tcPr>
          <w:p>
            <w:pPr>
              <w:pStyle w:val="TableContents"/>
              <w:bidi w:val="0"/>
              <w:spacing w:before="0" w:after="283"/>
              <w:jc w:val="left"/>
              <w:rPr/>
            </w:pPr>
            <w:r>
              <w:rPr/>
              <w:t>​</w:t>
            </w:r>
          </w:p>
        </w:tc>
        <w:tc>
          <w:tcPr>
            <w:tcW w:w="1634" w:type="dxa"/>
            <w:tcBorders>
              <w:bottom w:val="single" w:sz="2" w:space="0" w:color="1F2668"/>
            </w:tcBorders>
            <w:tcMar>
              <w:bottom w:w="70" w:type="dxa"/>
            </w:tcMar>
            <w:vAlign w:val="center"/>
          </w:tcPr>
          <w:p>
            <w:pPr>
              <w:pStyle w:val="TableContents"/>
              <w:bidi w:val="0"/>
              <w:spacing w:before="0" w:after="0"/>
              <w:jc w:val="left"/>
              <w:rPr>
                <w:spacing w:val="-2"/>
              </w:rPr>
            </w:pPr>
            <w:r>
              <w:rPr>
                <w:spacing w:val="-2"/>
              </w:rPr>
              <w:t xml:space="preserve">Andrew S. Levine </w:t>
            </w:r>
          </w:p>
        </w:tc>
        <w:tc>
          <w:tcPr>
            <w:tcW w:w="144" w:type="dxa"/>
            <w:tcBorders>
              <w:bottom w:val="single" w:sz="12" w:space="0" w:color="FFFFFF"/>
            </w:tcBorders>
            <w:vAlign w:val="center"/>
          </w:tcPr>
          <w:p>
            <w:pPr>
              <w:pStyle w:val="TableContents"/>
              <w:bidi w:val="0"/>
              <w:spacing w:before="0" w:after="283"/>
              <w:jc w:val="left"/>
              <w:rPr/>
            </w:pPr>
            <w:r>
              <w:rPr/>
              <w:t>​</w:t>
            </w:r>
          </w:p>
        </w:tc>
        <w:tc>
          <w:tcPr>
            <w:tcW w:w="144" w:type="dxa"/>
            <w:tcBorders>
              <w:bottom w:val="single" w:sz="12" w:space="0" w:color="FFFFFF"/>
            </w:tcBorders>
            <w:vAlign w:val="center"/>
          </w:tcPr>
          <w:p>
            <w:pPr>
              <w:pStyle w:val="TableContents"/>
              <w:bidi w:val="0"/>
              <w:spacing w:before="0" w:after="283"/>
              <w:jc w:val="left"/>
              <w:rPr/>
            </w:pPr>
            <w:r>
              <w:rPr/>
              <w:t>​</w:t>
            </w:r>
          </w:p>
        </w:tc>
        <w:tc>
          <w:tcPr>
            <w:tcW w:w="1605" w:type="dxa"/>
            <w:tcBorders>
              <w:bottom w:val="single" w:sz="2" w:space="0" w:color="1F2668"/>
            </w:tcBorders>
            <w:tcMar>
              <w:bottom w:w="70" w:type="dxa"/>
            </w:tcMar>
            <w:vAlign w:val="center"/>
          </w:tcPr>
          <w:p>
            <w:pPr>
              <w:pStyle w:val="TableContents"/>
              <w:bidi w:val="0"/>
              <w:spacing w:before="0" w:after="0"/>
              <w:jc w:val="left"/>
              <w:rPr>
                <w:spacing w:val="-2"/>
              </w:rPr>
            </w:pPr>
            <w:r>
              <w:rPr>
                <w:spacing w:val="-2"/>
              </w:rPr>
              <w:t xml:space="preserve">Harrison Sitomer </w:t>
            </w:r>
          </w:p>
        </w:tc>
        <w:tc>
          <w:tcPr>
            <w:tcW w:w="157" w:type="dxa"/>
            <w:tcBorders>
              <w:bottom w:val="single" w:sz="12" w:space="0" w:color="FFFFFF"/>
            </w:tcBorders>
            <w:vAlign w:val="center"/>
          </w:tcPr>
          <w:p>
            <w:pPr>
              <w:pStyle w:val="TableContents"/>
              <w:bidi w:val="0"/>
              <w:spacing w:before="0" w:after="283"/>
              <w:jc w:val="left"/>
              <w:rPr/>
            </w:pPr>
            <w:r>
              <w:rPr/>
              <w:t>​</w:t>
            </w:r>
          </w:p>
        </w:tc>
      </w:tr>
      <w:tr>
        <w:trPr/>
        <w:tc>
          <w:tcPr>
            <w:tcW w:w="1445" w:type="dxa"/>
            <w:tcBorders/>
            <w:tcMar>
              <w:bottom w:w="0" w:type="dxa"/>
            </w:tcMar>
            <w:vAlign w:val="center"/>
          </w:tcPr>
          <w:p>
            <w:pPr>
              <w:pStyle w:val="TableContents"/>
              <w:bidi w:val="0"/>
              <w:spacing w:lineRule="atLeast" w:line="180" w:before="0" w:after="0"/>
              <w:jc w:val="left"/>
              <w:rPr>
                <w:b/>
                <w:color w:val="1F2668"/>
              </w:rPr>
            </w:pPr>
            <w:r>
              <w:rPr>
                <w:b/>
                <w:color w:val="1F2668"/>
                <w:spacing w:val="-2"/>
              </w:rPr>
              <w:t>Death / (Disability)</w:t>
            </w:r>
            <w:r>
              <w:rPr>
                <w:b/>
                <w:color w:val="1F2668"/>
                <w:spacing w:val="-1"/>
                <w:sz w:val="10"/>
              </w:rPr>
              <w:t>(6)</w:t>
            </w:r>
            <w:r>
              <w:rPr>
                <w:b/>
                <w:color w:val="1F2668"/>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485" w:type="dxa"/>
            <w:gridSpan w:val="10"/>
            <w:tcBorders>
              <w:bottom w:val="single" w:sz="2" w:space="0" w:color="4B5088"/>
            </w:tcBorders>
            <w:tcMar>
              <w:bottom w:w="70" w:type="dxa"/>
            </w:tcMar>
            <w:vAlign w:val="center"/>
          </w:tcPr>
          <w:p>
            <w:pPr>
              <w:pStyle w:val="TableContents"/>
              <w:bidi w:val="0"/>
              <w:spacing w:lineRule="atLeast" w:line="180" w:before="0" w:after="0"/>
              <w:jc w:val="left"/>
              <w:rPr/>
            </w:pPr>
            <w:r>
              <w:rPr>
                <w:spacing w:val="-2"/>
              </w:rPr>
              <w:t xml:space="preserve">If the executive’s employment is terminated by us upon death or disability during the term, the executive will be entitled to all of the following payments or benefits, plus additional benefits in the case of disability, subject </w:t>
            </w:r>
            <w:r>
              <w:rPr>
                <w:b/>
                <w:i/>
                <w:spacing w:val="-2"/>
              </w:rPr>
              <w:t>(in the case of disability)</w:t>
            </w:r>
            <w:r>
              <w:rPr>
                <w:spacing w:val="-2"/>
              </w:rPr>
              <w:t xml:space="preserve"> to the effectiveness of a mutual release.</w:t>
            </w:r>
            <w:r>
              <w:rPr/>
              <w:t xml:space="preserve"> </w:t>
            </w:r>
          </w:p>
        </w:tc>
        <w:tc>
          <w:tcPr>
            <w:tcW w:w="157" w:type="dxa"/>
            <w:tcBorders>
              <w:bottom w:val="single" w:sz="2" w:space="0" w:color="FFFFFF"/>
            </w:tcBorders>
            <w:vAlign w:val="center"/>
          </w:tcPr>
          <w:p>
            <w:pPr>
              <w:pStyle w:val="TableContents"/>
              <w:bidi w:val="0"/>
              <w:spacing w:before="0" w:after="283"/>
              <w:jc w:val="left"/>
              <w:rPr/>
            </w:pPr>
            <w:r>
              <w:rPr/>
              <w:t>​</w:t>
            </w:r>
          </w:p>
        </w:tc>
      </w:tr>
    </w:tbl>
    <w:tbl>
      <w:tblPr>
        <w:tblW w:w="9305" w:type="dxa"/>
        <w:jc w:val="left"/>
        <w:tblInd w:w="900" w:type="dxa"/>
        <w:tblLayout w:type="fixed"/>
        <w:tblCellMar>
          <w:top w:w="0" w:type="dxa"/>
          <w:left w:w="0" w:type="dxa"/>
          <w:bottom w:w="28" w:type="dxa"/>
          <w:right w:w="0" w:type="dxa"/>
        </w:tblCellMar>
      </w:tblPr>
      <w:tblGrid>
        <w:gridCol w:w="124"/>
        <w:gridCol w:w="109"/>
        <w:gridCol w:w="109"/>
        <w:gridCol w:w="109"/>
        <w:gridCol w:w="2708"/>
        <w:gridCol w:w="109"/>
        <w:gridCol w:w="109"/>
        <w:gridCol w:w="2655"/>
        <w:gridCol w:w="109"/>
        <w:gridCol w:w="109"/>
        <w:gridCol w:w="2900"/>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4B5088"/>
            </w:tcBorders>
            <w:tcMar>
              <w:bottom w:w="90" w:type="dxa"/>
            </w:tcM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708" w:type="dxa"/>
            <w:tcBorders>
              <w:bottom w:val="single" w:sz="2" w:space="0" w:color="4B5088"/>
            </w:tcBorders>
            <w:tcMar>
              <w:bottom w:w="90" w:type="dxa"/>
            </w:tcMar>
            <w:vAlign w:val="center"/>
          </w:tcPr>
          <w:p>
            <w:pPr>
              <w:pStyle w:val="TableContents"/>
              <w:bidi w:val="0"/>
              <w:spacing w:lineRule="atLeast" w:line="180" w:before="0" w:after="0"/>
              <w:jc w:val="left"/>
              <w:rPr/>
            </w:pPr>
            <w:r>
              <w:rPr>
                <w:b/>
                <w:i/>
                <w:spacing w:val="-2"/>
              </w:rPr>
              <w:t>(If Disability: 1x the sum of base salary, average annual bonus for prior two years and target value of annual time-based equity award)</w:t>
            </w:r>
            <w:r>
              <w:rPr>
                <w:bCs/>
                <w:iCs/>
                <w:spacing w:val="-2"/>
              </w:rPr>
              <w:t>﻿</w:t>
            </w:r>
            <w:r>
              <w:rPr>
                <w:bCs/>
                <w:iCs/>
              </w:rPr>
              <w:t xml:space="preserve"> </w:t>
            </w:r>
          </w:p>
          <w:p>
            <w:pPr>
              <w:pStyle w:val="TableContents"/>
              <w:bidi w:val="0"/>
              <w:spacing w:lineRule="atLeast" w:line="160" w:before="80" w:after="0"/>
              <w:ind w:left="160" w:right="0" w:hanging="0"/>
              <w:jc w:val="left"/>
              <w:rPr/>
            </w:pPr>
            <w:r>
              <w:rPr>
                <w:spacing w:val="-2"/>
              </w:rPr>
              <w:t>Pro-rata bonus for partial year</w:t>
            </w:r>
            <w:r>
              <w:rPr/>
              <w:t xml:space="preserve"> </w:t>
            </w:r>
            <w:r>
              <mc:AlternateContent>
                <mc:Choice Requires="wps">
                  <w:drawing>
                    <wp:anchor behindDoc="0" distT="50800" distB="0" distL="0" distR="0" simplePos="0" locked="0" layoutInCell="1" allowOverlap="1" relativeHeight="756">
                      <wp:simplePos x="0" y="0"/>
                      <wp:positionH relativeFrom="column">
                        <wp:align>left</wp:align>
                      </wp:positionH>
                      <wp:positionV relativeFrom="line">
                        <wp:align>top</wp:align>
                      </wp:positionV>
                      <wp:extent cx="101600" cy="350520"/>
                      <wp:effectExtent l="0" t="0" r="0" b="0"/>
                      <wp:wrapSquare wrapText="right"/>
                      <wp:docPr id="857" name="Frame507"/>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6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6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80" w:after="0"/>
              <w:ind w:left="160" w:right="0" w:hanging="0"/>
              <w:jc w:val="left"/>
              <w:rPr>
                <w:spacing w:val="-2"/>
              </w:rPr>
            </w:pPr>
            <w:r>
              <w:rPr>
                <w:spacing w:val="-2"/>
              </w:rPr>
              <w:t xml:space="preserve">Acceleration of all unvested equity awards (other than performance-based awards) </w:t>
            </w:r>
            <w:r>
              <mc:AlternateContent>
                <mc:Choice Requires="wps">
                  <w:drawing>
                    <wp:anchor behindDoc="0" distT="50800" distB="0" distL="0" distR="0" simplePos="0" locked="0" layoutInCell="1" allowOverlap="1" relativeHeight="757">
                      <wp:simplePos x="0" y="0"/>
                      <wp:positionH relativeFrom="column">
                        <wp:align>left</wp:align>
                      </wp:positionH>
                      <wp:positionV relativeFrom="line">
                        <wp:align>top</wp:align>
                      </wp:positionV>
                      <wp:extent cx="101600" cy="350520"/>
                      <wp:effectExtent l="0" t="0" r="0" b="0"/>
                      <wp:wrapSquare wrapText="right"/>
                      <wp:docPr id="858" name="Frame508"/>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80" w:after="0"/>
              <w:ind w:left="160" w:right="0" w:hanging="0"/>
              <w:jc w:val="left"/>
              <w:rPr/>
            </w:pPr>
            <w:r>
              <w:rPr>
                <w:spacing w:val="-2"/>
              </w:rPr>
              <w:t>Class O LTIP unit/option exercise period extended to second January 1st following termination</w:t>
            </w:r>
            <w:r>
              <w:rPr/>
              <w:t xml:space="preserve"> </w:t>
            </w:r>
            <w:r>
              <mc:AlternateContent>
                <mc:Choice Requires="wps">
                  <w:drawing>
                    <wp:anchor behindDoc="0" distT="50800" distB="0" distL="0" distR="0" simplePos="0" locked="0" layoutInCell="1" allowOverlap="1" relativeHeight="758">
                      <wp:simplePos x="0" y="0"/>
                      <wp:positionH relativeFrom="column">
                        <wp:align>left</wp:align>
                      </wp:positionH>
                      <wp:positionV relativeFrom="line">
                        <wp:align>top</wp:align>
                      </wp:positionV>
                      <wp:extent cx="101600" cy="350520"/>
                      <wp:effectExtent l="0" t="0" r="0" b="0"/>
                      <wp:wrapSquare wrapText="right"/>
                      <wp:docPr id="859" name="Frame509"/>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80" w:after="0"/>
              <w:ind w:left="160" w:right="0" w:hanging="0"/>
              <w:jc w:val="left"/>
              <w:rPr/>
            </w:pPr>
            <w:r>
              <w:rPr>
                <w:spacing w:val="-2"/>
              </w:rPr>
              <w:t>Payments/benefits to Mr. Holliday are reduced by life insurance benefit</w:t>
            </w:r>
            <w:r>
              <w:rPr/>
              <w:t xml:space="preserve"> </w:t>
            </w:r>
            <w:r>
              <mc:AlternateContent>
                <mc:Choice Requires="wps">
                  <w:drawing>
                    <wp:anchor behindDoc="0" distT="50800" distB="0" distL="0" distR="0" simplePos="0" locked="0" layoutInCell="1" allowOverlap="1" relativeHeight="759">
                      <wp:simplePos x="0" y="0"/>
                      <wp:positionH relativeFrom="column">
                        <wp:align>left</wp:align>
                      </wp:positionH>
                      <wp:positionV relativeFrom="line">
                        <wp:align>top</wp:align>
                      </wp:positionV>
                      <wp:extent cx="101600" cy="350520"/>
                      <wp:effectExtent l="0" t="0" r="0" b="0"/>
                      <wp:wrapSquare wrapText="right"/>
                      <wp:docPr id="860" name="Frame510"/>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80" w:after="0"/>
              <w:ind w:left="160" w:right="0" w:hanging="0"/>
              <w:jc w:val="left"/>
              <w:rPr>
                <w:spacing w:val="-2"/>
              </w:rPr>
            </w:pPr>
            <w:r>
              <w:rPr>
                <w:spacing w:val="-2"/>
              </w:rPr>
              <w:t xml:space="preserve">Performance-based awards governed by their terms </w:t>
            </w:r>
            <w:r>
              <mc:AlternateContent>
                <mc:Choice Requires="wps">
                  <w:drawing>
                    <wp:anchor behindDoc="0" distT="50800" distB="0" distL="0" distR="0" simplePos="0" locked="0" layoutInCell="1" allowOverlap="1" relativeHeight="760">
                      <wp:simplePos x="0" y="0"/>
                      <wp:positionH relativeFrom="column">
                        <wp:align>left</wp:align>
                      </wp:positionH>
                      <wp:positionV relativeFrom="line">
                        <wp:align>top</wp:align>
                      </wp:positionV>
                      <wp:extent cx="101600" cy="350520"/>
                      <wp:effectExtent l="0" t="0" r="0" b="0"/>
                      <wp:wrapSquare wrapText="right"/>
                      <wp:docPr id="861" name="Frame511"/>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80" w:after="0"/>
              <w:ind w:left="160" w:right="0" w:hanging="0"/>
              <w:jc w:val="left"/>
              <w:rPr>
                <w:b/>
                <w:i/>
              </w:rPr>
            </w:pPr>
            <w:r>
              <w:rPr>
                <w:b/>
                <w:i/>
                <w:spacing w:val="-2"/>
              </w:rPr>
              <w:t>(If Disability: 36 months of benefit continuation/</w:t>
            </w:r>
            <w:r>
              <w:rPr>
                <w:b/>
                <w:i/>
              </w:rPr>
              <w:t>​</w:t>
            </w:r>
            <w:r>
              <w:rPr>
                <w:b/>
                <w:i/>
                <w:spacing w:val="-2"/>
              </w:rPr>
              <w:t>payments)</w:t>
            </w:r>
            <w:r>
              <mc:AlternateContent>
                <mc:Choice Requires="wps">
                  <w:drawing>
                    <wp:anchor behindDoc="0" distT="50800" distB="0" distL="0" distR="0" simplePos="0" locked="0" layoutInCell="1" allowOverlap="1" relativeHeight="761">
                      <wp:simplePos x="0" y="0"/>
                      <wp:positionH relativeFrom="column">
                        <wp:align>left</wp:align>
                      </wp:positionH>
                      <wp:positionV relativeFrom="line">
                        <wp:align>top</wp:align>
                      </wp:positionV>
                      <wp:extent cx="101600" cy="350520"/>
                      <wp:effectExtent l="0" t="0" r="0" b="0"/>
                      <wp:wrapSquare wrapText="right"/>
                      <wp:docPr id="862" name="Frame512"/>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80" w:before="0" w:after="283"/>
                                    <w:jc w:val="left"/>
                                    <w:rPr/>
                                  </w:pPr>
                                  <w:r>
                                    <w:rPr>
                                      <w:caps w:val="false"/>
                                      <w:smallCaps w:val="false"/>
                                      <w:spacing w:val="-2"/>
                                    </w:rPr>
                                    <w:t>•</w:t>
                                  </w:r>
                                  <w:r>
                                    <w:rPr/>
                                    <w:t xml:space="preserve"> </w:t>
                                  </w:r>
                                  <w:r>
                                    <w:rPr>
                                      <w:b/>
                                      <w:i/>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pPr>
                            <w:r>
                              <w:rPr>
                                <w:caps w:val="false"/>
                                <w:smallCaps w:val="false"/>
                                <w:spacing w:val="-2"/>
                              </w:rPr>
                              <w:t>•</w:t>
                            </w:r>
                            <w:r>
                              <w:rPr/>
                              <w:t xml:space="preserve"> </w:t>
                            </w:r>
                            <w:r>
                              <w:rPr>
                                <w:b/>
                                <w:i/>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655" w:type="dxa"/>
            <w:tcBorders>
              <w:bottom w:val="single" w:sz="2" w:space="0" w:color="4B5088"/>
            </w:tcBorders>
            <w:tcMar>
              <w:bottom w:w="90" w:type="dxa"/>
            </w:tcMar>
            <w:vAlign w:val="center"/>
          </w:tcPr>
          <w:p>
            <w:pPr>
              <w:pStyle w:val="TableContents"/>
              <w:bidi w:val="0"/>
              <w:spacing w:lineRule="atLeast" w:line="180" w:before="0" w:after="0"/>
              <w:jc w:val="left"/>
              <w:rPr>
                <w:b/>
                <w:i/>
              </w:rPr>
            </w:pPr>
            <w:r>
              <w:rPr>
                <w:b/>
                <w:i/>
                <w:spacing w:val="-2"/>
              </w:rPr>
              <w:t>(If Disability: 1x the sum of base salary and average annual bonus for prior two years (Levine) or prior three years (DiLiberto))</w:t>
            </w:r>
            <w:r>
              <w:rPr>
                <w:b/>
                <w:i/>
              </w:rPr>
              <w:t xml:space="preserve"> </w:t>
            </w:r>
          </w:p>
          <w:p>
            <w:pPr>
              <w:pStyle w:val="TableContents"/>
              <w:bidi w:val="0"/>
              <w:spacing w:lineRule="atLeast" w:line="160" w:before="80" w:after="0"/>
              <w:ind w:left="160" w:right="0" w:hanging="0"/>
              <w:jc w:val="left"/>
              <w:rPr/>
            </w:pPr>
            <w:r>
              <w:rPr>
                <w:spacing w:val="-2"/>
              </w:rPr>
              <w:t>Pro-rata bonus for partial year</w:t>
            </w:r>
            <w:r>
              <w:rPr/>
              <w:t xml:space="preserve"> </w:t>
            </w:r>
            <w:r>
              <mc:AlternateContent>
                <mc:Choice Requires="wps">
                  <w:drawing>
                    <wp:anchor behindDoc="0" distT="50800" distB="0" distL="0" distR="0" simplePos="0" locked="0" layoutInCell="1" allowOverlap="1" relativeHeight="762">
                      <wp:simplePos x="0" y="0"/>
                      <wp:positionH relativeFrom="column">
                        <wp:align>left</wp:align>
                      </wp:positionH>
                      <wp:positionV relativeFrom="line">
                        <wp:align>top</wp:align>
                      </wp:positionV>
                      <wp:extent cx="101600" cy="350520"/>
                      <wp:effectExtent l="0" t="0" r="0" b="0"/>
                      <wp:wrapSquare wrapText="right"/>
                      <wp:docPr id="863" name="Frame513"/>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6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6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80" w:after="0"/>
              <w:ind w:left="160" w:right="0" w:hanging="0"/>
              <w:jc w:val="left"/>
              <w:rPr/>
            </w:pPr>
            <w:r>
              <w:rPr>
                <w:spacing w:val="-2"/>
              </w:rPr>
              <w:t>Pro-rated target value of the annual time-based equity awards (upon termination prior to final annual time-based grant)</w:t>
            </w:r>
            <w:r>
              <w:rPr/>
              <w:t xml:space="preserve"> </w:t>
            </w:r>
            <w:r>
              <mc:AlternateContent>
                <mc:Choice Requires="wps">
                  <w:drawing>
                    <wp:anchor behindDoc="0" distT="50800" distB="0" distL="0" distR="0" simplePos="0" locked="0" layoutInCell="1" allowOverlap="1" relativeHeight="763">
                      <wp:simplePos x="0" y="0"/>
                      <wp:positionH relativeFrom="column">
                        <wp:align>left</wp:align>
                      </wp:positionH>
                      <wp:positionV relativeFrom="line">
                        <wp:align>top</wp:align>
                      </wp:positionV>
                      <wp:extent cx="101600" cy="350520"/>
                      <wp:effectExtent l="0" t="0" r="0" b="0"/>
                      <wp:wrapSquare wrapText="right"/>
                      <wp:docPr id="864" name="Frame514"/>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80" w:after="0"/>
              <w:ind w:left="160" w:right="0" w:hanging="0"/>
              <w:jc w:val="left"/>
              <w:rPr/>
            </w:pPr>
            <w:r>
              <w:rPr>
                <w:spacing w:val="-2"/>
              </w:rPr>
              <w:t>Acceleration of all unvested equity awards (other than performance-based awards)</w:t>
            </w:r>
            <w:r>
              <w:rPr/>
              <w:t xml:space="preserve"> </w:t>
            </w:r>
            <w:r>
              <mc:AlternateContent>
                <mc:Choice Requires="wps">
                  <w:drawing>
                    <wp:anchor behindDoc="0" distT="50800" distB="0" distL="0" distR="0" simplePos="0" locked="0" layoutInCell="1" allowOverlap="1" relativeHeight="764">
                      <wp:simplePos x="0" y="0"/>
                      <wp:positionH relativeFrom="column">
                        <wp:align>left</wp:align>
                      </wp:positionH>
                      <wp:positionV relativeFrom="line">
                        <wp:align>top</wp:align>
                      </wp:positionV>
                      <wp:extent cx="101600" cy="350520"/>
                      <wp:effectExtent l="0" t="0" r="0" b="0"/>
                      <wp:wrapSquare wrapText="right"/>
                      <wp:docPr id="865" name="Frame515"/>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80" w:after="0"/>
              <w:ind w:left="160" w:right="0" w:hanging="0"/>
              <w:jc w:val="left"/>
              <w:rPr/>
            </w:pPr>
            <w:r>
              <w:rPr>
                <w:spacing w:val="-2"/>
              </w:rPr>
              <w:t>Class O LTIP unit/</w:t>
            </w:r>
            <w:r>
              <w:rPr/>
              <w:t>​</w:t>
            </w:r>
            <w:r>
              <w:rPr>
                <w:spacing w:val="-2"/>
              </w:rPr>
              <w:t>option exercise period extended to second January 1st following termination</w:t>
            </w:r>
            <w:r>
              <mc:AlternateContent>
                <mc:Choice Requires="wps">
                  <w:drawing>
                    <wp:anchor behindDoc="0" distT="50800" distB="0" distL="0" distR="0" simplePos="0" locked="0" layoutInCell="1" allowOverlap="1" relativeHeight="765">
                      <wp:simplePos x="0" y="0"/>
                      <wp:positionH relativeFrom="column">
                        <wp:align>left</wp:align>
                      </wp:positionH>
                      <wp:positionV relativeFrom="line">
                        <wp:align>top</wp:align>
                      </wp:positionV>
                      <wp:extent cx="101600" cy="350520"/>
                      <wp:effectExtent l="0" t="0" r="0" b="0"/>
                      <wp:wrapSquare wrapText="right"/>
                      <wp:docPr id="866" name="Frame516"/>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80" w:after="0"/>
              <w:ind w:left="160" w:right="0" w:hanging="0"/>
              <w:jc w:val="left"/>
              <w:rPr/>
            </w:pPr>
            <w:r>
              <w:rPr>
                <w:spacing w:val="-2"/>
              </w:rPr>
              <w:t>Performance-based awards governed by their terms</w:t>
            </w:r>
            <w:r>
              <w:rPr/>
              <w:t xml:space="preserve"> </w:t>
            </w:r>
            <w:r>
              <mc:AlternateContent>
                <mc:Choice Requires="wps">
                  <w:drawing>
                    <wp:anchor behindDoc="0" distT="50800" distB="0" distL="0" distR="0" simplePos="0" locked="0" layoutInCell="1" allowOverlap="1" relativeHeight="766">
                      <wp:simplePos x="0" y="0"/>
                      <wp:positionH relativeFrom="column">
                        <wp:align>left</wp:align>
                      </wp:positionH>
                      <wp:positionV relativeFrom="line">
                        <wp:align>top</wp:align>
                      </wp:positionV>
                      <wp:extent cx="101600" cy="350520"/>
                      <wp:effectExtent l="0" t="0" r="0" b="0"/>
                      <wp:wrapSquare wrapText="right"/>
                      <wp:docPr id="867" name="Frame517"/>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80" w:after="0"/>
              <w:ind w:left="160" w:right="0" w:hanging="0"/>
              <w:jc w:val="left"/>
              <w:rPr>
                <w:b/>
                <w:i/>
              </w:rPr>
            </w:pPr>
            <w:r>
              <w:rPr>
                <w:b/>
                <w:i/>
                <w:spacing w:val="-2"/>
              </w:rPr>
              <w:t>(If Disability: 36 months of benefit continuation/</w:t>
            </w:r>
            <w:r>
              <w:rPr>
                <w:b/>
                <w:i/>
              </w:rPr>
              <w:t>​</w:t>
            </w:r>
            <w:r>
              <w:rPr>
                <w:b/>
                <w:i/>
                <w:spacing w:val="-2"/>
              </w:rPr>
              <w:t>payments)</w:t>
            </w:r>
            <w:r>
              <mc:AlternateContent>
                <mc:Choice Requires="wps">
                  <w:drawing>
                    <wp:anchor behindDoc="0" distT="50800" distB="0" distL="0" distR="0" simplePos="0" locked="0" layoutInCell="1" allowOverlap="1" relativeHeight="767">
                      <wp:simplePos x="0" y="0"/>
                      <wp:positionH relativeFrom="column">
                        <wp:align>left</wp:align>
                      </wp:positionH>
                      <wp:positionV relativeFrom="line">
                        <wp:align>top</wp:align>
                      </wp:positionV>
                      <wp:extent cx="101600" cy="350520"/>
                      <wp:effectExtent l="0" t="0" r="0" b="0"/>
                      <wp:wrapSquare wrapText="right"/>
                      <wp:docPr id="868" name="Frame518"/>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80" w:before="0" w:after="283"/>
                                    <w:jc w:val="left"/>
                                    <w:rPr/>
                                  </w:pPr>
                                  <w:r>
                                    <w:rPr>
                                      <w:caps w:val="false"/>
                                      <w:smallCaps w:val="false"/>
                                      <w:spacing w:val="-2"/>
                                    </w:rPr>
                                    <w:t>•</w:t>
                                  </w:r>
                                  <w:r>
                                    <w:rPr/>
                                    <w:t xml:space="preserve"> </w:t>
                                  </w:r>
                                  <w:r>
                                    <w:rPr>
                                      <w:b/>
                                      <w:i/>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pPr>
                            <w:r>
                              <w:rPr>
                                <w:caps w:val="false"/>
                                <w:smallCaps w:val="false"/>
                                <w:spacing w:val="-2"/>
                              </w:rPr>
                              <w:t>•</w:t>
                            </w:r>
                            <w:r>
                              <w:rPr/>
                              <w:t xml:space="preserve"> </w:t>
                            </w:r>
                            <w:r>
                              <w:rPr>
                                <w:b/>
                                <w:i/>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900" w:type="dxa"/>
            <w:tcBorders>
              <w:bottom w:val="single" w:sz="2" w:space="0" w:color="4B5088"/>
            </w:tcBorders>
            <w:tcMar>
              <w:bottom w:w="90" w:type="dxa"/>
            </w:tcMar>
            <w:vAlign w:val="center"/>
          </w:tcPr>
          <w:p>
            <w:pPr>
              <w:pStyle w:val="TableContents"/>
              <w:bidi w:val="0"/>
              <w:spacing w:lineRule="atLeast" w:line="180" w:before="0" w:after="0"/>
              <w:jc w:val="left"/>
              <w:rPr>
                <w:b/>
                <w:i/>
              </w:rPr>
            </w:pPr>
            <w:r>
              <w:rPr>
                <w:b/>
                <w:i/>
                <w:spacing w:val="-2"/>
              </w:rPr>
              <w:t>(If Disability: 1x the sum of base salary, average annual bonus for prior two years and target value of annual time-based equity award)</w:t>
            </w:r>
            <w:r>
              <w:rPr>
                <w:b/>
                <w:i/>
              </w:rPr>
              <w:t xml:space="preserve"> </w:t>
            </w:r>
          </w:p>
          <w:p>
            <w:pPr>
              <w:pStyle w:val="TableContents"/>
              <w:bidi w:val="0"/>
              <w:spacing w:lineRule="atLeast" w:line="160" w:before="80" w:after="0"/>
              <w:ind w:left="160" w:right="0" w:hanging="0"/>
              <w:jc w:val="left"/>
              <w:rPr/>
            </w:pPr>
            <w:r>
              <w:rPr>
                <w:spacing w:val="-2"/>
              </w:rPr>
              <w:t>Pro-rata bonus for partial year</w:t>
            </w:r>
            <w:r>
              <w:rPr/>
              <w:t xml:space="preserve"> </w:t>
            </w:r>
            <w:r>
              <mc:AlternateContent>
                <mc:Choice Requires="wps">
                  <w:drawing>
                    <wp:anchor behindDoc="0" distT="50800" distB="0" distL="0" distR="0" simplePos="0" locked="0" layoutInCell="1" allowOverlap="1" relativeHeight="769">
                      <wp:simplePos x="0" y="0"/>
                      <wp:positionH relativeFrom="column">
                        <wp:align>left</wp:align>
                      </wp:positionH>
                      <wp:positionV relativeFrom="line">
                        <wp:align>top</wp:align>
                      </wp:positionV>
                      <wp:extent cx="101600" cy="350520"/>
                      <wp:effectExtent l="0" t="0" r="0" b="0"/>
                      <wp:wrapSquare wrapText="right"/>
                      <wp:docPr id="869" name="Frame519"/>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6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6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80" w:after="0"/>
              <w:ind w:left="160" w:right="0" w:hanging="0"/>
              <w:jc w:val="left"/>
              <w:rPr/>
            </w:pPr>
            <w:r>
              <w:rPr>
                <w:spacing w:val="-2"/>
              </w:rPr>
              <w:t>Acceleration of all unvested equity awards (other than performance-based awards)</w:t>
            </w:r>
            <w:r>
              <w:rPr/>
              <w:t xml:space="preserve"> </w:t>
            </w:r>
            <w:r>
              <mc:AlternateContent>
                <mc:Choice Requires="wps">
                  <w:drawing>
                    <wp:anchor behindDoc="0" distT="50800" distB="0" distL="0" distR="0" simplePos="0" locked="0" layoutInCell="1" allowOverlap="1" relativeHeight="770">
                      <wp:simplePos x="0" y="0"/>
                      <wp:positionH relativeFrom="column">
                        <wp:align>left</wp:align>
                      </wp:positionH>
                      <wp:positionV relativeFrom="line">
                        <wp:align>top</wp:align>
                      </wp:positionV>
                      <wp:extent cx="101600" cy="350520"/>
                      <wp:effectExtent l="0" t="0" r="0" b="0"/>
                      <wp:wrapSquare wrapText="right"/>
                      <wp:docPr id="870" name="Frame520"/>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80" w:after="0"/>
              <w:ind w:left="160" w:right="0" w:hanging="0"/>
              <w:jc w:val="left"/>
              <w:rPr/>
            </w:pPr>
            <w:r>
              <w:rPr>
                <w:spacing w:val="-2"/>
              </w:rPr>
              <w:t>Class O LTIP unit/</w:t>
            </w:r>
            <w:r>
              <w:rPr/>
              <w:t>​</w:t>
            </w:r>
            <w:r>
              <w:rPr>
                <w:spacing w:val="-2"/>
              </w:rPr>
              <w:t>option exercise period extended to second January 1st following termination</w:t>
            </w:r>
            <w:r>
              <mc:AlternateContent>
                <mc:Choice Requires="wps">
                  <w:drawing>
                    <wp:anchor behindDoc="0" distT="50800" distB="0" distL="0" distR="0" simplePos="0" locked="0" layoutInCell="1" allowOverlap="1" relativeHeight="771">
                      <wp:simplePos x="0" y="0"/>
                      <wp:positionH relativeFrom="column">
                        <wp:align>left</wp:align>
                      </wp:positionH>
                      <wp:positionV relativeFrom="line">
                        <wp:align>top</wp:align>
                      </wp:positionV>
                      <wp:extent cx="101600" cy="350520"/>
                      <wp:effectExtent l="0" t="0" r="0" b="0"/>
                      <wp:wrapSquare wrapText="right"/>
                      <wp:docPr id="871" name="Frame521"/>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80" w:after="0"/>
              <w:ind w:left="160" w:right="0" w:hanging="0"/>
              <w:jc w:val="left"/>
              <w:rPr/>
            </w:pPr>
            <w:r>
              <w:rPr>
                <w:spacing w:val="-2"/>
              </w:rPr>
              <w:t>Performance-based awards governed by their terms</w:t>
            </w:r>
            <w:r>
              <w:rPr/>
              <w:t xml:space="preserve"> </w:t>
            </w:r>
            <w:r>
              <mc:AlternateContent>
                <mc:Choice Requires="wps">
                  <w:drawing>
                    <wp:anchor behindDoc="0" distT="50800" distB="0" distL="0" distR="0" simplePos="0" locked="0" layoutInCell="1" allowOverlap="1" relativeHeight="772">
                      <wp:simplePos x="0" y="0"/>
                      <wp:positionH relativeFrom="column">
                        <wp:align>left</wp:align>
                      </wp:positionH>
                      <wp:positionV relativeFrom="line">
                        <wp:align>top</wp:align>
                      </wp:positionV>
                      <wp:extent cx="101600" cy="350520"/>
                      <wp:effectExtent l="0" t="0" r="0" b="0"/>
                      <wp:wrapSquare wrapText="right"/>
                      <wp:docPr id="872" name="Frame522"/>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80" w:after="0"/>
              <w:ind w:left="160" w:right="0" w:hanging="0"/>
              <w:jc w:val="left"/>
              <w:rPr>
                <w:b/>
                <w:i/>
              </w:rPr>
            </w:pPr>
            <w:r>
              <w:rPr>
                <w:b/>
                <w:i/>
                <w:spacing w:val="-2"/>
              </w:rPr>
              <w:t>(If Disability: 36 months of benefit continuation/</w:t>
            </w:r>
            <w:r>
              <w:rPr>
                <w:b/>
                <w:i/>
              </w:rPr>
              <w:t>​</w:t>
              <w:br/>
            </w:r>
            <w:r>
              <w:rPr>
                <w:b/>
                <w:i/>
                <w:spacing w:val="-2"/>
              </w:rPr>
              <w:t>payments)</w:t>
            </w:r>
            <w:r>
              <mc:AlternateContent>
                <mc:Choice Requires="wps">
                  <w:drawing>
                    <wp:anchor behindDoc="0" distT="50800" distB="0" distL="0" distR="0" simplePos="0" locked="0" layoutInCell="1" allowOverlap="1" relativeHeight="773">
                      <wp:simplePos x="0" y="0"/>
                      <wp:positionH relativeFrom="column">
                        <wp:align>left</wp:align>
                      </wp:positionH>
                      <wp:positionV relativeFrom="line">
                        <wp:align>top</wp:align>
                      </wp:positionV>
                      <wp:extent cx="101600" cy="350520"/>
                      <wp:effectExtent l="0" t="0" r="0" b="0"/>
                      <wp:wrapSquare wrapText="right"/>
                      <wp:docPr id="873" name="Frame523"/>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80" w:before="0" w:after="283"/>
                                    <w:jc w:val="left"/>
                                    <w:rPr/>
                                  </w:pPr>
                                  <w:r>
                                    <w:rPr>
                                      <w:caps w:val="false"/>
                                      <w:smallCaps w:val="false"/>
                                      <w:spacing w:val="-2"/>
                                    </w:rPr>
                                    <w:t>•</w:t>
                                  </w:r>
                                  <w:r>
                                    <w:rPr/>
                                    <w:t xml:space="preserve"> </w:t>
                                  </w:r>
                                  <w:r>
                                    <w:rPr>
                                      <w:b/>
                                      <w:i/>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pPr>
                            <w:r>
                              <w:rPr>
                                <w:caps w:val="false"/>
                                <w:smallCaps w:val="false"/>
                                <w:spacing w:val="-2"/>
                              </w:rPr>
                              <w:t>•</w:t>
                            </w:r>
                            <w:r>
                              <w:rPr/>
                              <w:t xml:space="preserve"> </w:t>
                            </w:r>
                            <w:r>
                              <w:rPr>
                                <w:b/>
                                <w:i/>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bottom w:val="single" w:sz="2" w:space="0" w:color="FFFFFF"/>
            </w:tcBorders>
            <w:vAlign w:val="center"/>
          </w:tcPr>
          <w:p>
            <w:pPr>
              <w:pStyle w:val="TableContents"/>
              <w:bidi w:val="0"/>
              <w:spacing w:before="0" w:after="283"/>
              <w:jc w:val="left"/>
              <w:rPr/>
            </w:pPr>
            <w:r>
              <w:rPr/>
              <w:t>​</w:t>
            </w:r>
          </w:p>
        </w:tc>
      </w:tr>
    </w:tbl>
    <w:tbl>
      <w:tblPr>
        <w:tblW w:w="9305" w:type="dxa"/>
        <w:jc w:val="left"/>
        <w:tblInd w:w="900" w:type="dxa"/>
        <w:tblLayout w:type="fixed"/>
        <w:tblCellMar>
          <w:top w:w="0" w:type="dxa"/>
          <w:left w:w="0" w:type="dxa"/>
          <w:bottom w:w="28" w:type="dxa"/>
          <w:right w:w="0" w:type="dxa"/>
        </w:tblCellMar>
      </w:tblPr>
      <w:tblGrid>
        <w:gridCol w:w="124"/>
        <w:gridCol w:w="1201"/>
        <w:gridCol w:w="109"/>
        <w:gridCol w:w="109"/>
        <w:gridCol w:w="2611"/>
        <w:gridCol w:w="109"/>
        <w:gridCol w:w="109"/>
        <w:gridCol w:w="2390"/>
        <w:gridCol w:w="109"/>
        <w:gridCol w:w="109"/>
        <w:gridCol w:w="2170"/>
        <w:gridCol w:w="155"/>
      </w:tblGrid>
      <w:tr>
        <w:trPr/>
        <w:tc>
          <w:tcPr>
            <w:tcW w:w="124" w:type="dxa"/>
            <w:vMerge w:val="restart"/>
            <w:tcBorders>
              <w:bottom w:val="single" w:sz="12" w:space="0" w:color="FFFFFF"/>
            </w:tcBorders>
            <w:vAlign w:val="center"/>
          </w:tcPr>
          <w:p>
            <w:pPr>
              <w:pStyle w:val="TableContents"/>
              <w:bidi w:val="0"/>
              <w:spacing w:before="0" w:after="283"/>
              <w:jc w:val="left"/>
              <w:rPr/>
            </w:pPr>
            <w:r>
              <w:rPr/>
              <w:t>​</w:t>
            </w:r>
          </w:p>
        </w:tc>
        <w:tc>
          <w:tcPr>
            <w:tcW w:w="1201" w:type="dxa"/>
            <w:vMerge w:val="restart"/>
            <w:tcBorders>
              <w:bottom w:val="single" w:sz="2" w:space="0" w:color="1F2668"/>
            </w:tcBorders>
            <w:tcMar>
              <w:bottom w:w="76" w:type="dxa"/>
            </w:tcMar>
            <w:vAlign w:val="center"/>
          </w:tcPr>
          <w:p>
            <w:pPr>
              <w:pStyle w:val="TableContents"/>
              <w:bidi w:val="0"/>
              <w:spacing w:lineRule="atLeast" w:line="180" w:before="0" w:after="0"/>
              <w:jc w:val="left"/>
              <w:rPr>
                <w:b/>
              </w:rPr>
            </w:pPr>
            <w:r>
              <w:rPr>
                <w:b/>
                <w:spacing w:val="-2"/>
              </w:rPr>
              <w:t>Restrictive Covenants</w:t>
            </w:r>
            <w:r>
              <w:rPr>
                <w:b/>
              </w:rPr>
              <w:t xml:space="preserve"> </w:t>
            </w:r>
          </w:p>
        </w:tc>
        <w:tc>
          <w:tcPr>
            <w:tcW w:w="109" w:type="dxa"/>
            <w:vMerge w:val="restart"/>
            <w:tcBorders>
              <w:bottom w:val="single" w:sz="1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607" w:type="dxa"/>
            <w:gridSpan w:val="7"/>
            <w:tcBorders>
              <w:bottom w:val="single" w:sz="2" w:space="0" w:color="4B5088"/>
            </w:tcBorders>
            <w:tcMar>
              <w:bottom w:w="76" w:type="dxa"/>
            </w:tcMar>
            <w:vAlign w:val="center"/>
          </w:tcPr>
          <w:p>
            <w:pPr>
              <w:pStyle w:val="TableContents"/>
              <w:bidi w:val="0"/>
              <w:spacing w:lineRule="atLeast" w:line="180" w:before="0" w:after="0"/>
              <w:jc w:val="left"/>
              <w:rPr>
                <w:color w:val="000000"/>
                <w:spacing w:val="-2"/>
              </w:rPr>
            </w:pPr>
            <w:r>
              <w:rPr>
                <w:color w:val="000000"/>
                <w:spacing w:val="-2"/>
              </w:rPr>
              <w:t xml:space="preserve">The executive agreed to the following covenants: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vMerge w:val="continue"/>
            <w:tcBorders>
              <w:bottom w:val="single" w:sz="12" w:space="0" w:color="FFFFFF"/>
            </w:tcBorders>
            <w:vAlign w:val="center"/>
          </w:tcPr>
          <w:p>
            <w:pPr>
              <w:pStyle w:val="Normal"/>
              <w:bidi w:val="0"/>
              <w:jc w:val="left"/>
              <w:rPr/>
            </w:pPr>
            <w:r>
              <w:rPr/>
            </w:r>
          </w:p>
        </w:tc>
        <w:tc>
          <w:tcPr>
            <w:tcW w:w="1201" w:type="dxa"/>
            <w:vMerge w:val="continue"/>
            <w:tcBorders>
              <w:bottom w:val="single" w:sz="2" w:space="0" w:color="1F2668"/>
            </w:tcBorders>
            <w:tcMar>
              <w:bottom w:w="76" w:type="dxa"/>
            </w:tcMar>
            <w:vAlign w:val="center"/>
          </w:tcPr>
          <w:p>
            <w:pPr>
              <w:pStyle w:val="Normal"/>
              <w:bidi w:val="0"/>
              <w:jc w:val="left"/>
              <w:rPr/>
            </w:pPr>
            <w:r>
              <w:rPr/>
            </w:r>
          </w:p>
        </w:tc>
        <w:tc>
          <w:tcPr>
            <w:tcW w:w="109" w:type="dxa"/>
            <w:vMerge w:val="continue"/>
            <w:tcBorders>
              <w:bottom w:val="single" w:sz="12" w:space="0" w:color="FFFFFF"/>
            </w:tcBorders>
            <w:vAlign w:val="center"/>
          </w:tcPr>
          <w:p>
            <w:pPr>
              <w:pStyle w:val="Normal"/>
              <w:bidi w:val="0"/>
              <w:jc w:val="left"/>
              <w:rPr/>
            </w:pPr>
            <w:r>
              <w:rPr/>
            </w:r>
          </w:p>
        </w:tc>
        <w:tc>
          <w:tcPr>
            <w:tcW w:w="109" w:type="dxa"/>
            <w:tcBorders>
              <w:bottom w:val="single" w:sz="12" w:space="0" w:color="FFFFFF"/>
            </w:tcBorders>
            <w:vAlign w:val="center"/>
          </w:tcPr>
          <w:p>
            <w:pPr>
              <w:pStyle w:val="TableContents"/>
              <w:bidi w:val="0"/>
              <w:spacing w:before="0" w:after="283"/>
              <w:jc w:val="left"/>
              <w:rPr/>
            </w:pPr>
            <w:r>
              <w:rPr/>
              <w:t>​</w:t>
            </w:r>
          </w:p>
        </w:tc>
        <w:tc>
          <w:tcPr>
            <w:tcW w:w="2611" w:type="dxa"/>
            <w:tcBorders>
              <w:bottom w:val="single" w:sz="2" w:space="0" w:color="1F2668"/>
            </w:tcBorders>
            <w:tcMar>
              <w:bottom w:w="76" w:type="dxa"/>
            </w:tcMar>
            <w:vAlign w:val="center"/>
          </w:tcPr>
          <w:p>
            <w:pPr>
              <w:pStyle w:val="TableContents"/>
              <w:bidi w:val="0"/>
              <w:spacing w:lineRule="atLeast" w:line="180" w:before="0" w:after="0"/>
              <w:jc w:val="left"/>
              <w:rPr>
                <w:spacing w:val="-2"/>
              </w:rPr>
            </w:pPr>
            <w:r>
              <w:rPr>
                <w:spacing w:val="-2"/>
              </w:rPr>
              <w:t xml:space="preserve">Noncompetition with us for 12 months following termination (6 months if employment is terminated in connection with or within 18 months after a Change-in-Control). Non-solicitation, non-disparagement, non-interference and litigation cooperation covenants also apply. </w:t>
            </w:r>
          </w:p>
        </w:tc>
        <w:tc>
          <w:tcPr>
            <w:tcW w:w="109"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2390" w:type="dxa"/>
            <w:tcBorders>
              <w:bottom w:val="single" w:sz="2" w:space="0" w:color="1F2668"/>
            </w:tcBorders>
            <w:tcMar>
              <w:bottom w:w="70" w:type="dxa"/>
            </w:tcMar>
            <w:vAlign w:val="center"/>
          </w:tcPr>
          <w:p>
            <w:pPr>
              <w:pStyle w:val="TableContents"/>
              <w:bidi w:val="0"/>
              <w:spacing w:lineRule="atLeast" w:line="180" w:before="0" w:after="0"/>
              <w:jc w:val="left"/>
              <w:rPr>
                <w:spacing w:val="-2"/>
              </w:rPr>
            </w:pPr>
            <w:r>
              <w:rPr>
                <w:spacing w:val="-2"/>
              </w:rPr>
              <w:t xml:space="preserve">Noncompetition with us for 6 months after termination, including upon non-renewal of the agreement, provided that if termination occurs upon or following the term, entitled to receive 6 months of salary and bonus. Non-solicitation, non-disparagement, non-interference and litigation cooperation covenants also apply. </w:t>
            </w:r>
          </w:p>
        </w:tc>
        <w:tc>
          <w:tcPr>
            <w:tcW w:w="109"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2170" w:type="dxa"/>
            <w:tcBorders>
              <w:bottom w:val="single" w:sz="2" w:space="0" w:color="1F2668"/>
            </w:tcBorders>
            <w:tcMar>
              <w:bottom w:w="70" w:type="dxa"/>
            </w:tcMar>
            <w:vAlign w:val="center"/>
          </w:tcPr>
          <w:p>
            <w:pPr>
              <w:pStyle w:val="TableContents"/>
              <w:bidi w:val="0"/>
              <w:spacing w:lineRule="atLeast" w:line="180" w:before="0" w:after="0"/>
              <w:jc w:val="left"/>
              <w:rPr/>
            </w:pPr>
            <w:r>
              <w:rPr>
                <w:spacing w:val="-2"/>
              </w:rPr>
              <w:t>Noncompetition with us for 6 months after termination unless employment is terminated upon non-renewal of the agreement. Non-solicitation, non-disparagement, non-interference and litigation cooperation covenants also apply.</w:t>
            </w:r>
            <w:r>
              <w:rPr/>
              <w:t xml:space="preserve"> </w:t>
            </w:r>
          </w:p>
        </w:tc>
        <w:tc>
          <w:tcPr>
            <w:tcW w:w="155" w:type="dxa"/>
            <w:tcBorders>
              <w:bottom w:val="single" w:sz="12" w:space="0" w:color="FFFFFF"/>
            </w:tcBorders>
            <w:vAlign w:val="center"/>
          </w:tcPr>
          <w:p>
            <w:pPr>
              <w:pStyle w:val="TableContents"/>
              <w:bidi w:val="0"/>
              <w:spacing w:before="0" w:after="283"/>
              <w:jc w:val="left"/>
              <w:rPr/>
            </w:pPr>
            <w:r>
              <w:rPr/>
              <w:t>​</w:t>
            </w:r>
          </w:p>
        </w:tc>
      </w:tr>
    </w:tbl>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240"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The term automatically renews for one year for Mr. Holliday and Mr. Sitomer, unless either party provides advance written notice of non-renewal.</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52400" distB="0" distL="0" distR="0" simplePos="0" locked="0" layoutInCell="1" allowOverlap="1" relativeHeight="774">
                <wp:simplePos x="0" y="0"/>
                <wp:positionH relativeFrom="column">
                  <wp:align>left</wp:align>
                </wp:positionH>
                <wp:positionV relativeFrom="line">
                  <wp:align>top</wp:align>
                </wp:positionV>
                <wp:extent cx="254000" cy="350520"/>
                <wp:effectExtent l="0" t="0" r="0" b="0"/>
                <wp:wrapSquare wrapText="right"/>
                <wp:docPr id="874" name="Frame5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(1)</w:t>
                      </w:r>
                      <w:r>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68"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Mr. Holliday, Mr. DiLiberto and Mr. Levine are eligible, and Mr. Sitomer will be eligible beginning in 2026, to participate in an annual formulaic bonus program pursuant to which they will be able to earn from 50-400% (Holliday and Sitomer), 50-250% (DiLiberto), and 50-150% (Levine) of their base salary based on the achievement of specific goals established in advance by the Committee. For Mr. DiLiberto, this formulaic component represents 60% of his total bonus opportunity, with the remaining 40% to be determined by the Committee. For Mr. Levine, this formulaic component represents 50% of his total bonus opportunity, with the remaining 50% to be determined by the Committee. For Mr. Sitomer, this formulaic component will represent 75% of his total bonus opportunity, with the remaining 25% to be determined by the Committee.</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43180" distB="0" distL="0" distR="0" simplePos="0" locked="0" layoutInCell="1" allowOverlap="1" relativeHeight="775">
                <wp:simplePos x="0" y="0"/>
                <wp:positionH relativeFrom="column">
                  <wp:align>left</wp:align>
                </wp:positionH>
                <wp:positionV relativeFrom="line">
                  <wp:align>top</wp:align>
                </wp:positionV>
                <wp:extent cx="254000" cy="350520"/>
                <wp:effectExtent l="0" t="0" r="0" b="0"/>
                <wp:wrapSquare wrapText="right"/>
                <wp:docPr id="875" name="Frame52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2"/>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4pt;mso-wrap-distance-bottom:0pt;margin-top:3.4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(2)</w:t>
                      </w:r>
                      <w:r>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68"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Mr. Holliday and Mr. Sitomer are entitled to receive an annual award of performance-based LTIP units with the target value set forth in the table above. See “Executive Compensation-Compensation Discussion and Analysis-Our 2025 Executive Compensation Program” for details regarding the structure of these awards for 2025. The structure of Mr. Sitomer’s awards will be substantially similar to the structure of Mr. Holliday’s awards. A summary of the terms applicable to these awards in connection with a termination of the executive’s employment is set forth below.</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43180" distB="0" distL="0" distR="0" simplePos="0" locked="0" layoutInCell="1" allowOverlap="1" relativeHeight="776">
                <wp:simplePos x="0" y="0"/>
                <wp:positionH relativeFrom="column">
                  <wp:align>left</wp:align>
                </wp:positionH>
                <wp:positionV relativeFrom="line">
                  <wp:align>top</wp:align>
                </wp:positionV>
                <wp:extent cx="254000" cy="350520"/>
                <wp:effectExtent l="0" t="0" r="0" b="0"/>
                <wp:wrapSquare wrapText="right"/>
                <wp:docPr id="876" name="Frame5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2"/>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4pt;mso-wrap-distance-bottom:0pt;margin-top:3.4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(3)</w:t>
                      </w:r>
                      <w:r>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68"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Each executive is eligible to receive an annual grant of LTIP units (or, with respect to Mr. Sitomer only, restricted stock) subject to time-based vesting conditions. See “Executive Compensation-Compensation Discussion and Analysis-Our 2025 Executive Compensation Program” for details regarding the structure of these awards for 2025. The structure of Mr. Sitomer’s award for 2026 will be substantially similar to the awards received by the NEOs for 2025, except that Mr. Sitomer may receive shares of restricted stock instead of LTIP units, at his election. A summary of the terms applicable to these awards in connection with a termination of the executive’s employment is set forth below. Beginning in 2026, Mr. Holliday’s annual grant of time-based LTIP units will be subject to the Outperformance Modifier. Mr. Sitomer’s annual grant of time-based LTIP units will be subject to an outperformance modifier that is substantially similar to the Outperformance Modifier, except it is limited to 100% of the time-based award.</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43180" distB="0" distL="0" distR="0" simplePos="0" locked="0" layoutInCell="1" allowOverlap="1" relativeHeight="777">
                <wp:simplePos x="0" y="0"/>
                <wp:positionH relativeFrom="column">
                  <wp:align>left</wp:align>
                </wp:positionH>
                <wp:positionV relativeFrom="line">
                  <wp:align>top</wp:align>
                </wp:positionV>
                <wp:extent cx="254000" cy="350520"/>
                <wp:effectExtent l="0" t="0" r="0" b="0"/>
                <wp:wrapSquare wrapText="right"/>
                <wp:docPr id="877" name="Frame5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2"/>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4pt;mso-wrap-distance-bottom:0pt;margin-top:3.4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(4)</w:t>
                      </w:r>
                      <w:r>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70"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Mr. Holliday was eligible to earn a $10M one-time cash bonus payable in connection with milestones related to the casino license. As New York State did not approve our gaming license application, this incentive is no longer available.</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44450" distB="0" distL="0" distR="0" simplePos="0" locked="0" layoutInCell="1" allowOverlap="1" relativeHeight="778">
                <wp:simplePos x="0" y="0"/>
                <wp:positionH relativeFrom="column">
                  <wp:align>left</wp:align>
                </wp:positionH>
                <wp:positionV relativeFrom="line">
                  <wp:align>top</wp:align>
                </wp:positionV>
                <wp:extent cx="254000" cy="350520"/>
                <wp:effectExtent l="0" t="0" r="0" b="0"/>
                <wp:wrapSquare wrapText="right"/>
                <wp:docPr id="878" name="Frame52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2"/>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5pt;mso-wrap-distance-bottom:0pt;margin-top:3.5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(5)</w:t>
                      </w:r>
                      <w:r>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225" w:type="dxa"/>
        <w:jc w:val="left"/>
        <w:tblInd w:w="900" w:type="dxa"/>
        <w:tblLayout w:type="fixed"/>
        <w:tblCellMar>
          <w:top w:w="0" w:type="dxa"/>
          <w:left w:w="0" w:type="dxa"/>
          <w:bottom w:w="0" w:type="dxa"/>
          <w:right w:w="0" w:type="dxa"/>
        </w:tblCellMar>
      </w:tblPr>
      <w:tblGrid>
        <w:gridCol w:w="124"/>
        <w:gridCol w:w="346"/>
        <w:gridCol w:w="109"/>
        <w:gridCol w:w="109"/>
        <w:gridCol w:w="4383"/>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74</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383" w:type="dxa"/>
            <w:tcBorders/>
            <w:vAlign w:val="center"/>
          </w:tcPr>
          <w:p>
            <w:pPr>
              <w:pStyle w:val="TableContents"/>
              <w:bidi w:val="0"/>
              <w:spacing w:lineRule="atLeast" w:line="200" w:before="0" w:after="0"/>
              <w:jc w:val="left"/>
              <w:rPr/>
            </w:pPr>
            <w:r>
              <w:rPr>
                <w:spacing w:val="-2"/>
              </w:rPr>
              <w:t>    </w:t>
            </w:r>
            <w:r>
              <w:rPr>
                <w:spacing w:val="-2"/>
                <w:sz w:val="16"/>
              </w:rPr>
              <w:t>SL GREEN REALTY CORP. 2026 PROXY STATEMENT</w:t>
            </w:r>
            <w:r>
              <w:rPr>
                <w:sz w:val="16"/>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00" w:before="560" w:after="154"/>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Performance-based equity awards will be treated in accordance with their terms. See table below for relevant terms to be included in performance-based LTIP units granted pursuant to the employment agreements.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0" distB="0" distL="0" distR="0" simplePos="0" locked="0" layoutInCell="1" allowOverlap="1" relativeHeight="779">
                <wp:simplePos x="0" y="0"/>
                <wp:positionH relativeFrom="column">
                  <wp:align>left</wp:align>
                </wp:positionH>
                <wp:positionV relativeFrom="line">
                  <wp:posOffset>635</wp:posOffset>
                </wp:positionV>
                <wp:extent cx="254000" cy="254000"/>
                <wp:effectExtent l="0" t="0" r="0" b="0"/>
                <wp:wrapSquare wrapText="right"/>
                <wp:docPr id="879" name="Frame529"/>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2"/>
                                <w:sz w:val="16"/>
                              </w:rPr>
                              <w:t>(6)</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2"/>
                          <w:sz w:val="16"/>
                        </w:rPr>
                        <w:t>(6)</w:t>
                      </w:r>
                      <w:r>
                        <w:rPr>
                          <w:sz w:val="16"/>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In the event that any payment or benefit constitutes an excess “parachute payment” under Section 280G of the IRC subject to an excise tax, the executive will not be entitled to a tax gross-up payment; however, the executive’s payments and benefits would be reduced to the extent necessary to avoid such excise taxes, but only if such a reduction of pay or benefits would result in a greater after-tax benefit to the executive.</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780">
                <wp:simplePos x="0" y="0"/>
                <wp:positionH relativeFrom="column">
                  <wp:align>left</wp:align>
                </wp:positionH>
                <wp:positionV relativeFrom="line">
                  <wp:align>top</wp:align>
                </wp:positionV>
                <wp:extent cx="254000" cy="254000"/>
                <wp:effectExtent l="0" t="0" r="0" b="0"/>
                <wp:wrapSquare wrapText="right"/>
                <wp:docPr id="880" name="Frame530"/>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2"/>
                                <w:sz w:val="16"/>
                              </w:rPr>
                              <w:t>(7)</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2"/>
                          <w:sz w:val="16"/>
                        </w:rPr>
                        <w:t>(7)</w:t>
                      </w:r>
                      <w:r>
                        <w:rPr>
                          <w:sz w:val="16"/>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The new employment agreements for each NEO eliminate provisions that provide for formulaic cash payments following a change in control in lieu of existing base salary, annual bonus and equity award entitlements.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781">
                <wp:simplePos x="0" y="0"/>
                <wp:positionH relativeFrom="column">
                  <wp:align>left</wp:align>
                </wp:positionH>
                <wp:positionV relativeFrom="line">
                  <wp:align>top</wp:align>
                </wp:positionV>
                <wp:extent cx="254000" cy="254000"/>
                <wp:effectExtent l="0" t="0" r="0" b="0"/>
                <wp:wrapSquare wrapText="right"/>
                <wp:docPr id="881" name="Frame531"/>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2"/>
                                <w:sz w:val="16"/>
                              </w:rPr>
                              <w:t>(8)</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2"/>
                          <w:sz w:val="16"/>
                        </w:rPr>
                        <w:t>(8)</w:t>
                      </w:r>
                      <w:r>
                        <w:rPr>
                          <w:sz w:val="16"/>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In addition to the above, for Mr. Sitomer’s agreement, if we or Mr. Sitomer delivers a notice of non-renewal pursuant to the terms of his agreement, then Mr. Sitomer’s employment will terminate and he will be entitled to the following payments or benefits:</w:t>
      </w:r>
      <w:r>
        <w:rPr>
          <w:rFonts w:ascii="Arial;Helvetica;sans-serif" w:hAnsi="Arial;Helvetica;sans-serif"/>
          <w:b w:val="false"/>
          <w:i w:val="false"/>
          <w:caps w:val="false"/>
          <w:smallCaps w:val="false"/>
          <w:color w:val="000000"/>
          <w:spacing w:val="4"/>
          <w:sz w:val="18"/>
        </w:rPr>
        <w:t xml:space="preserve"> </w:t>
      </w:r>
    </w:p>
    <w:tbl>
      <w:tblPr>
        <w:tblW w:w="9305" w:type="dxa"/>
        <w:jc w:val="left"/>
        <w:tblInd w:w="900" w:type="dxa"/>
        <w:tblLayout w:type="fixed"/>
        <w:tblCellMar>
          <w:top w:w="0" w:type="dxa"/>
          <w:left w:w="0" w:type="dxa"/>
          <w:bottom w:w="50" w:type="dxa"/>
          <w:right w:w="0" w:type="dxa"/>
        </w:tblCellMar>
      </w:tblPr>
      <w:tblGrid>
        <w:gridCol w:w="3463"/>
        <w:gridCol w:w="109"/>
        <w:gridCol w:w="109"/>
        <w:gridCol w:w="5469"/>
        <w:gridCol w:w="155"/>
      </w:tblGrid>
      <w:tr>
        <w:trPr/>
        <w:tc>
          <w:tcPr>
            <w:tcW w:w="3463" w:type="dxa"/>
            <w:tcBorders>
              <w:bottom w:val="single" w:sz="2" w:space="0" w:color="1F2668"/>
            </w:tcBorders>
            <w:vAlign w:val="center"/>
          </w:tcPr>
          <w:p>
            <w:pPr>
              <w:pStyle w:val="TableContents"/>
              <w:bidi w:val="0"/>
              <w:spacing w:before="0" w:after="0"/>
              <w:jc w:val="left"/>
              <w:rPr>
                <w:spacing w:val="-2"/>
              </w:rPr>
            </w:pPr>
            <w:r>
              <w:rPr>
                <w:spacing w:val="-2"/>
              </w:rPr>
              <w:t xml:space="preserve">Non-Renewal by Company </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5469" w:type="dxa"/>
            <w:tcBorders>
              <w:bottom w:val="single" w:sz="2" w:space="0" w:color="1F2668"/>
            </w:tcBorders>
            <w:vAlign w:val="center"/>
          </w:tcPr>
          <w:p>
            <w:pPr>
              <w:pStyle w:val="TableContents"/>
              <w:bidi w:val="0"/>
              <w:spacing w:before="0" w:after="0"/>
              <w:jc w:val="left"/>
              <w:rPr>
                <w:spacing w:val="-2"/>
              </w:rPr>
            </w:pPr>
            <w:r>
              <w:rPr>
                <w:spacing w:val="-2"/>
              </w:rPr>
              <w:t xml:space="preserve">Non-Renewal by Mr. Sitomer </w:t>
            </w:r>
          </w:p>
        </w:tc>
        <w:tc>
          <w:tcPr>
            <w:tcW w:w="155" w:type="dxa"/>
            <w:tcBorders>
              <w:bottom w:val="single" w:sz="12" w:space="0" w:color="FFFFFF"/>
            </w:tcBorders>
            <w:tcMar>
              <w:bottom w:w="28" w:type="dxa"/>
            </w:tcMar>
            <w:vAlign w:val="center"/>
          </w:tcPr>
          <w:p>
            <w:pPr>
              <w:pStyle w:val="TableContents"/>
              <w:bidi w:val="0"/>
              <w:spacing w:before="0" w:after="283"/>
              <w:jc w:val="left"/>
              <w:rPr/>
            </w:pPr>
            <w:r>
              <w:rPr/>
              <w:t>​</w:t>
            </w:r>
          </w:p>
        </w:tc>
      </w:tr>
      <w:tr>
        <w:trPr/>
        <w:tc>
          <w:tcPr>
            <w:tcW w:w="3463" w:type="dxa"/>
            <w:tcBorders>
              <w:bottom w:val="single" w:sz="2" w:space="0" w:color="4B5088"/>
            </w:tcBorders>
            <w:vAlign w:val="center"/>
          </w:tcPr>
          <w:p>
            <w:pPr>
              <w:pStyle w:val="TableContents"/>
              <w:bidi w:val="0"/>
              <w:spacing w:lineRule="atLeast" w:line="220" w:before="0" w:after="0"/>
              <w:ind w:left="180" w:right="0" w:hanging="0"/>
              <w:jc w:val="left"/>
              <w:rPr/>
            </w:pPr>
            <w:r>
              <w:rPr>
                <w:spacing w:val="-2"/>
              </w:rPr>
              <w:t>(i) 0.5x the sum of base salary and average annual bonus for prior two years</w:t>
            </w:r>
            <w:r>
              <w:rPr/>
              <w:t xml:space="preserve"> </w:t>
            </w:r>
            <w:r>
              <mc:AlternateContent>
                <mc:Choice Requires="wps">
                  <w:drawing>
                    <wp:anchor behindDoc="0" distT="0" distB="0" distL="0" distR="0" simplePos="0" locked="0" layoutInCell="1" allowOverlap="1" relativeHeight="782">
                      <wp:simplePos x="0" y="0"/>
                      <wp:positionH relativeFrom="column">
                        <wp:align>left</wp:align>
                      </wp:positionH>
                      <wp:positionV relativeFrom="line">
                        <wp:posOffset>635</wp:posOffset>
                      </wp:positionV>
                      <wp:extent cx="114300" cy="350520"/>
                      <wp:effectExtent l="0" t="0" r="0" b="0"/>
                      <wp:wrapSquare wrapText="right"/>
                      <wp:docPr id="882" name="Frame532"/>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00" w:after="0"/>
              <w:ind w:left="180" w:right="0" w:hanging="0"/>
              <w:jc w:val="left"/>
              <w:rPr>
                <w:spacing w:val="-2"/>
              </w:rPr>
            </w:pPr>
            <w:r>
              <w:rPr>
                <w:spacing w:val="-2"/>
              </w:rPr>
              <w:t xml:space="preserve">Acceleration of all unvested equity awards (other than performance-based awards, which are governed by their terms) </w:t>
            </w:r>
            <w:r>
              <mc:AlternateContent>
                <mc:Choice Requires="wps">
                  <w:drawing>
                    <wp:anchor behindDoc="0" distT="63500" distB="0" distL="0" distR="0" simplePos="0" locked="0" layoutInCell="1" allowOverlap="1" relativeHeight="783">
                      <wp:simplePos x="0" y="0"/>
                      <wp:positionH relativeFrom="column">
                        <wp:align>left</wp:align>
                      </wp:positionH>
                      <wp:positionV relativeFrom="line">
                        <wp:align>top</wp:align>
                      </wp:positionV>
                      <wp:extent cx="114300" cy="350520"/>
                      <wp:effectExtent l="0" t="0" r="0" b="0"/>
                      <wp:wrapSquare wrapText="right"/>
                      <wp:docPr id="883" name="Frame533"/>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469" w:type="dxa"/>
            <w:tcBorders>
              <w:bottom w:val="single" w:sz="2" w:space="0" w:color="4B5088"/>
            </w:tcBorders>
            <w:vAlign w:val="center"/>
          </w:tcPr>
          <w:p>
            <w:pPr>
              <w:pStyle w:val="TableContents"/>
              <w:bidi w:val="0"/>
              <w:spacing w:lineRule="atLeast" w:line="220" w:before="0" w:after="0"/>
              <w:ind w:left="180" w:right="0" w:hanging="0"/>
              <w:jc w:val="left"/>
              <w:rPr/>
            </w:pPr>
            <w:r>
              <w:rPr>
                <w:spacing w:val="-2"/>
              </w:rPr>
              <w:t>Acceleration of all unvested equity awards (other than performance-based awards, which are governed by their terms; provided that any performance-based awards that would vest more than twelve months after the termination date will be forfeited)</w:t>
            </w:r>
            <w:r>
              <w:rPr/>
              <w:t xml:space="preserve"> </w:t>
            </w:r>
            <w:r>
              <mc:AlternateContent>
                <mc:Choice Requires="wps">
                  <w:drawing>
                    <wp:anchor behindDoc="0" distT="0" distB="0" distL="0" distR="0" simplePos="0" locked="0" layoutInCell="1" allowOverlap="1" relativeHeight="784">
                      <wp:simplePos x="0" y="0"/>
                      <wp:positionH relativeFrom="column">
                        <wp:align>left</wp:align>
                      </wp:positionH>
                      <wp:positionV relativeFrom="line">
                        <wp:posOffset>635</wp:posOffset>
                      </wp:positionV>
                      <wp:extent cx="114300" cy="350520"/>
                      <wp:effectExtent l="0" t="0" r="0" b="0"/>
                      <wp:wrapSquare wrapText="right"/>
                      <wp:docPr id="884" name="Frame534"/>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220" w:after="283"/>
        <w:ind w:left="9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The terms Cause, Good Reason and Change-in-Control, as used above, are specifically defined in each executive’s employment agreement. For Mr. Holliday, the term Cause is defined to include a non-renewal of the term of the employment agreement, provided that the cash severance multiple in such instance would be 1.0x instead of 3.0x for Mr. Holliday. The summary above is qualified in its entirety by reference to the copies of the employment agreements with our named executive officers, which have been previously filed by us with the SEC, and are incorporated herein by reference.</w:t>
      </w:r>
      <w:r>
        <w:rPr>
          <w:rFonts w:ascii="Arial;Helvetica;sans-serif" w:hAnsi="Arial;Helvetica;sans-serif"/>
          <w:b w:val="false"/>
          <w:i w:val="false"/>
          <w:caps w:val="false"/>
          <w:smallCaps w:val="false"/>
          <w:color w:val="000000"/>
          <w:spacing w:val="4"/>
          <w:sz w:val="18"/>
        </w:rPr>
        <w:t xml:space="preserve"> </w:t>
      </w:r>
    </w:p>
    <w:tbl>
      <w:tblPr>
        <w:tblW w:w="9305" w:type="dxa"/>
        <w:jc w:val="left"/>
        <w:tblInd w:w="900" w:type="dxa"/>
        <w:tblLayout w:type="fixed"/>
        <w:tblCellMar>
          <w:top w:w="0" w:type="dxa"/>
          <w:left w:w="0" w:type="dxa"/>
          <w:bottom w:w="0" w:type="dxa"/>
          <w:right w:w="0" w:type="dxa"/>
        </w:tblCellMar>
      </w:tblPr>
      <w:tblGrid>
        <w:gridCol w:w="124"/>
        <w:gridCol w:w="9027"/>
        <w:gridCol w:w="154"/>
      </w:tblGrid>
      <w:tr>
        <w:trPr/>
        <w:tc>
          <w:tcPr>
            <w:tcW w:w="124" w:type="dxa"/>
            <w:tcBorders/>
            <w:shd w:fill="E9F9D8" w:val="clear"/>
            <w:vAlign w:val="center"/>
          </w:tcPr>
          <w:p>
            <w:pPr>
              <w:pStyle w:val="TableContents"/>
              <w:bidi w:val="0"/>
              <w:spacing w:before="0" w:after="283"/>
              <w:jc w:val="left"/>
              <w:rPr/>
            </w:pPr>
            <w:r>
              <w:rPr/>
              <w:t>​</w:t>
            </w:r>
          </w:p>
        </w:tc>
        <w:tc>
          <w:tcPr>
            <w:tcW w:w="9027" w:type="dxa"/>
            <w:tcBorders/>
            <w:shd w:fill="E9F9D8" w:val="clear"/>
            <w:vAlign w:val="center"/>
          </w:tcPr>
          <w:p>
            <w:pPr>
              <w:pStyle w:val="TableContents"/>
              <w:bidi w:val="0"/>
              <w:spacing w:lineRule="atLeast" w:line="220" w:before="0" w:after="0"/>
              <w:jc w:val="left"/>
              <w:rPr/>
            </w:pPr>
            <w:r>
              <w:rPr>
                <w:spacing w:val="-2"/>
              </w:rPr>
              <w:t xml:space="preserve">Stockholder feedback has always informed the Committee’s design of executive employee agreements. Each of the NEOs current agreements, including the agreement Mr. DiLiberto entered into with us in 2026, are no different. </w:t>
            </w:r>
            <w:r>
              <w:rPr>
                <w:b/>
                <w:spacing w:val="-2"/>
              </w:rPr>
              <w:t>In redesigning our NEOs’ contracts, the Committee considered both current market norms and stockholder feedback to ensure that negotiations were centered around the most critical aspects</w:t>
            </w:r>
            <w:r>
              <w:rPr>
                <w:spacing w:val="-2"/>
              </w:rPr>
              <w:t>.</w:t>
            </w:r>
            <w:r>
              <w:rPr/>
              <w:t xml:space="preserve"> </w:t>
            </w:r>
          </w:p>
        </w:tc>
        <w:tc>
          <w:tcPr>
            <w:tcW w:w="154" w:type="dxa"/>
            <w:tcBorders/>
            <w:shd w:fill="E9F9D8" w:val="clear"/>
            <w:vAlign w:val="center"/>
          </w:tcPr>
          <w:p>
            <w:pPr>
              <w:pStyle w:val="TableContents"/>
              <w:bidi w:val="0"/>
              <w:spacing w:before="0" w:after="283"/>
              <w:jc w:val="left"/>
              <w:rPr/>
            </w:pPr>
            <w:r>
              <w:rPr/>
              <w:t>​</w:t>
            </w:r>
          </w:p>
        </w:tc>
      </w:tr>
      <w:tr>
        <w:trPr/>
        <w:tc>
          <w:tcPr>
            <w:tcW w:w="124" w:type="dxa"/>
            <w:tcBorders/>
            <w:shd w:fill="E9F9D8" w:val="clear"/>
            <w:vAlign w:val="center"/>
          </w:tcPr>
          <w:p>
            <w:pPr>
              <w:pStyle w:val="TableContents"/>
              <w:bidi w:val="0"/>
              <w:spacing w:before="0" w:after="283"/>
              <w:jc w:val="left"/>
              <w:rPr/>
            </w:pPr>
            <w:r>
              <w:rPr/>
              <w:t>​</w:t>
            </w:r>
          </w:p>
        </w:tc>
        <w:tc>
          <w:tcPr>
            <w:tcW w:w="9027" w:type="dxa"/>
            <w:tcBorders/>
            <w:shd w:fill="E9F9D8" w:val="clear"/>
            <w:vAlign w:val="center"/>
          </w:tcPr>
          <w:p>
            <w:pPr>
              <w:pStyle w:val="TableContents"/>
              <w:bidi w:val="0"/>
              <w:spacing w:lineRule="atLeast" w:line="220" w:before="0" w:after="0"/>
              <w:jc w:val="left"/>
              <w:rPr/>
            </w:pPr>
            <w:r>
              <w:rPr>
                <w:spacing w:val="-2"/>
              </w:rPr>
              <w:t xml:space="preserve">The </w:t>
            </w:r>
            <w:r>
              <w:rPr>
                <w:b/>
                <w:spacing w:val="-2"/>
              </w:rPr>
              <w:t>Committee’s primary focus was to eliminate the short-term performance goals in long-term performance equity awards</w:t>
            </w:r>
            <w:r>
              <w:rPr>
                <w:spacing w:val="-2"/>
              </w:rPr>
              <w:t xml:space="preserve"> in alignment with our commitment to stockholders. Even though the majority of stockholders did not raise concerns regarding our severance provisions, through negotiations the </w:t>
            </w:r>
            <w:r>
              <w:rPr>
                <w:b/>
                <w:spacing w:val="-2"/>
              </w:rPr>
              <w:t>Committee eliminated the maximum bonus from severance calculations as well as legacy provisions relating to post-change-in-control payments</w:t>
            </w:r>
            <w:r>
              <w:rPr>
                <w:spacing w:val="-2"/>
              </w:rPr>
              <w:t>, while retaining other legacy provisions that have been in place for over ten years.</w:t>
            </w:r>
            <w:r>
              <w:rPr/>
              <w:t xml:space="preserve"> </w:t>
            </w:r>
          </w:p>
        </w:tc>
        <w:tc>
          <w:tcPr>
            <w:tcW w:w="154" w:type="dxa"/>
            <w:tcBorders/>
            <w:shd w:fill="E9F9D8" w:val="clear"/>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4330" w:type="dxa"/>
        <w:jc w:val="left"/>
        <w:tblInd w:w="900" w:type="dxa"/>
        <w:tblLayout w:type="fixed"/>
        <w:tblCellMar>
          <w:top w:w="0" w:type="dxa"/>
          <w:left w:w="0" w:type="dxa"/>
          <w:bottom w:w="0" w:type="dxa"/>
          <w:right w:w="0" w:type="dxa"/>
        </w:tblCellMar>
      </w:tblPr>
      <w:tblGrid>
        <w:gridCol w:w="124"/>
        <w:gridCol w:w="3488"/>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3488" w:type="dxa"/>
            <w:tcBorders/>
            <w:vAlign w:val="center"/>
          </w:tcPr>
          <w:p>
            <w:pPr>
              <w:pStyle w:val="TableContents"/>
              <w:bidi w:val="0"/>
              <w:spacing w:lineRule="atLeast" w:line="200" w:before="0" w:after="0"/>
              <w:jc w:val="left"/>
              <w:rPr/>
            </w:pPr>
            <w:r>
              <w:rPr>
                <w:spacing w:val="-2"/>
              </w:rPr>
              <w:t>EXECUTIVE COMPENSATION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color w:val="1F2668"/>
                <w:sz w:val="24"/>
              </w:rPr>
            </w:pPr>
            <w:r>
              <w:rPr>
                <w:color w:val="1F2668"/>
                <w:sz w:val="24"/>
              </w:rPr>
              <w:t>75</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60" w:before="560" w:after="154"/>
        <w:ind w:left="900" w:right="0" w:hanging="0"/>
        <w:jc w:val="left"/>
        <w:rPr>
          <w:rFonts w:ascii="Arial;Helvetica;sans-serif" w:hAnsi="Arial;Helvetica;sans-serif"/>
          <w:b/>
          <w:i w:val="false"/>
          <w:caps w:val="false"/>
          <w:smallCaps w:val="false"/>
          <w:color w:val="83AD40"/>
          <w:sz w:val="22"/>
        </w:rPr>
      </w:pPr>
      <w:r>
        <w:rPr>
          <w:rFonts w:ascii="Arial;Helvetica;sans-serif" w:hAnsi="Arial;Helvetica;sans-serif"/>
          <w:b/>
          <w:i w:val="false"/>
          <w:caps w:val="false"/>
          <w:smallCaps w:val="false"/>
          <w:color w:val="83AD40"/>
          <w:spacing w:val="-2"/>
          <w:sz w:val="22"/>
        </w:rPr>
        <w:t>Performance-Based Equity Awards</w:t>
      </w:r>
      <w:r>
        <w:rPr>
          <w:rFonts w:ascii="Arial;Helvetica;sans-serif" w:hAnsi="Arial;Helvetica;sans-serif"/>
          <w:b/>
          <w:i w:val="false"/>
          <w:caps w:val="false"/>
          <w:smallCaps w:val="false"/>
          <w:color w:val="000000"/>
          <w:spacing w:val="4"/>
          <w:sz w:val="22"/>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The table below summarizes the treatment of our annual performance-based equity awards, including those granted in 2024 and 2025 that were outstanding at December 31, 2025 (the “Annual Performance-Based Awards”), in connection with a change-in-control and various hypothetical termination scenarios for our named executive officers.</w:t>
      </w:r>
      <w:r>
        <w:rPr>
          <w:rFonts w:ascii="Arial;Helvetica;sans-serif" w:hAnsi="Arial;Helvetica;sans-serif"/>
          <w:b w:val="false"/>
          <w:i w:val="false"/>
          <w:caps w:val="false"/>
          <w:smallCaps w:val="false"/>
          <w:color w:val="000000"/>
          <w:spacing w:val="4"/>
          <w:sz w:val="18"/>
        </w:rPr>
        <w:t xml:space="preserve"> </w:t>
      </w:r>
    </w:p>
    <w:tbl>
      <w:tblPr>
        <w:tblW w:w="9305" w:type="dxa"/>
        <w:jc w:val="left"/>
        <w:tblInd w:w="900" w:type="dxa"/>
        <w:tblLayout w:type="fixed"/>
        <w:tblCellMar>
          <w:top w:w="0" w:type="dxa"/>
          <w:left w:w="0" w:type="dxa"/>
          <w:bottom w:w="50" w:type="dxa"/>
          <w:right w:w="0" w:type="dxa"/>
        </w:tblCellMar>
      </w:tblPr>
      <w:tblGrid>
        <w:gridCol w:w="2797"/>
        <w:gridCol w:w="109"/>
        <w:gridCol w:w="109"/>
        <w:gridCol w:w="2777"/>
        <w:gridCol w:w="109"/>
        <w:gridCol w:w="109"/>
        <w:gridCol w:w="3139"/>
        <w:gridCol w:w="156"/>
      </w:tblGrid>
      <w:tr>
        <w:trPr/>
        <w:tc>
          <w:tcPr>
            <w:tcW w:w="9149" w:type="dxa"/>
            <w:gridSpan w:val="7"/>
            <w:tcBorders>
              <w:bottom w:val="single" w:sz="2" w:space="0" w:color="1F2668"/>
            </w:tcBorders>
            <w:vAlign w:val="center"/>
          </w:tcPr>
          <w:p>
            <w:pPr>
              <w:pStyle w:val="TableContents"/>
              <w:bidi w:val="0"/>
              <w:spacing w:lineRule="atLeast" w:line="180" w:before="0" w:after="0"/>
              <w:jc w:val="center"/>
              <w:rPr>
                <w:spacing w:val="-2"/>
                <w:sz w:val="16"/>
              </w:rPr>
            </w:pPr>
            <w:r>
              <w:rPr>
                <w:spacing w:val="-2"/>
                <w:sz w:val="16"/>
              </w:rPr>
              <w:t xml:space="preserve">Annual Performance-Based Awards </w:t>
            </w:r>
          </w:p>
        </w:tc>
        <w:tc>
          <w:tcPr>
            <w:tcW w:w="156" w:type="dxa"/>
            <w:tcBorders>
              <w:bottom w:val="single" w:sz="2" w:space="0" w:color="1F2668"/>
            </w:tcBorders>
            <w:tcMar>
              <w:bottom w:w="28" w:type="dxa"/>
            </w:tcMar>
            <w:vAlign w:val="center"/>
          </w:tcPr>
          <w:p>
            <w:pPr>
              <w:pStyle w:val="TableContents"/>
              <w:bidi w:val="0"/>
              <w:spacing w:before="0" w:after="283"/>
              <w:jc w:val="left"/>
              <w:rPr/>
            </w:pPr>
            <w:r>
              <w:rPr/>
              <w:t>​</w:t>
            </w:r>
          </w:p>
        </w:tc>
      </w:tr>
      <w:tr>
        <w:trPr/>
        <w:tc>
          <w:tcPr>
            <w:tcW w:w="2797" w:type="dxa"/>
            <w:tcBorders>
              <w:bottom w:val="single" w:sz="2" w:space="0" w:color="1F2668"/>
            </w:tcBorders>
            <w:tcMar>
              <w:bottom w:w="43" w:type="dxa"/>
            </w:tcMar>
            <w:vAlign w:val="center"/>
          </w:tcPr>
          <w:p>
            <w:pPr>
              <w:pStyle w:val="TableContents"/>
              <w:bidi w:val="0"/>
              <w:spacing w:lineRule="atLeast" w:line="180" w:before="0" w:after="0"/>
              <w:jc w:val="left"/>
              <w:rPr>
                <w:spacing w:val="-2"/>
                <w:sz w:val="16"/>
              </w:rPr>
            </w:pPr>
            <w:r>
              <w:rPr>
                <w:spacing w:val="-2"/>
                <w:sz w:val="16"/>
              </w:rPr>
              <w:t xml:space="preserve">Change-in-Control (“CiC”) </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2777" w:type="dxa"/>
            <w:tcBorders>
              <w:bottom w:val="single" w:sz="2" w:space="0" w:color="1F2668"/>
            </w:tcBorders>
            <w:tcMar>
              <w:bottom w:w="43" w:type="dxa"/>
            </w:tcMar>
            <w:vAlign w:val="center"/>
          </w:tcPr>
          <w:p>
            <w:pPr>
              <w:pStyle w:val="TableContents"/>
              <w:bidi w:val="0"/>
              <w:spacing w:lineRule="atLeast" w:line="142" w:before="0" w:after="0"/>
              <w:jc w:val="left"/>
              <w:rPr>
                <w:sz w:val="16"/>
              </w:rPr>
            </w:pPr>
            <w:r>
              <w:rPr>
                <w:spacing w:val="-2"/>
                <w:sz w:val="16"/>
              </w:rPr>
              <w:t xml:space="preserve">Change-in-Control &amp; Termination </w:t>
              <w:br/>
              <w:t>Without Cause or For Good Reason</w:t>
            </w:r>
            <w:r>
              <w:rPr>
                <w:spacing w:val="-1"/>
                <w:sz w:val="10"/>
              </w:rPr>
              <w:t>(1)</w:t>
            </w:r>
            <w:r>
              <w:rPr>
                <w:sz w:val="16"/>
              </w:rPr>
              <w:t xml:space="preserve"> </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3139" w:type="dxa"/>
            <w:tcBorders>
              <w:bottom w:val="single" w:sz="2" w:space="0" w:color="1F2668"/>
            </w:tcBorders>
            <w:tcMar>
              <w:bottom w:w="43" w:type="dxa"/>
            </w:tcMar>
            <w:vAlign w:val="center"/>
          </w:tcPr>
          <w:p>
            <w:pPr>
              <w:pStyle w:val="TableContents"/>
              <w:bidi w:val="0"/>
              <w:spacing w:lineRule="atLeast" w:line="142" w:before="0" w:after="0"/>
              <w:jc w:val="left"/>
              <w:rPr>
                <w:sz w:val="16"/>
              </w:rPr>
            </w:pPr>
            <w:r>
              <w:rPr>
                <w:spacing w:val="-2"/>
                <w:sz w:val="16"/>
              </w:rPr>
              <w:t xml:space="preserve">Death/Disability &amp; Termination </w:t>
              <w:br/>
              <w:t>Without Cause or For Good Reason</w:t>
            </w:r>
            <w:r>
              <w:rPr>
                <w:spacing w:val="-1"/>
                <w:sz w:val="10"/>
              </w:rPr>
              <w:t>(1)</w:t>
            </w:r>
            <w:r>
              <w:rPr>
                <w:sz w:val="16"/>
              </w:rPr>
              <w:t xml:space="preserve"> </w:t>
            </w:r>
          </w:p>
        </w:tc>
        <w:tc>
          <w:tcPr>
            <w:tcW w:w="156" w:type="dxa"/>
            <w:tcBorders>
              <w:bottom w:val="single" w:sz="2" w:space="0" w:color="1F2668"/>
            </w:tcBorders>
            <w:tcMar>
              <w:bottom w:w="28" w:type="dxa"/>
            </w:tcMar>
            <w:vAlign w:val="center"/>
          </w:tcPr>
          <w:p>
            <w:pPr>
              <w:pStyle w:val="TableContents"/>
              <w:bidi w:val="0"/>
              <w:spacing w:before="0" w:after="283"/>
              <w:jc w:val="left"/>
              <w:rPr/>
            </w:pPr>
            <w:r>
              <w:rPr/>
              <w:t>​</w:t>
            </w:r>
          </w:p>
        </w:tc>
      </w:tr>
      <w:tr>
        <w:trPr/>
        <w:tc>
          <w:tcPr>
            <w:tcW w:w="2797" w:type="dxa"/>
            <w:tcBorders>
              <w:bottom w:val="single" w:sz="2" w:space="0" w:color="4B5088"/>
            </w:tcBorders>
            <w:tcMar>
              <w:bottom w:w="28" w:type="dxa"/>
            </w:tcMar>
            <w:vAlign w:val="center"/>
          </w:tcPr>
          <w:p>
            <w:pPr>
              <w:pStyle w:val="TableContents"/>
              <w:bidi w:val="0"/>
              <w:spacing w:lineRule="atLeast" w:line="220" w:before="0" w:after="0"/>
              <w:ind w:left="180" w:right="0" w:hanging="0"/>
              <w:jc w:val="left"/>
              <w:rPr/>
            </w:pPr>
            <w:r>
              <w:rPr>
                <w:spacing w:val="-2"/>
                <w:sz w:val="18"/>
              </w:rPr>
              <w:t>If three-year performance period ends early, Operational Component (as applicable) measured as of the date of the CiC (or the most recent practicable date), subject to Absolute TSR modifier</w:t>
            </w:r>
            <w:r>
              <w:rPr>
                <w:spacing w:val="-1"/>
                <w:szCs w:val="11"/>
              </w:rPr>
              <w:t>﻿</w:t>
            </w:r>
            <w:r>
              <w:rPr>
                <w:spacing w:val="-1"/>
                <w:sz w:val="11"/>
              </w:rPr>
              <w:t>(2)</w:t>
            </w:r>
            <w:r>
              <w:rPr>
                <w:spacing w:val="-2"/>
                <w:sz w:val="18"/>
              </w:rPr>
              <w:t xml:space="preserve"> </w:t>
            </w:r>
            <w:r>
              <w:rPr>
                <w:sz w:val="18"/>
              </w:rPr>
              <w:br/>
            </w:r>
            <w:r>
              <w:rPr>
                <w:b/>
                <w:spacing w:val="-2"/>
                <w:sz w:val="18"/>
              </w:rPr>
              <w:t>(Holliday / Levine)</w:t>
            </w:r>
            <w:r>
              <w:rPr>
                <w:sz w:val="18"/>
              </w:rPr>
              <w:t xml:space="preserve"> </w:t>
            </w:r>
            <w:r>
              <mc:AlternateContent>
                <mc:Choice Requires="wps">
                  <w:drawing>
                    <wp:anchor behindDoc="0" distT="0" distB="0" distL="0" distR="0" simplePos="0" locked="0" layoutInCell="1" allowOverlap="1" relativeHeight="785">
                      <wp:simplePos x="0" y="0"/>
                      <wp:positionH relativeFrom="column">
                        <wp:align>left</wp:align>
                      </wp:positionH>
                      <wp:positionV relativeFrom="line">
                        <wp:posOffset>635</wp:posOffset>
                      </wp:positionV>
                      <wp:extent cx="114300" cy="350520"/>
                      <wp:effectExtent l="0" t="0" r="0" b="0"/>
                      <wp:wrapSquare wrapText="right"/>
                      <wp:docPr id="885" name="Frame535"/>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sz w:val="18"/>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sz w:val="18"/>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00" w:after="0"/>
              <w:ind w:left="180" w:right="0" w:hanging="0"/>
              <w:jc w:val="left"/>
              <w:rPr/>
            </w:pPr>
            <w:r>
              <w:rPr>
                <w:spacing w:val="-2"/>
                <w:sz w:val="18"/>
              </w:rPr>
              <w:t xml:space="preserve">If one-year performance period ends early, Operational Component deemed achieved at target, subject to Absolute TSR modifier </w:t>
            </w:r>
            <w:r>
              <w:rPr>
                <w:b/>
                <w:spacing w:val="-2"/>
                <w:sz w:val="18"/>
              </w:rPr>
              <w:t>(DiLiberto)</w:t>
            </w:r>
            <w:r>
              <w:rPr>
                <w:spacing w:val="-1"/>
                <w:szCs w:val="11"/>
              </w:rPr>
              <w:t>﻿</w:t>
            </w:r>
            <w:r>
              <w:rPr>
                <w:spacing w:val="-1"/>
                <w:sz w:val="11"/>
              </w:rPr>
              <w:t>(3)</w:t>
            </w:r>
            <w:r>
              <w:rPr>
                <w:sz w:val="18"/>
              </w:rPr>
              <w:t xml:space="preserve"> </w:t>
            </w:r>
            <w:r>
              <mc:AlternateContent>
                <mc:Choice Requires="wps">
                  <w:drawing>
                    <wp:anchor behindDoc="0" distT="63500" distB="0" distL="0" distR="0" simplePos="0" locked="0" layoutInCell="1" allowOverlap="1" relativeHeight="786">
                      <wp:simplePos x="0" y="0"/>
                      <wp:positionH relativeFrom="column">
                        <wp:align>left</wp:align>
                      </wp:positionH>
                      <wp:positionV relativeFrom="line">
                        <wp:align>top</wp:align>
                      </wp:positionV>
                      <wp:extent cx="114300" cy="350520"/>
                      <wp:effectExtent l="0" t="0" r="0" b="0"/>
                      <wp:wrapSquare wrapText="right"/>
                      <wp:docPr id="886" name="Frame536"/>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sz w:val="18"/>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sz w:val="18"/>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00" w:after="0"/>
              <w:ind w:left="180" w:right="0" w:hanging="0"/>
              <w:jc w:val="left"/>
              <w:rPr>
                <w:sz w:val="18"/>
              </w:rPr>
            </w:pPr>
            <w:r>
              <w:rPr>
                <w:spacing w:val="-2"/>
                <w:sz w:val="18"/>
              </w:rPr>
              <w:t>Relative Component determined as of date of CiC</w:t>
            </w:r>
            <w:r>
              <w:rPr>
                <w:sz w:val="18"/>
              </w:rPr>
              <w:t xml:space="preserve"> </w:t>
            </w:r>
            <w:r>
              <mc:AlternateContent>
                <mc:Choice Requires="wps">
                  <w:drawing>
                    <wp:anchor behindDoc="0" distT="63500" distB="0" distL="0" distR="0" simplePos="0" locked="0" layoutInCell="1" allowOverlap="1" relativeHeight="787">
                      <wp:simplePos x="0" y="0"/>
                      <wp:positionH relativeFrom="column">
                        <wp:align>left</wp:align>
                      </wp:positionH>
                      <wp:positionV relativeFrom="line">
                        <wp:align>top</wp:align>
                      </wp:positionV>
                      <wp:extent cx="114300" cy="350520"/>
                      <wp:effectExtent l="0" t="0" r="0" b="0"/>
                      <wp:wrapSquare wrapText="right"/>
                      <wp:docPr id="887" name="Frame537"/>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sz w:val="18"/>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sz w:val="18"/>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00" w:after="0"/>
              <w:ind w:left="180" w:right="0" w:hanging="0"/>
              <w:jc w:val="left"/>
              <w:rPr>
                <w:spacing w:val="-2"/>
                <w:sz w:val="18"/>
              </w:rPr>
            </w:pPr>
            <w:r>
              <w:rPr>
                <w:spacing w:val="-2"/>
                <w:sz w:val="18"/>
              </w:rPr>
              <w:t xml:space="preserve">Earned awards remain subject to time-based vesting </w:t>
            </w:r>
            <w:r>
              <mc:AlternateContent>
                <mc:Choice Requires="wps">
                  <w:drawing>
                    <wp:anchor behindDoc="0" distT="63500" distB="0" distL="0" distR="0" simplePos="0" locked="0" layoutInCell="1" allowOverlap="1" relativeHeight="788">
                      <wp:simplePos x="0" y="0"/>
                      <wp:positionH relativeFrom="column">
                        <wp:align>left</wp:align>
                      </wp:positionH>
                      <wp:positionV relativeFrom="line">
                        <wp:align>top</wp:align>
                      </wp:positionV>
                      <wp:extent cx="114300" cy="350520"/>
                      <wp:effectExtent l="0" t="0" r="0" b="0"/>
                      <wp:wrapSquare wrapText="right"/>
                      <wp:docPr id="888" name="Frame538"/>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sz w:val="18"/>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sz w:val="18"/>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777" w:type="dxa"/>
            <w:tcBorders>
              <w:bottom w:val="single" w:sz="2" w:space="0" w:color="4B5088"/>
            </w:tcBorders>
            <w:tcMar>
              <w:bottom w:w="43" w:type="dxa"/>
            </w:tcMar>
            <w:vAlign w:val="center"/>
          </w:tcPr>
          <w:p>
            <w:pPr>
              <w:pStyle w:val="TableContents"/>
              <w:bidi w:val="0"/>
              <w:spacing w:lineRule="atLeast" w:line="220" w:before="0" w:after="0"/>
              <w:ind w:left="180" w:right="0" w:hanging="0"/>
              <w:jc w:val="left"/>
              <w:rPr>
                <w:sz w:val="18"/>
              </w:rPr>
            </w:pPr>
            <w:r>
              <w:rPr>
                <w:spacing w:val="-2"/>
                <w:sz w:val="18"/>
              </w:rPr>
              <w:t>If three-year performance period ends early, Operational Component (if applicable) measured as of the date of the CiC (or the most recent practicable date), subject to Absolute TSR modifier</w:t>
            </w:r>
            <w:r>
              <w:rPr>
                <w:spacing w:val="-1"/>
                <w:sz w:val="11"/>
              </w:rPr>
              <w:t>(2)</w:t>
            </w:r>
            <w:r>
              <w:rPr>
                <w:spacing w:val="-2"/>
                <w:sz w:val="18"/>
              </w:rPr>
              <w:t xml:space="preserve"> </w:t>
            </w:r>
            <w:r>
              <w:rPr>
                <w:sz w:val="18"/>
              </w:rPr>
              <w:br/>
            </w:r>
            <w:r>
              <w:rPr>
                <w:b/>
                <w:spacing w:val="-2"/>
                <w:sz w:val="18"/>
              </w:rPr>
              <w:t>(Holliday / Levine)</w:t>
            </w:r>
            <w:r>
              <w:rPr>
                <w:sz w:val="18"/>
              </w:rPr>
              <w:t xml:space="preserve"> </w:t>
            </w:r>
            <w:r>
              <mc:AlternateContent>
                <mc:Choice Requires="wps">
                  <w:drawing>
                    <wp:anchor behindDoc="0" distT="0" distB="0" distL="0" distR="0" simplePos="0" locked="0" layoutInCell="1" allowOverlap="1" relativeHeight="789">
                      <wp:simplePos x="0" y="0"/>
                      <wp:positionH relativeFrom="column">
                        <wp:align>left</wp:align>
                      </wp:positionH>
                      <wp:positionV relativeFrom="line">
                        <wp:posOffset>635</wp:posOffset>
                      </wp:positionV>
                      <wp:extent cx="114300" cy="350520"/>
                      <wp:effectExtent l="0" t="0" r="0" b="0"/>
                      <wp:wrapSquare wrapText="right"/>
                      <wp:docPr id="889" name="Frame539"/>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sz w:val="18"/>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sz w:val="18"/>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00" w:after="0"/>
              <w:ind w:left="180" w:right="0" w:hanging="0"/>
              <w:jc w:val="left"/>
              <w:rPr>
                <w:sz w:val="18"/>
              </w:rPr>
            </w:pPr>
            <w:r>
              <w:rPr>
                <w:spacing w:val="-2"/>
                <w:sz w:val="18"/>
              </w:rPr>
              <w:t xml:space="preserve">If one-year performance period ends early, Operational Component deemed achieved at target, subject to Absolute TSR modifier </w:t>
            </w:r>
            <w:r>
              <w:rPr>
                <w:b/>
                <w:spacing w:val="-2"/>
                <w:sz w:val="18"/>
              </w:rPr>
              <w:t>(DiLiberto)</w:t>
            </w:r>
            <w:r>
              <w:rPr>
                <w:spacing w:val="-1"/>
                <w:sz w:val="11"/>
              </w:rPr>
              <w:t>(3)</w:t>
            </w:r>
            <w:r>
              <w:rPr>
                <w:sz w:val="18"/>
              </w:rPr>
              <w:t xml:space="preserve"> </w:t>
            </w:r>
            <w:r>
              <mc:AlternateContent>
                <mc:Choice Requires="wps">
                  <w:drawing>
                    <wp:anchor behindDoc="0" distT="63500" distB="0" distL="0" distR="0" simplePos="0" locked="0" layoutInCell="1" allowOverlap="1" relativeHeight="790">
                      <wp:simplePos x="0" y="0"/>
                      <wp:positionH relativeFrom="column">
                        <wp:align>left</wp:align>
                      </wp:positionH>
                      <wp:positionV relativeFrom="line">
                        <wp:align>top</wp:align>
                      </wp:positionV>
                      <wp:extent cx="114300" cy="350520"/>
                      <wp:effectExtent l="0" t="0" r="0" b="0"/>
                      <wp:wrapSquare wrapText="right"/>
                      <wp:docPr id="890" name="Frame540"/>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sz w:val="18"/>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sz w:val="18"/>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00" w:after="0"/>
              <w:ind w:left="180" w:right="0" w:hanging="0"/>
              <w:jc w:val="left"/>
              <w:rPr>
                <w:sz w:val="18"/>
              </w:rPr>
            </w:pPr>
            <w:r>
              <w:rPr>
                <w:spacing w:val="-2"/>
                <w:sz w:val="18"/>
              </w:rPr>
              <w:t>Relative Component determined as of date of CiC</w:t>
            </w:r>
            <w:r>
              <w:rPr>
                <w:sz w:val="18"/>
              </w:rPr>
              <w:t xml:space="preserve"> </w:t>
            </w:r>
            <w:r>
              <mc:AlternateContent>
                <mc:Choice Requires="wps">
                  <w:drawing>
                    <wp:anchor behindDoc="0" distT="63500" distB="0" distL="0" distR="0" simplePos="0" locked="0" layoutInCell="1" allowOverlap="1" relativeHeight="791">
                      <wp:simplePos x="0" y="0"/>
                      <wp:positionH relativeFrom="column">
                        <wp:align>left</wp:align>
                      </wp:positionH>
                      <wp:positionV relativeFrom="line">
                        <wp:align>top</wp:align>
                      </wp:positionV>
                      <wp:extent cx="114300" cy="350520"/>
                      <wp:effectExtent l="0" t="0" r="0" b="0"/>
                      <wp:wrapSquare wrapText="right"/>
                      <wp:docPr id="891" name="Frame541"/>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sz w:val="18"/>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sz w:val="18"/>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00" w:after="0"/>
              <w:ind w:left="180" w:right="0" w:hanging="0"/>
              <w:jc w:val="left"/>
              <w:rPr>
                <w:spacing w:val="-2"/>
                <w:sz w:val="18"/>
              </w:rPr>
            </w:pPr>
            <w:r>
              <w:rPr>
                <w:spacing w:val="-2"/>
                <w:sz w:val="18"/>
              </w:rPr>
              <w:t xml:space="preserve">Earned awards vest in full </w:t>
            </w:r>
            <w:r>
              <mc:AlternateContent>
                <mc:Choice Requires="wps">
                  <w:drawing>
                    <wp:anchor behindDoc="0" distT="63500" distB="0" distL="0" distR="0" simplePos="0" locked="0" layoutInCell="1" allowOverlap="1" relativeHeight="792">
                      <wp:simplePos x="0" y="0"/>
                      <wp:positionH relativeFrom="column">
                        <wp:align>left</wp:align>
                      </wp:positionH>
                      <wp:positionV relativeFrom="line">
                        <wp:align>top</wp:align>
                      </wp:positionV>
                      <wp:extent cx="114300" cy="350520"/>
                      <wp:effectExtent l="0" t="0" r="0" b="0"/>
                      <wp:wrapSquare wrapText="right"/>
                      <wp:docPr id="892" name="Frame542"/>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sz w:val="18"/>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sz w:val="18"/>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3139" w:type="dxa"/>
            <w:tcBorders>
              <w:bottom w:val="single" w:sz="2" w:space="0" w:color="4B5088"/>
            </w:tcBorders>
            <w:tcMar>
              <w:bottom w:w="43" w:type="dxa"/>
            </w:tcMar>
            <w:vAlign w:val="center"/>
          </w:tcPr>
          <w:p>
            <w:pPr>
              <w:pStyle w:val="TableContents"/>
              <w:bidi w:val="0"/>
              <w:spacing w:lineRule="atLeast" w:line="220" w:before="0" w:after="0"/>
              <w:ind w:left="180" w:right="0" w:hanging="0"/>
              <w:jc w:val="left"/>
              <w:rPr>
                <w:sz w:val="18"/>
              </w:rPr>
            </w:pPr>
            <w:r>
              <w:rPr>
                <w:spacing w:val="-2"/>
                <w:sz w:val="18"/>
              </w:rPr>
              <w:t>Performance calculated as of end of performance period</w:t>
            </w:r>
            <w:r>
              <w:rPr>
                <w:sz w:val="18"/>
              </w:rPr>
              <w:t xml:space="preserve"> </w:t>
            </w:r>
            <w:r>
              <mc:AlternateContent>
                <mc:Choice Requires="wps">
                  <w:drawing>
                    <wp:anchor behindDoc="0" distT="0" distB="0" distL="0" distR="0" simplePos="0" locked="0" layoutInCell="1" allowOverlap="1" relativeHeight="793">
                      <wp:simplePos x="0" y="0"/>
                      <wp:positionH relativeFrom="column">
                        <wp:align>left</wp:align>
                      </wp:positionH>
                      <wp:positionV relativeFrom="line">
                        <wp:posOffset>635</wp:posOffset>
                      </wp:positionV>
                      <wp:extent cx="114300" cy="350520"/>
                      <wp:effectExtent l="0" t="0" r="0" b="0"/>
                      <wp:wrapSquare wrapText="right"/>
                      <wp:docPr id="893" name="Frame543"/>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sz w:val="18"/>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sz w:val="18"/>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00" w:after="0"/>
              <w:ind w:left="180" w:right="0" w:hanging="0"/>
              <w:jc w:val="left"/>
              <w:rPr>
                <w:sz w:val="18"/>
              </w:rPr>
            </w:pPr>
            <w:r>
              <w:rPr>
                <w:spacing w:val="-2"/>
                <w:sz w:val="18"/>
              </w:rPr>
              <w:t xml:space="preserve">Earned awards fully vested </w:t>
            </w:r>
            <w:r>
              <w:rPr>
                <w:b/>
                <w:spacing w:val="-2"/>
                <w:sz w:val="18"/>
              </w:rPr>
              <w:t>(Holliday)</w:t>
            </w:r>
            <w:r>
              <w:rPr>
                <w:sz w:val="18"/>
              </w:rPr>
              <w:t xml:space="preserve"> </w:t>
            </w:r>
            <w:r>
              <mc:AlternateContent>
                <mc:Choice Requires="wps">
                  <w:drawing>
                    <wp:anchor behindDoc="0" distT="63500" distB="0" distL="0" distR="0" simplePos="0" locked="0" layoutInCell="1" allowOverlap="1" relativeHeight="794">
                      <wp:simplePos x="0" y="0"/>
                      <wp:positionH relativeFrom="column">
                        <wp:align>left</wp:align>
                      </wp:positionH>
                      <wp:positionV relativeFrom="line">
                        <wp:align>top</wp:align>
                      </wp:positionV>
                      <wp:extent cx="114300" cy="350520"/>
                      <wp:effectExtent l="0" t="0" r="0" b="0"/>
                      <wp:wrapSquare wrapText="right"/>
                      <wp:docPr id="894" name="Frame544"/>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sz w:val="18"/>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sz w:val="18"/>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00" w:after="0"/>
              <w:ind w:left="180" w:right="0" w:hanging="0"/>
              <w:jc w:val="left"/>
              <w:rPr>
                <w:sz w:val="18"/>
              </w:rPr>
            </w:pPr>
            <w:r>
              <w:rPr>
                <w:spacing w:val="-2"/>
                <w:sz w:val="18"/>
              </w:rPr>
              <w:t xml:space="preserve">Earned awards fully vest, subject to proration such that no units vest if termination occurs during the first year, one-third vest if the termination occurs during the second year and two-thirds will vest if the termination occurs during the third year </w:t>
            </w:r>
            <w:r>
              <w:rPr>
                <w:b/>
                <w:spacing w:val="-2"/>
                <w:sz w:val="18"/>
              </w:rPr>
              <w:t>(DiLiberto / Levine)</w:t>
            </w:r>
            <w:r>
              <w:rPr>
                <w:sz w:val="18"/>
              </w:rPr>
              <w:t xml:space="preserve"> </w:t>
            </w:r>
            <w:r>
              <mc:AlternateContent>
                <mc:Choice Requires="wps">
                  <w:drawing>
                    <wp:anchor behindDoc="0" distT="63500" distB="0" distL="0" distR="0" simplePos="0" locked="0" layoutInCell="1" allowOverlap="1" relativeHeight="795">
                      <wp:simplePos x="0" y="0"/>
                      <wp:positionH relativeFrom="column">
                        <wp:align>left</wp:align>
                      </wp:positionH>
                      <wp:positionV relativeFrom="line">
                        <wp:align>top</wp:align>
                      </wp:positionV>
                      <wp:extent cx="114300" cy="350520"/>
                      <wp:effectExtent l="0" t="0" r="0" b="0"/>
                      <wp:wrapSquare wrapText="right"/>
                      <wp:docPr id="895" name="Frame545"/>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sz w:val="18"/>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sz w:val="18"/>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6" w:type="dxa"/>
            <w:tcBorders>
              <w:bottom w:val="single" w:sz="2" w:space="0" w:color="4B5088"/>
            </w:tcBorders>
            <w:tcMar>
              <w:bottom w:w="28" w:type="dxa"/>
            </w:tcMar>
            <w:vAlign w:val="center"/>
          </w:tcPr>
          <w:p>
            <w:pPr>
              <w:pStyle w:val="TableContents"/>
              <w:bidi w:val="0"/>
              <w:spacing w:before="0" w:after="283"/>
              <w:jc w:val="left"/>
              <w:rPr/>
            </w:pPr>
            <w:r>
              <w:rPr/>
              <w:t>​</w:t>
            </w:r>
          </w:p>
        </w:tc>
      </w:tr>
    </w:tbl>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240"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Accelerated vesting under the Annual Performance-Based Awards is generally subject to the effectiveness of a mutual release, except upon a termination as a result of death or in connection with or within 18 months after a change in control.</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52400" distB="0" distL="0" distR="0" simplePos="0" locked="0" layoutInCell="1" allowOverlap="1" relativeHeight="796">
                <wp:simplePos x="0" y="0"/>
                <wp:positionH relativeFrom="column">
                  <wp:align>left</wp:align>
                </wp:positionH>
                <wp:positionV relativeFrom="line">
                  <wp:align>top</wp:align>
                </wp:positionV>
                <wp:extent cx="254000" cy="254000"/>
                <wp:effectExtent l="0" t="0" r="0" b="0"/>
                <wp:wrapSquare wrapText="right"/>
                <wp:docPr id="896" name="Frame546"/>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2"/>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2"/>
                          <w:sz w:val="16"/>
                        </w:rPr>
                        <w:t>(1)</w:t>
                      </w:r>
                      <w:r>
                        <w:rPr>
                          <w:sz w:val="16"/>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Although Mr. Holliday’s Annual Performance-Based Awards no longer have an Operational Component, this treatment also applies to the Outperformance Modifier related to Mr. Holliday’s 2026 annual-time based equity awards.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797">
                <wp:simplePos x="0" y="0"/>
                <wp:positionH relativeFrom="column">
                  <wp:align>left</wp:align>
                </wp:positionH>
                <wp:positionV relativeFrom="line">
                  <wp:align>top</wp:align>
                </wp:positionV>
                <wp:extent cx="254000" cy="254000"/>
                <wp:effectExtent l="0" t="0" r="0" b="0"/>
                <wp:wrapSquare wrapText="right"/>
                <wp:docPr id="897" name="Frame547"/>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2"/>
                                <w:sz w:val="16"/>
                              </w:rPr>
                              <w:t>(2)</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2"/>
                          <w:sz w:val="16"/>
                        </w:rPr>
                        <w:t>(2)</w:t>
                      </w:r>
                      <w:r>
                        <w:rPr>
                          <w:sz w:val="16"/>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Beginning with the 2026 Annual Performance-Based Awards, the treatment would be the same for Mr. DiLiberto’s awards as for Mr. Holliday and Mr. Levine.</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798">
                <wp:simplePos x="0" y="0"/>
                <wp:positionH relativeFrom="column">
                  <wp:align>left</wp:align>
                </wp:positionH>
                <wp:positionV relativeFrom="line">
                  <wp:align>top</wp:align>
                </wp:positionV>
                <wp:extent cx="254000" cy="254000"/>
                <wp:effectExtent l="0" t="0" r="0" b="0"/>
                <wp:wrapSquare wrapText="right"/>
                <wp:docPr id="898" name="Frame548"/>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2"/>
                                <w:sz w:val="16"/>
                              </w:rPr>
                              <w:t>(3)</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2"/>
                          <w:sz w:val="16"/>
                        </w:rPr>
                        <w:t>(3)</w:t>
                      </w:r>
                      <w:r>
                        <w:rPr>
                          <w:sz w:val="16"/>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tbl>
      <w:tblPr>
        <w:tblW w:w="9305" w:type="dxa"/>
        <w:jc w:val="left"/>
        <w:tblInd w:w="900" w:type="dxa"/>
        <w:tblLayout w:type="fixed"/>
        <w:tblCellMar>
          <w:top w:w="0" w:type="dxa"/>
          <w:left w:w="0" w:type="dxa"/>
          <w:bottom w:w="0" w:type="dxa"/>
          <w:right w:w="0" w:type="dxa"/>
        </w:tblCellMar>
      </w:tblPr>
      <w:tblGrid>
        <w:gridCol w:w="124"/>
        <w:gridCol w:w="9027"/>
        <w:gridCol w:w="154"/>
      </w:tblGrid>
      <w:tr>
        <w:trPr/>
        <w:tc>
          <w:tcPr>
            <w:tcW w:w="124" w:type="dxa"/>
            <w:tcBorders/>
            <w:shd w:fill="E9F9D8" w:val="clear"/>
            <w:vAlign w:val="center"/>
          </w:tcPr>
          <w:p>
            <w:pPr>
              <w:pStyle w:val="TableContents"/>
              <w:bidi w:val="0"/>
              <w:spacing w:before="0" w:after="283"/>
              <w:jc w:val="left"/>
              <w:rPr/>
            </w:pPr>
            <w:r>
              <w:rPr/>
              <w:t>​</w:t>
            </w:r>
          </w:p>
        </w:tc>
        <w:tc>
          <w:tcPr>
            <w:tcW w:w="9027" w:type="dxa"/>
            <w:tcBorders/>
            <w:shd w:fill="E9F9D8" w:val="clear"/>
            <w:vAlign w:val="center"/>
          </w:tcPr>
          <w:p>
            <w:pPr>
              <w:pStyle w:val="TableContents"/>
              <w:bidi w:val="0"/>
              <w:spacing w:lineRule="atLeast" w:line="220" w:before="0" w:after="0"/>
              <w:jc w:val="left"/>
              <w:rPr/>
            </w:pPr>
            <w:r>
              <w:rPr>
                <w:spacing w:val="-2"/>
              </w:rPr>
              <w:t xml:space="preserve">As noted above, in connection with our CEO’s new employment agreement, annual goals no longer underpin our CEO’s performance-based equity awards. </w:t>
            </w:r>
            <w:r>
              <w:rPr>
                <w:b/>
                <w:spacing w:val="-2"/>
              </w:rPr>
              <w:t>Starting with 2026, all performance-based equity awards to our NEOs will be exclusively based on three-year performance goals</w:t>
            </w:r>
            <w:r>
              <w:rPr>
                <w:spacing w:val="-2"/>
              </w:rPr>
              <w:t>.</w:t>
            </w:r>
            <w:r>
              <w:rPr/>
              <w:t xml:space="preserve"> </w:t>
            </w:r>
          </w:p>
        </w:tc>
        <w:tc>
          <w:tcPr>
            <w:tcW w:w="154" w:type="dxa"/>
            <w:tcBorders/>
            <w:shd w:fill="E9F9D8" w:val="clear"/>
            <w:vAlign w:val="center"/>
          </w:tcPr>
          <w:p>
            <w:pPr>
              <w:pStyle w:val="TableContents"/>
              <w:bidi w:val="0"/>
              <w:spacing w:before="0" w:after="283"/>
              <w:jc w:val="left"/>
              <w:rPr/>
            </w:pPr>
            <w:r>
              <w:rPr/>
              <w:t>​</w:t>
            </w:r>
          </w:p>
        </w:tc>
      </w:tr>
    </w:tbl>
    <w:p>
      <w:pPr>
        <w:pStyle w:val="TextBody"/>
        <w:bidi w:val="0"/>
        <w:spacing w:lineRule="atLeast" w:line="260" w:before="240" w:after="283"/>
        <w:ind w:left="900" w:right="0" w:hanging="0"/>
        <w:jc w:val="left"/>
        <w:rPr>
          <w:rFonts w:ascii="Arial;Helvetica;sans-serif" w:hAnsi="Arial;Helvetica;sans-serif"/>
          <w:b/>
          <w:i w:val="false"/>
          <w:caps w:val="false"/>
          <w:smallCaps w:val="false"/>
          <w:color w:val="83AD40"/>
          <w:sz w:val="22"/>
        </w:rPr>
      </w:pPr>
      <w:r>
        <w:rPr>
          <w:rFonts w:ascii="Arial;Helvetica;sans-serif" w:hAnsi="Arial;Helvetica;sans-serif"/>
          <w:b/>
          <w:i w:val="false"/>
          <w:caps w:val="false"/>
          <w:smallCaps w:val="false"/>
          <w:color w:val="83AD40"/>
          <w:spacing w:val="-2"/>
          <w:sz w:val="22"/>
        </w:rPr>
        <w:t>Hypothetical Illustration of Payments upon Termination or Change in Control</w:t>
      </w:r>
      <w:r>
        <w:rPr>
          <w:rFonts w:ascii="Arial;Helvetica;sans-serif" w:hAnsi="Arial;Helvetica;sans-serif"/>
          <w:b/>
          <w:i w:val="false"/>
          <w:caps w:val="false"/>
          <w:smallCaps w:val="false"/>
          <w:color w:val="000000"/>
          <w:spacing w:val="4"/>
          <w:sz w:val="22"/>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pacing w:val="-2"/>
          <w:sz w:val="18"/>
        </w:rPr>
      </w:pPr>
      <w:r>
        <w:rPr>
          <w:rFonts w:ascii="Arial;Helvetica;sans-serif" w:hAnsi="Arial;Helvetica;sans-serif"/>
          <w:b w:val="false"/>
          <w:i w:val="false"/>
          <w:caps w:val="false"/>
          <w:smallCaps w:val="false"/>
          <w:color w:val="000000"/>
          <w:spacing w:val="-2"/>
          <w:sz w:val="18"/>
        </w:rPr>
        <w:t xml:space="preserve">The following tables show the potential payments and estimated value of the benefits that our named executive officers would have been entitled to receive upon a termination of their employment by us without cause or by them for good reason or upon the death or disability as of December 31, 2025. Our named executive officers would not have been entitled to any payments or benefits other than those already accrued in the event of a termination of their employment by us for cause or by them without good reason (including upon retirement). The types of events constituting cause, good reason, disability and a change in control may differ in some respects among the different arrangements providing for benefits to the named executive officers; however, for consistency in presentation, the payments and estimated value of benefits have been grouped together based on these concepts without regard for any such differences. The potential payments and estimated values set forth below are based on the terms of the employment agreements in effect as of December 31, 2025.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225" w:type="dxa"/>
        <w:jc w:val="left"/>
        <w:tblInd w:w="900" w:type="dxa"/>
        <w:tblLayout w:type="fixed"/>
        <w:tblCellMar>
          <w:top w:w="0" w:type="dxa"/>
          <w:left w:w="0" w:type="dxa"/>
          <w:bottom w:w="0" w:type="dxa"/>
          <w:right w:w="0" w:type="dxa"/>
        </w:tblCellMar>
      </w:tblPr>
      <w:tblGrid>
        <w:gridCol w:w="124"/>
        <w:gridCol w:w="346"/>
        <w:gridCol w:w="109"/>
        <w:gridCol w:w="109"/>
        <w:gridCol w:w="4383"/>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76</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383" w:type="dxa"/>
            <w:tcBorders/>
            <w:vAlign w:val="center"/>
          </w:tcPr>
          <w:p>
            <w:pPr>
              <w:pStyle w:val="TableContents"/>
              <w:bidi w:val="0"/>
              <w:spacing w:lineRule="atLeast" w:line="200" w:before="0" w:after="0"/>
              <w:jc w:val="left"/>
              <w:rPr/>
            </w:pPr>
            <w:r>
              <w:rPr>
                <w:spacing w:val="-2"/>
              </w:rPr>
              <w:t>    </w:t>
            </w:r>
            <w:r>
              <w:rPr>
                <w:spacing w:val="-2"/>
                <w:sz w:val="16"/>
              </w:rPr>
              <w:t>SL GREEN REALTY CORP. 2026 PROXY STATEMENT</w:t>
            </w:r>
            <w:r>
              <w:rPr>
                <w:sz w:val="16"/>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20" w:before="560" w:after="154"/>
        <w:ind w:left="900" w:right="0" w:hanging="0"/>
        <w:jc w:val="left"/>
        <w:rPr>
          <w:rFonts w:ascii="Arial;Helvetica;sans-serif" w:hAnsi="Arial;Helvetica;sans-serif"/>
          <w:b/>
          <w:i w:val="false"/>
          <w:caps w:val="false"/>
          <w:smallCaps w:val="false"/>
          <w:color w:val="1F2668"/>
          <w:sz w:val="18"/>
        </w:rPr>
      </w:pPr>
      <w:r>
        <w:rPr>
          <w:rFonts w:ascii="Arial;Helvetica;sans-serif" w:hAnsi="Arial;Helvetica;sans-serif"/>
          <w:b/>
          <w:i w:val="false"/>
          <w:caps w:val="false"/>
          <w:smallCaps w:val="false"/>
          <w:color w:val="1F2668"/>
          <w:spacing w:val="-2"/>
          <w:sz w:val="18"/>
        </w:rPr>
        <w:t>Marc Holliday</w:t>
      </w:r>
      <w:r>
        <w:rPr>
          <w:rFonts w:ascii="Arial;Helvetica;sans-serif" w:hAnsi="Arial;Helvetica;sans-serif"/>
          <w:b/>
          <w:i w:val="false"/>
          <w:caps w:val="false"/>
          <w:smallCaps w:val="false"/>
          <w:color w:val="000000"/>
          <w:spacing w:val="4"/>
          <w:sz w:val="18"/>
        </w:rPr>
        <w:t xml:space="preserve"> </w:t>
      </w:r>
    </w:p>
    <w:tbl>
      <w:tblPr>
        <w:tblW w:w="9305" w:type="dxa"/>
        <w:jc w:val="left"/>
        <w:tblInd w:w="900" w:type="dxa"/>
        <w:tblLayout w:type="fixed"/>
        <w:tblCellMar>
          <w:top w:w="0" w:type="dxa"/>
          <w:left w:w="0" w:type="dxa"/>
          <w:bottom w:w="63" w:type="dxa"/>
          <w:right w:w="0" w:type="dxa"/>
        </w:tblCellMar>
      </w:tblPr>
      <w:tblGrid>
        <w:gridCol w:w="1739"/>
        <w:gridCol w:w="109"/>
        <w:gridCol w:w="109"/>
        <w:gridCol w:w="110"/>
        <w:gridCol w:w="228"/>
        <w:gridCol w:w="1200"/>
        <w:gridCol w:w="110"/>
        <w:gridCol w:w="109"/>
        <w:gridCol w:w="109"/>
        <w:gridCol w:w="109"/>
        <w:gridCol w:w="226"/>
        <w:gridCol w:w="1186"/>
        <w:gridCol w:w="109"/>
        <w:gridCol w:w="109"/>
        <w:gridCol w:w="109"/>
        <w:gridCol w:w="109"/>
        <w:gridCol w:w="226"/>
        <w:gridCol w:w="1186"/>
        <w:gridCol w:w="109"/>
        <w:gridCol w:w="109"/>
        <w:gridCol w:w="109"/>
        <w:gridCol w:w="109"/>
        <w:gridCol w:w="226"/>
        <w:gridCol w:w="1186"/>
        <w:gridCol w:w="109"/>
        <w:gridCol w:w="156"/>
      </w:tblGrid>
      <w:tr>
        <w:trPr/>
        <w:tc>
          <w:tcPr>
            <w:tcW w:w="1739" w:type="dxa"/>
            <w:tcBorders>
              <w:bottom w:val="single" w:sz="2" w:space="0" w:color="1F2668"/>
            </w:tcBorders>
            <w:vAlign w:val="center"/>
          </w:tcPr>
          <w:p>
            <w:pPr>
              <w:pStyle w:val="TableContents"/>
              <w:bidi w:val="0"/>
              <w:spacing w:before="0" w:after="0"/>
              <w:jc w:val="left"/>
              <w:rPr>
                <w:spacing w:val="-2"/>
              </w:rPr>
            </w:pPr>
            <w:r>
              <w:rPr>
                <w:spacing w:val="-2"/>
              </w:rPr>
              <w:t xml:space="preserve">Payment/Benefit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48" w:type="dxa"/>
            <w:gridSpan w:val="4"/>
            <w:tcBorders>
              <w:bottom w:val="single" w:sz="2" w:space="0" w:color="1F2668"/>
            </w:tcBorders>
            <w:vAlign w:val="center"/>
          </w:tcPr>
          <w:p>
            <w:pPr>
              <w:pStyle w:val="TableContents"/>
              <w:bidi w:val="0"/>
              <w:spacing w:before="0" w:after="0"/>
              <w:jc w:val="right"/>
              <w:rPr/>
            </w:pPr>
            <w:r>
              <w:rPr>
                <w:spacing w:val="-2"/>
              </w:rPr>
              <w:t xml:space="preserve">Termination </w:t>
              <w:br/>
              <w:t xml:space="preserve">without Cause or </w:t>
              <w:br/>
              <w:t>for Good Reason</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30" w:type="dxa"/>
            <w:gridSpan w:val="4"/>
            <w:tcBorders>
              <w:bottom w:val="single" w:sz="2" w:space="0" w:color="1F2668"/>
            </w:tcBorders>
            <w:vAlign w:val="center"/>
          </w:tcPr>
          <w:p>
            <w:pPr>
              <w:pStyle w:val="TableContents"/>
              <w:bidi w:val="0"/>
              <w:spacing w:before="0" w:after="0"/>
              <w:jc w:val="right"/>
              <w:rPr/>
            </w:pPr>
            <w:r>
              <w:rPr>
                <w:spacing w:val="-2"/>
              </w:rPr>
              <w:t xml:space="preserve">Termination </w:t>
              <w:br/>
              <w:t xml:space="preserve">w/ Change in </w:t>
              <w:br/>
              <w:t>Control</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30" w:type="dxa"/>
            <w:gridSpan w:val="4"/>
            <w:tcBorders>
              <w:bottom w:val="single" w:sz="2" w:space="0" w:color="1F2668"/>
            </w:tcBorders>
            <w:vAlign w:val="center"/>
          </w:tcPr>
          <w:p>
            <w:pPr>
              <w:pStyle w:val="TableContents"/>
              <w:bidi w:val="0"/>
              <w:spacing w:before="0" w:after="0"/>
              <w:jc w:val="right"/>
              <w:rPr/>
            </w:pPr>
            <w:r>
              <w:rPr>
                <w:spacing w:val="-2"/>
              </w:rPr>
              <w:t>Disability</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30" w:type="dxa"/>
            <w:gridSpan w:val="4"/>
            <w:tcBorders>
              <w:bottom w:val="single" w:sz="2" w:space="0" w:color="1F2668"/>
            </w:tcBorders>
            <w:vAlign w:val="center"/>
          </w:tcPr>
          <w:p>
            <w:pPr>
              <w:pStyle w:val="TableContents"/>
              <w:bidi w:val="0"/>
              <w:spacing w:lineRule="atLeast" w:line="142" w:before="0" w:after="0"/>
              <w:jc w:val="right"/>
              <w:rPr/>
            </w:pPr>
            <w:r>
              <w:rPr>
                <w:spacing w:val="-2"/>
              </w:rPr>
              <w:t>Death</w:t>
            </w:r>
            <w:r>
              <w:rPr>
                <w:b/>
                <w:spacing w:val="-1"/>
                <w:sz w:val="10"/>
              </w:rPr>
              <w:t>(1)</w:t>
            </w:r>
            <w:r>
              <w:rPr/>
              <w:t xml:space="preserve">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739" w:type="dxa"/>
            <w:tcBorders>
              <w:bottom w:val="single" w:sz="2" w:space="0" w:color="4B5088"/>
            </w:tcBorders>
            <w:tcMar>
              <w:bottom w:w="70" w:type="dxa"/>
            </w:tcMar>
            <w:vAlign w:val="center"/>
          </w:tcPr>
          <w:p>
            <w:pPr>
              <w:pStyle w:val="TableContents"/>
              <w:bidi w:val="0"/>
              <w:spacing w:before="0" w:after="283"/>
              <w:jc w:val="left"/>
              <w:rPr>
                <w:spacing w:val="-2"/>
              </w:rPr>
            </w:pPr>
            <w:r>
              <w:rPr>
                <w:spacing w:val="-2"/>
              </w:rPr>
              <w:t xml:space="preserve">Pro-Rata Bonus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0" w:type="dxa"/>
            <w:tcBorders>
              <w:bottom w:val="single" w:sz="2" w:space="0" w:color="4B5088"/>
            </w:tcBorders>
            <w:tcMar>
              <w:bottom w:w="28" w:type="dxa"/>
            </w:tcMar>
            <w:vAlign w:val="center"/>
          </w:tcPr>
          <w:p>
            <w:pPr>
              <w:pStyle w:val="TableContents"/>
              <w:bidi w:val="0"/>
              <w:spacing w:before="0" w:after="283"/>
              <w:jc w:val="left"/>
              <w:rPr/>
            </w:pPr>
            <w:r>
              <w:rPr/>
              <w:t>​</w:t>
            </w:r>
          </w:p>
        </w:tc>
        <w:tc>
          <w:tcPr>
            <w:tcW w:w="228" w:type="dxa"/>
            <w:tcBorders>
              <w:bottom w:val="single" w:sz="2" w:space="0" w:color="4B5088"/>
            </w:tcBorders>
            <w:tcMar>
              <w:bottom w:w="70" w:type="dxa"/>
            </w:tcMar>
            <w:vAlign w:val="center"/>
          </w:tcPr>
          <w:p>
            <w:pPr>
              <w:pStyle w:val="TableContents"/>
              <w:bidi w:val="0"/>
              <w:spacing w:before="0" w:after="283"/>
              <w:jc w:val="right"/>
              <w:rPr/>
            </w:pPr>
            <w:r>
              <w:rPr/>
              <w:t>$</w:t>
            </w:r>
          </w:p>
        </w:tc>
        <w:tc>
          <w:tcPr>
            <w:tcW w:w="1200" w:type="dxa"/>
            <w:tcBorders>
              <w:bottom w:val="single" w:sz="2" w:space="0" w:color="4B5088"/>
            </w:tcBorders>
            <w:tcMar>
              <w:bottom w:w="70" w:type="dxa"/>
            </w:tcMar>
            <w:vAlign w:val="center"/>
          </w:tcPr>
          <w:p>
            <w:pPr>
              <w:pStyle w:val="TableContents"/>
              <w:bidi w:val="0"/>
              <w:spacing w:before="0" w:after="283"/>
              <w:jc w:val="right"/>
              <w:rPr/>
            </w:pPr>
            <w:r>
              <w:rPr/>
              <w:t>8,038,333</w:t>
            </w:r>
          </w:p>
        </w:tc>
        <w:tc>
          <w:tcPr>
            <w:tcW w:w="110"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w:t>
            </w:r>
          </w:p>
        </w:tc>
        <w:tc>
          <w:tcPr>
            <w:tcW w:w="1186" w:type="dxa"/>
            <w:tcBorders>
              <w:bottom w:val="single" w:sz="2" w:space="0" w:color="4B5088"/>
            </w:tcBorders>
            <w:tcMar>
              <w:bottom w:w="70" w:type="dxa"/>
            </w:tcMar>
            <w:vAlign w:val="center"/>
          </w:tcPr>
          <w:p>
            <w:pPr>
              <w:pStyle w:val="TableContents"/>
              <w:bidi w:val="0"/>
              <w:spacing w:before="0" w:after="283"/>
              <w:jc w:val="right"/>
              <w:rPr/>
            </w:pPr>
            <w:r>
              <w:rPr/>
              <w:t>8,038,333</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w:t>
            </w:r>
          </w:p>
        </w:tc>
        <w:tc>
          <w:tcPr>
            <w:tcW w:w="1186" w:type="dxa"/>
            <w:tcBorders>
              <w:bottom w:val="single" w:sz="2" w:space="0" w:color="4B5088"/>
            </w:tcBorders>
            <w:tcMar>
              <w:bottom w:w="70" w:type="dxa"/>
            </w:tcMar>
            <w:vAlign w:val="center"/>
          </w:tcPr>
          <w:p>
            <w:pPr>
              <w:pStyle w:val="TableContents"/>
              <w:bidi w:val="0"/>
              <w:spacing w:before="0" w:after="283"/>
              <w:jc w:val="right"/>
              <w:rPr/>
            </w:pPr>
            <w:r>
              <w:rPr/>
              <w:t>8,038,333</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w:t>
            </w:r>
          </w:p>
        </w:tc>
        <w:tc>
          <w:tcPr>
            <w:tcW w:w="1186" w:type="dxa"/>
            <w:tcBorders>
              <w:bottom w:val="single" w:sz="2" w:space="0" w:color="4B5088"/>
            </w:tcBorders>
            <w:tcMar>
              <w:bottom w:w="70" w:type="dxa"/>
            </w:tcMar>
            <w:vAlign w:val="center"/>
          </w:tcPr>
          <w:p>
            <w:pPr>
              <w:pStyle w:val="TableContents"/>
              <w:bidi w:val="0"/>
              <w:spacing w:before="0" w:after="283"/>
              <w:jc w:val="right"/>
              <w:rPr/>
            </w:pPr>
            <w:r>
              <w:rPr/>
              <w:t>8,038,333</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739" w:type="dxa"/>
            <w:tcBorders>
              <w:bottom w:val="single" w:sz="2" w:space="0" w:color="4B5088"/>
            </w:tcBorders>
            <w:tcMar>
              <w:bottom w:w="70" w:type="dxa"/>
            </w:tcMar>
            <w:vAlign w:val="center"/>
          </w:tcPr>
          <w:p>
            <w:pPr>
              <w:pStyle w:val="TableContents"/>
              <w:bidi w:val="0"/>
              <w:spacing w:before="0" w:after="283"/>
              <w:jc w:val="left"/>
              <w:rPr>
                <w:spacing w:val="-2"/>
              </w:rPr>
            </w:pPr>
            <w:r>
              <w:rPr>
                <w:spacing w:val="-2"/>
              </w:rPr>
              <w:t xml:space="preserve">Cash Severance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0" w:type="dxa"/>
            <w:tcBorders>
              <w:bottom w:val="single" w:sz="2" w:space="0" w:color="4B5088"/>
            </w:tcBorders>
            <w:tcMar>
              <w:bottom w:w="28" w:type="dxa"/>
            </w:tcMar>
            <w:vAlign w:val="center"/>
          </w:tcPr>
          <w:p>
            <w:pPr>
              <w:pStyle w:val="TableContents"/>
              <w:bidi w:val="0"/>
              <w:spacing w:before="0" w:after="283"/>
              <w:jc w:val="left"/>
              <w:rPr/>
            </w:pPr>
            <w:r>
              <w:rPr/>
              <w:t>​</w:t>
            </w:r>
          </w:p>
        </w:tc>
        <w:tc>
          <w:tcPr>
            <w:tcW w:w="228" w:type="dxa"/>
            <w:tcBorders>
              <w:bottom w:val="single" w:sz="2" w:space="0" w:color="4B5088"/>
            </w:tcBorders>
            <w:tcMar>
              <w:bottom w:w="70" w:type="dxa"/>
            </w:tcMar>
            <w:vAlign w:val="center"/>
          </w:tcPr>
          <w:p>
            <w:pPr>
              <w:pStyle w:val="TableContents"/>
              <w:bidi w:val="0"/>
              <w:spacing w:before="0" w:after="283"/>
              <w:jc w:val="right"/>
              <w:rPr/>
            </w:pPr>
            <w:r>
              <w:rPr/>
              <w:t>$</w:t>
            </w:r>
          </w:p>
        </w:tc>
        <w:tc>
          <w:tcPr>
            <w:tcW w:w="1200" w:type="dxa"/>
            <w:tcBorders>
              <w:bottom w:val="single" w:sz="2" w:space="0" w:color="4B5088"/>
            </w:tcBorders>
            <w:tcMar>
              <w:bottom w:w="70" w:type="dxa"/>
            </w:tcMar>
            <w:vAlign w:val="center"/>
          </w:tcPr>
          <w:p>
            <w:pPr>
              <w:pStyle w:val="TableContents"/>
              <w:bidi w:val="0"/>
              <w:spacing w:before="0" w:after="283"/>
              <w:jc w:val="right"/>
              <w:rPr/>
            </w:pPr>
            <w:r>
              <w:rPr/>
              <w:t>18,314,999</w:t>
            </w:r>
          </w:p>
        </w:tc>
        <w:tc>
          <w:tcPr>
            <w:tcW w:w="110"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w:t>
            </w:r>
          </w:p>
        </w:tc>
        <w:tc>
          <w:tcPr>
            <w:tcW w:w="1186" w:type="dxa"/>
            <w:tcBorders>
              <w:bottom w:val="single" w:sz="2" w:space="0" w:color="4B5088"/>
            </w:tcBorders>
            <w:tcMar>
              <w:bottom w:w="70" w:type="dxa"/>
            </w:tcMar>
            <w:vAlign w:val="center"/>
          </w:tcPr>
          <w:p>
            <w:pPr>
              <w:pStyle w:val="TableContents"/>
              <w:bidi w:val="0"/>
              <w:spacing w:before="0" w:after="283"/>
              <w:jc w:val="right"/>
              <w:rPr/>
            </w:pPr>
            <w:r>
              <w:rPr/>
              <w:t>28,314,999</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w:t>
            </w:r>
          </w:p>
        </w:tc>
        <w:tc>
          <w:tcPr>
            <w:tcW w:w="1186" w:type="dxa"/>
            <w:tcBorders>
              <w:bottom w:val="single" w:sz="2" w:space="0" w:color="4B5088"/>
            </w:tcBorders>
            <w:tcMar>
              <w:bottom w:w="70" w:type="dxa"/>
            </w:tcMar>
            <w:vAlign w:val="center"/>
          </w:tcPr>
          <w:p>
            <w:pPr>
              <w:pStyle w:val="TableContents"/>
              <w:bidi w:val="0"/>
              <w:spacing w:before="0" w:after="283"/>
              <w:jc w:val="right"/>
              <w:rPr/>
            </w:pPr>
            <w:r>
              <w:rPr/>
              <w:t>9,438,333</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w:t>
            </w:r>
          </w:p>
        </w:tc>
        <w:tc>
          <w:tcPr>
            <w:tcW w:w="1186" w:type="dxa"/>
            <w:tcBorders>
              <w:bottom w:val="single" w:sz="2" w:space="0" w:color="4B5088"/>
            </w:tcBorders>
            <w:tcMar>
              <w:bottom w:w="70"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739" w:type="dxa"/>
            <w:tcBorders>
              <w:bottom w:val="single" w:sz="2" w:space="0" w:color="4B5088"/>
            </w:tcBorders>
            <w:tcMar>
              <w:bottom w:w="70" w:type="dxa"/>
            </w:tcMar>
            <w:vAlign w:val="center"/>
          </w:tcPr>
          <w:p>
            <w:pPr>
              <w:pStyle w:val="TableContents"/>
              <w:bidi w:val="0"/>
              <w:spacing w:before="0" w:after="283"/>
              <w:jc w:val="left"/>
              <w:rPr/>
            </w:pPr>
            <w:r>
              <w:rPr>
                <w:spacing w:val="-2"/>
              </w:rPr>
              <w:t>Stock Option / Class O LTIP Unit Vesting</w:t>
            </w:r>
            <w:r>
              <w:rPr>
                <w:spacing w:val="-1"/>
                <w:sz w:val="11"/>
              </w:rPr>
              <w:t>(2)</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0" w:type="dxa"/>
            <w:tcBorders>
              <w:bottom w:val="single" w:sz="2" w:space="0" w:color="4B5088"/>
            </w:tcBorders>
            <w:tcMar>
              <w:bottom w:w="28" w:type="dxa"/>
            </w:tcMar>
            <w:vAlign w:val="center"/>
          </w:tcPr>
          <w:p>
            <w:pPr>
              <w:pStyle w:val="TableContents"/>
              <w:bidi w:val="0"/>
              <w:spacing w:before="0" w:after="283"/>
              <w:jc w:val="left"/>
              <w:rPr/>
            </w:pPr>
            <w:r>
              <w:rPr/>
              <w:t>​</w:t>
            </w:r>
          </w:p>
        </w:tc>
        <w:tc>
          <w:tcPr>
            <w:tcW w:w="228" w:type="dxa"/>
            <w:tcBorders>
              <w:bottom w:val="single" w:sz="2" w:space="0" w:color="4B5088"/>
            </w:tcBorders>
            <w:tcMar>
              <w:bottom w:w="70" w:type="dxa"/>
            </w:tcMar>
            <w:vAlign w:val="center"/>
          </w:tcPr>
          <w:p>
            <w:pPr>
              <w:pStyle w:val="TableContents"/>
              <w:bidi w:val="0"/>
              <w:spacing w:before="0" w:after="283"/>
              <w:jc w:val="right"/>
              <w:rPr/>
            </w:pPr>
            <w:r>
              <w:rPr/>
              <w:t>​</w:t>
            </w:r>
          </w:p>
        </w:tc>
        <w:tc>
          <w:tcPr>
            <w:tcW w:w="1200" w:type="dxa"/>
            <w:tcBorders>
              <w:bottom w:val="single" w:sz="2" w:space="0" w:color="4B5088"/>
            </w:tcBorders>
            <w:tcMar>
              <w:bottom w:w="70" w:type="dxa"/>
            </w:tcMar>
            <w:vAlign w:val="center"/>
          </w:tcPr>
          <w:p>
            <w:pPr>
              <w:pStyle w:val="TableContents"/>
              <w:bidi w:val="0"/>
              <w:spacing w:before="0" w:after="283"/>
              <w:jc w:val="right"/>
              <w:rPr/>
            </w:pPr>
            <w:r>
              <w:rPr/>
              <w:t>—</w:t>
            </w:r>
          </w:p>
        </w:tc>
        <w:tc>
          <w:tcPr>
            <w:tcW w:w="110"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w:t>
            </w:r>
          </w:p>
        </w:tc>
        <w:tc>
          <w:tcPr>
            <w:tcW w:w="1186" w:type="dxa"/>
            <w:tcBorders>
              <w:bottom w:val="single" w:sz="2" w:space="0" w:color="4B5088"/>
            </w:tcBorders>
            <w:tcMar>
              <w:bottom w:w="70"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w:t>
            </w:r>
          </w:p>
        </w:tc>
        <w:tc>
          <w:tcPr>
            <w:tcW w:w="1186" w:type="dxa"/>
            <w:tcBorders>
              <w:bottom w:val="single" w:sz="2" w:space="0" w:color="4B5088"/>
            </w:tcBorders>
            <w:tcMar>
              <w:bottom w:w="70"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w:t>
            </w:r>
          </w:p>
        </w:tc>
        <w:tc>
          <w:tcPr>
            <w:tcW w:w="1186" w:type="dxa"/>
            <w:tcBorders>
              <w:bottom w:val="single" w:sz="2" w:space="0" w:color="4B5088"/>
            </w:tcBorders>
            <w:tcMar>
              <w:bottom w:w="70"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739" w:type="dxa"/>
            <w:tcBorders>
              <w:bottom w:val="single" w:sz="2" w:space="0" w:color="4B5088"/>
            </w:tcBorders>
            <w:tcMar>
              <w:bottom w:w="70" w:type="dxa"/>
            </w:tcMar>
            <w:vAlign w:val="center"/>
          </w:tcPr>
          <w:p>
            <w:pPr>
              <w:pStyle w:val="TableContents"/>
              <w:bidi w:val="0"/>
              <w:spacing w:before="0" w:after="283"/>
              <w:jc w:val="left"/>
              <w:rPr/>
            </w:pPr>
            <w:r>
              <w:rPr>
                <w:spacing w:val="-2"/>
              </w:rPr>
              <w:t>LTIP Unit / Stock Unit Vesting</w:t>
            </w:r>
            <w:r>
              <w:rPr>
                <w:spacing w:val="-1"/>
                <w:sz w:val="11"/>
              </w:rPr>
              <w:t>(3)</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0" w:type="dxa"/>
            <w:tcBorders>
              <w:bottom w:val="single" w:sz="2" w:space="0" w:color="4B5088"/>
            </w:tcBorders>
            <w:tcMar>
              <w:bottom w:w="28" w:type="dxa"/>
            </w:tcMar>
            <w:vAlign w:val="center"/>
          </w:tcPr>
          <w:p>
            <w:pPr>
              <w:pStyle w:val="TableContents"/>
              <w:bidi w:val="0"/>
              <w:spacing w:before="0" w:after="283"/>
              <w:jc w:val="left"/>
              <w:rPr/>
            </w:pPr>
            <w:r>
              <w:rPr/>
              <w:t>​</w:t>
            </w:r>
          </w:p>
        </w:tc>
        <w:tc>
          <w:tcPr>
            <w:tcW w:w="228" w:type="dxa"/>
            <w:tcBorders>
              <w:bottom w:val="single" w:sz="2" w:space="0" w:color="4B5088"/>
            </w:tcBorders>
            <w:tcMar>
              <w:bottom w:w="70" w:type="dxa"/>
            </w:tcMar>
            <w:vAlign w:val="center"/>
          </w:tcPr>
          <w:p>
            <w:pPr>
              <w:pStyle w:val="TableContents"/>
              <w:bidi w:val="0"/>
              <w:spacing w:before="0" w:after="283"/>
              <w:jc w:val="right"/>
              <w:rPr/>
            </w:pPr>
            <w:r>
              <w:rPr/>
              <w:t>$</w:t>
            </w:r>
          </w:p>
        </w:tc>
        <w:tc>
          <w:tcPr>
            <w:tcW w:w="1200" w:type="dxa"/>
            <w:tcBorders>
              <w:bottom w:val="single" w:sz="2" w:space="0" w:color="4B5088"/>
            </w:tcBorders>
            <w:tcMar>
              <w:bottom w:w="70" w:type="dxa"/>
            </w:tcMar>
            <w:vAlign w:val="center"/>
          </w:tcPr>
          <w:p>
            <w:pPr>
              <w:pStyle w:val="TableContents"/>
              <w:bidi w:val="0"/>
              <w:spacing w:before="0" w:after="283"/>
              <w:jc w:val="right"/>
              <w:rPr/>
            </w:pPr>
            <w:r>
              <w:rPr/>
              <w:t>15,510,774</w:t>
            </w:r>
          </w:p>
        </w:tc>
        <w:tc>
          <w:tcPr>
            <w:tcW w:w="110"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w:t>
            </w:r>
          </w:p>
        </w:tc>
        <w:tc>
          <w:tcPr>
            <w:tcW w:w="1186" w:type="dxa"/>
            <w:tcBorders>
              <w:bottom w:val="single" w:sz="2" w:space="0" w:color="4B5088"/>
            </w:tcBorders>
            <w:tcMar>
              <w:bottom w:w="70" w:type="dxa"/>
            </w:tcMar>
            <w:vAlign w:val="center"/>
          </w:tcPr>
          <w:p>
            <w:pPr>
              <w:pStyle w:val="TableContents"/>
              <w:bidi w:val="0"/>
              <w:spacing w:before="0" w:after="283"/>
              <w:jc w:val="right"/>
              <w:rPr/>
            </w:pPr>
            <w:r>
              <w:rPr/>
              <w:t>21,948,199</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w:t>
            </w:r>
          </w:p>
        </w:tc>
        <w:tc>
          <w:tcPr>
            <w:tcW w:w="1186" w:type="dxa"/>
            <w:tcBorders>
              <w:bottom w:val="single" w:sz="2" w:space="0" w:color="4B5088"/>
            </w:tcBorders>
            <w:tcMar>
              <w:bottom w:w="70" w:type="dxa"/>
            </w:tcMar>
            <w:vAlign w:val="center"/>
          </w:tcPr>
          <w:p>
            <w:pPr>
              <w:pStyle w:val="TableContents"/>
              <w:bidi w:val="0"/>
              <w:spacing w:before="0" w:after="283"/>
              <w:jc w:val="right"/>
              <w:rPr/>
            </w:pPr>
            <w:r>
              <w:rPr/>
              <w:t>15,510,774</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w:t>
            </w:r>
          </w:p>
        </w:tc>
        <w:tc>
          <w:tcPr>
            <w:tcW w:w="1186" w:type="dxa"/>
            <w:tcBorders>
              <w:bottom w:val="single" w:sz="2" w:space="0" w:color="4B5088"/>
            </w:tcBorders>
            <w:tcMar>
              <w:bottom w:w="70" w:type="dxa"/>
            </w:tcMar>
            <w:vAlign w:val="center"/>
          </w:tcPr>
          <w:p>
            <w:pPr>
              <w:pStyle w:val="TableContents"/>
              <w:bidi w:val="0"/>
              <w:spacing w:before="0" w:after="283"/>
              <w:jc w:val="right"/>
              <w:rPr/>
            </w:pPr>
            <w:r>
              <w:rPr/>
              <w:t>15,510,774</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739" w:type="dxa"/>
            <w:tcBorders>
              <w:bottom w:val="single" w:sz="2" w:space="0" w:color="1F2668"/>
            </w:tcBorders>
            <w:tcMar>
              <w:bottom w:w="70" w:type="dxa"/>
            </w:tcMar>
            <w:vAlign w:val="center"/>
          </w:tcPr>
          <w:p>
            <w:pPr>
              <w:pStyle w:val="TableContents"/>
              <w:bidi w:val="0"/>
              <w:spacing w:before="0" w:after="283"/>
              <w:jc w:val="left"/>
              <w:rPr/>
            </w:pPr>
            <w:r>
              <w:rPr>
                <w:spacing w:val="-2"/>
              </w:rPr>
              <w:t>Benefits Continuation</w:t>
            </w:r>
            <w:r>
              <w:rPr>
                <w:spacing w:val="-1"/>
                <w:sz w:val="11"/>
              </w:rPr>
              <w:t>(4)</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0" w:type="dxa"/>
            <w:tcBorders>
              <w:bottom w:val="single" w:sz="2" w:space="0" w:color="1F2668"/>
            </w:tcBorders>
            <w:tcMar>
              <w:bottom w:w="28" w:type="dxa"/>
            </w:tcMar>
            <w:vAlign w:val="center"/>
          </w:tcPr>
          <w:p>
            <w:pPr>
              <w:pStyle w:val="TableContents"/>
              <w:bidi w:val="0"/>
              <w:spacing w:before="0" w:after="283"/>
              <w:jc w:val="left"/>
              <w:rPr/>
            </w:pPr>
            <w:r>
              <w:rPr/>
              <w:t>​</w:t>
            </w:r>
          </w:p>
        </w:tc>
        <w:tc>
          <w:tcPr>
            <w:tcW w:w="228" w:type="dxa"/>
            <w:tcBorders>
              <w:bottom w:val="single" w:sz="2" w:space="0" w:color="1F2668"/>
            </w:tcBorders>
            <w:tcMar>
              <w:bottom w:w="70" w:type="dxa"/>
            </w:tcMar>
            <w:vAlign w:val="center"/>
          </w:tcPr>
          <w:p>
            <w:pPr>
              <w:pStyle w:val="TableContents"/>
              <w:bidi w:val="0"/>
              <w:spacing w:before="0" w:after="283"/>
              <w:jc w:val="right"/>
              <w:rPr/>
            </w:pPr>
            <w:r>
              <w:rPr/>
              <w:t>$</w:t>
            </w:r>
          </w:p>
        </w:tc>
        <w:tc>
          <w:tcPr>
            <w:tcW w:w="1200" w:type="dxa"/>
            <w:tcBorders>
              <w:bottom w:val="single" w:sz="2" w:space="0" w:color="1F2668"/>
            </w:tcBorders>
            <w:tcMar>
              <w:bottom w:w="70" w:type="dxa"/>
            </w:tcMar>
            <w:vAlign w:val="center"/>
          </w:tcPr>
          <w:p>
            <w:pPr>
              <w:pStyle w:val="TableContents"/>
              <w:bidi w:val="0"/>
              <w:spacing w:before="0" w:after="283"/>
              <w:jc w:val="right"/>
              <w:rPr/>
            </w:pPr>
            <w:r>
              <w:rPr/>
              <w:t>163,747</w:t>
            </w:r>
          </w:p>
        </w:tc>
        <w:tc>
          <w:tcPr>
            <w:tcW w:w="110"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226" w:type="dxa"/>
            <w:tcBorders>
              <w:bottom w:val="single" w:sz="2" w:space="0" w:color="1F2668"/>
            </w:tcBorders>
            <w:tcMar>
              <w:bottom w:w="70" w:type="dxa"/>
            </w:tcMar>
            <w:vAlign w:val="center"/>
          </w:tcPr>
          <w:p>
            <w:pPr>
              <w:pStyle w:val="TableContents"/>
              <w:bidi w:val="0"/>
              <w:spacing w:before="0" w:after="283"/>
              <w:jc w:val="right"/>
              <w:rPr/>
            </w:pPr>
            <w:r>
              <w:rPr/>
              <w:t>$</w:t>
            </w:r>
          </w:p>
        </w:tc>
        <w:tc>
          <w:tcPr>
            <w:tcW w:w="1186" w:type="dxa"/>
            <w:tcBorders>
              <w:bottom w:val="single" w:sz="2" w:space="0" w:color="1F2668"/>
            </w:tcBorders>
            <w:tcMar>
              <w:bottom w:w="70" w:type="dxa"/>
            </w:tcMar>
            <w:vAlign w:val="center"/>
          </w:tcPr>
          <w:p>
            <w:pPr>
              <w:pStyle w:val="TableContents"/>
              <w:bidi w:val="0"/>
              <w:spacing w:before="0" w:after="283"/>
              <w:jc w:val="right"/>
              <w:rPr/>
            </w:pPr>
            <w:r>
              <w:rPr/>
              <w:t>245,620</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226" w:type="dxa"/>
            <w:tcBorders>
              <w:bottom w:val="single" w:sz="2" w:space="0" w:color="1F2668"/>
            </w:tcBorders>
            <w:tcMar>
              <w:bottom w:w="70" w:type="dxa"/>
            </w:tcMar>
            <w:vAlign w:val="center"/>
          </w:tcPr>
          <w:p>
            <w:pPr>
              <w:pStyle w:val="TableContents"/>
              <w:bidi w:val="0"/>
              <w:spacing w:before="0" w:after="283"/>
              <w:jc w:val="right"/>
              <w:rPr/>
            </w:pPr>
            <w:r>
              <w:rPr/>
              <w:t>$</w:t>
            </w:r>
          </w:p>
        </w:tc>
        <w:tc>
          <w:tcPr>
            <w:tcW w:w="1186" w:type="dxa"/>
            <w:tcBorders>
              <w:bottom w:val="single" w:sz="2" w:space="0" w:color="1F2668"/>
            </w:tcBorders>
            <w:tcMar>
              <w:bottom w:w="70" w:type="dxa"/>
            </w:tcMar>
            <w:vAlign w:val="center"/>
          </w:tcPr>
          <w:p>
            <w:pPr>
              <w:pStyle w:val="TableContents"/>
              <w:bidi w:val="0"/>
              <w:spacing w:before="0" w:after="283"/>
              <w:jc w:val="right"/>
              <w:rPr/>
            </w:pPr>
            <w:r>
              <w:rPr/>
              <w:t>245,620</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226" w:type="dxa"/>
            <w:tcBorders>
              <w:bottom w:val="single" w:sz="2" w:space="0" w:color="1F2668"/>
            </w:tcBorders>
            <w:tcMar>
              <w:bottom w:w="70" w:type="dxa"/>
            </w:tcMar>
            <w:vAlign w:val="center"/>
          </w:tcPr>
          <w:p>
            <w:pPr>
              <w:pStyle w:val="TableContents"/>
              <w:bidi w:val="0"/>
              <w:spacing w:before="0" w:after="283"/>
              <w:jc w:val="right"/>
              <w:rPr/>
            </w:pPr>
            <w:r>
              <w:rPr/>
              <w:t>​</w:t>
            </w:r>
          </w:p>
        </w:tc>
        <w:tc>
          <w:tcPr>
            <w:tcW w:w="1186" w:type="dxa"/>
            <w:tcBorders>
              <w:bottom w:val="single" w:sz="2" w:space="0" w:color="1F2668"/>
            </w:tcBorders>
            <w:tcMar>
              <w:bottom w:w="70" w:type="dxa"/>
            </w:tcMar>
            <w:vAlign w:val="center"/>
          </w:tcPr>
          <w:p>
            <w:pPr>
              <w:pStyle w:val="TableContents"/>
              <w:bidi w:val="0"/>
              <w:spacing w:before="0" w:after="283"/>
              <w:jc w:val="righ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lineRule="atLeast" w:line="220" w:before="320" w:after="283"/>
        <w:ind w:left="900" w:right="0" w:hanging="0"/>
        <w:jc w:val="left"/>
        <w:rPr>
          <w:rFonts w:ascii="Arial;Helvetica;sans-serif" w:hAnsi="Arial;Helvetica;sans-serif"/>
          <w:b/>
          <w:i w:val="false"/>
          <w:caps w:val="false"/>
          <w:smallCaps w:val="false"/>
          <w:color w:val="1F2668"/>
          <w:sz w:val="18"/>
        </w:rPr>
      </w:pPr>
      <w:r>
        <w:rPr>
          <w:rFonts w:ascii="Arial;Helvetica;sans-serif" w:hAnsi="Arial;Helvetica;sans-serif"/>
          <w:b/>
          <w:i w:val="false"/>
          <w:caps w:val="false"/>
          <w:smallCaps w:val="false"/>
          <w:color w:val="1F2668"/>
          <w:spacing w:val="-2"/>
          <w:sz w:val="18"/>
        </w:rPr>
        <w:t>Matthew J. DiLiberto</w:t>
      </w:r>
      <w:r>
        <w:rPr>
          <w:rFonts w:ascii="Arial;Helvetica;sans-serif" w:hAnsi="Arial;Helvetica;sans-serif"/>
          <w:b/>
          <w:i w:val="false"/>
          <w:caps w:val="false"/>
          <w:smallCaps w:val="false"/>
          <w:color w:val="000000"/>
          <w:spacing w:val="4"/>
          <w:sz w:val="18"/>
        </w:rPr>
        <w:t xml:space="preserve"> </w:t>
      </w:r>
    </w:p>
    <w:tbl>
      <w:tblPr>
        <w:tblW w:w="9305" w:type="dxa"/>
        <w:jc w:val="left"/>
        <w:tblInd w:w="900" w:type="dxa"/>
        <w:tblLayout w:type="fixed"/>
        <w:tblCellMar>
          <w:top w:w="0" w:type="dxa"/>
          <w:left w:w="0" w:type="dxa"/>
          <w:bottom w:w="63" w:type="dxa"/>
          <w:right w:w="0" w:type="dxa"/>
        </w:tblCellMar>
      </w:tblPr>
      <w:tblGrid>
        <w:gridCol w:w="2164"/>
        <w:gridCol w:w="109"/>
        <w:gridCol w:w="109"/>
        <w:gridCol w:w="114"/>
        <w:gridCol w:w="237"/>
        <w:gridCol w:w="1118"/>
        <w:gridCol w:w="114"/>
        <w:gridCol w:w="109"/>
        <w:gridCol w:w="109"/>
        <w:gridCol w:w="109"/>
        <w:gridCol w:w="226"/>
        <w:gridCol w:w="1066"/>
        <w:gridCol w:w="109"/>
        <w:gridCol w:w="109"/>
        <w:gridCol w:w="109"/>
        <w:gridCol w:w="109"/>
        <w:gridCol w:w="226"/>
        <w:gridCol w:w="1066"/>
        <w:gridCol w:w="109"/>
        <w:gridCol w:w="109"/>
        <w:gridCol w:w="109"/>
        <w:gridCol w:w="109"/>
        <w:gridCol w:w="226"/>
        <w:gridCol w:w="1066"/>
        <w:gridCol w:w="109"/>
        <w:gridCol w:w="156"/>
      </w:tblGrid>
      <w:tr>
        <w:trPr/>
        <w:tc>
          <w:tcPr>
            <w:tcW w:w="2164" w:type="dxa"/>
            <w:tcBorders>
              <w:bottom w:val="single" w:sz="2" w:space="0" w:color="1F2668"/>
            </w:tcBorders>
            <w:vAlign w:val="center"/>
          </w:tcPr>
          <w:p>
            <w:pPr>
              <w:pStyle w:val="TableContents"/>
              <w:bidi w:val="0"/>
              <w:spacing w:before="0" w:after="0"/>
              <w:jc w:val="left"/>
              <w:rPr>
                <w:spacing w:val="-2"/>
              </w:rPr>
            </w:pPr>
            <w:r>
              <w:rPr>
                <w:spacing w:val="-2"/>
              </w:rPr>
              <w:t xml:space="preserve">Payment/Benefit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83" w:type="dxa"/>
            <w:gridSpan w:val="4"/>
            <w:tcBorders>
              <w:bottom w:val="single" w:sz="2" w:space="0" w:color="1F2668"/>
            </w:tcBorders>
            <w:vAlign w:val="center"/>
          </w:tcPr>
          <w:p>
            <w:pPr>
              <w:pStyle w:val="TableContents"/>
              <w:bidi w:val="0"/>
              <w:spacing w:before="0" w:after="0"/>
              <w:jc w:val="right"/>
              <w:rPr/>
            </w:pPr>
            <w:r>
              <w:rPr>
                <w:spacing w:val="-2"/>
              </w:rPr>
              <w:t xml:space="preserve">Termination </w:t>
              <w:br/>
              <w:t xml:space="preserve">without Cause or </w:t>
              <w:br/>
              <w:t>for Good Reason</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1F2668"/>
            </w:tcBorders>
            <w:vAlign w:val="center"/>
          </w:tcPr>
          <w:p>
            <w:pPr>
              <w:pStyle w:val="TableContents"/>
              <w:bidi w:val="0"/>
              <w:spacing w:before="0" w:after="0"/>
              <w:jc w:val="right"/>
              <w:rPr/>
            </w:pPr>
            <w:r>
              <w:rPr>
                <w:spacing w:val="-2"/>
              </w:rPr>
              <w:t xml:space="preserve">Termination </w:t>
              <w:br/>
              <w:t xml:space="preserve">w/ Change in </w:t>
              <w:br/>
              <w:t>Control</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1F2668"/>
            </w:tcBorders>
            <w:vAlign w:val="center"/>
          </w:tcPr>
          <w:p>
            <w:pPr>
              <w:pStyle w:val="TableContents"/>
              <w:bidi w:val="0"/>
              <w:spacing w:before="0" w:after="0"/>
              <w:jc w:val="right"/>
              <w:rPr/>
            </w:pPr>
            <w:r>
              <w:rPr>
                <w:spacing w:val="-2"/>
              </w:rPr>
              <w:t>Disability</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1F2668"/>
            </w:tcBorders>
            <w:vAlign w:val="center"/>
          </w:tcPr>
          <w:p>
            <w:pPr>
              <w:pStyle w:val="TableContents"/>
              <w:bidi w:val="0"/>
              <w:spacing w:before="0" w:after="0"/>
              <w:jc w:val="right"/>
              <w:rPr/>
            </w:pPr>
            <w:r>
              <w:rPr>
                <w:spacing w:val="-2"/>
              </w:rPr>
              <w:t>Death</w:t>
            </w:r>
            <w:r>
              <w:rPr/>
              <w:t xml:space="preserve">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164" w:type="dxa"/>
            <w:tcBorders>
              <w:bottom w:val="single" w:sz="2" w:space="0" w:color="4B5088"/>
            </w:tcBorders>
            <w:tcMar>
              <w:bottom w:w="70" w:type="dxa"/>
            </w:tcMar>
            <w:vAlign w:val="center"/>
          </w:tcPr>
          <w:p>
            <w:pPr>
              <w:pStyle w:val="TableContents"/>
              <w:bidi w:val="0"/>
              <w:spacing w:before="0" w:after="283"/>
              <w:jc w:val="left"/>
              <w:rPr>
                <w:spacing w:val="-2"/>
              </w:rPr>
            </w:pPr>
            <w:r>
              <w:rPr>
                <w:spacing w:val="-2"/>
              </w:rPr>
              <w:t xml:space="preserve">Pro-Rata Bonus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4" w:type="dxa"/>
            <w:tcBorders>
              <w:bottom w:val="single" w:sz="2" w:space="0" w:color="4B5088"/>
            </w:tcBorders>
            <w:tcMar>
              <w:bottom w:w="28" w:type="dxa"/>
            </w:tcMar>
            <w:vAlign w:val="center"/>
          </w:tcPr>
          <w:p>
            <w:pPr>
              <w:pStyle w:val="TableContents"/>
              <w:bidi w:val="0"/>
              <w:spacing w:before="0" w:after="283"/>
              <w:jc w:val="left"/>
              <w:rPr/>
            </w:pPr>
            <w:r>
              <w:rPr/>
              <w:t>​</w:t>
            </w:r>
          </w:p>
        </w:tc>
        <w:tc>
          <w:tcPr>
            <w:tcW w:w="237" w:type="dxa"/>
            <w:tcBorders>
              <w:bottom w:val="single" w:sz="2" w:space="0" w:color="4B5088"/>
            </w:tcBorders>
            <w:tcMar>
              <w:bottom w:w="70" w:type="dxa"/>
            </w:tcMar>
            <w:vAlign w:val="center"/>
          </w:tcPr>
          <w:p>
            <w:pPr>
              <w:pStyle w:val="TableContents"/>
              <w:bidi w:val="0"/>
              <w:spacing w:before="0" w:after="283"/>
              <w:jc w:val="right"/>
              <w:rPr/>
            </w:pPr>
            <w:r>
              <w:rPr/>
              <w:t>$</w:t>
            </w:r>
          </w:p>
        </w:tc>
        <w:tc>
          <w:tcPr>
            <w:tcW w:w="1118" w:type="dxa"/>
            <w:tcBorders>
              <w:bottom w:val="single" w:sz="2" w:space="0" w:color="4B5088"/>
            </w:tcBorders>
            <w:tcMar>
              <w:bottom w:w="70" w:type="dxa"/>
            </w:tcMar>
            <w:vAlign w:val="center"/>
          </w:tcPr>
          <w:p>
            <w:pPr>
              <w:pStyle w:val="TableContents"/>
              <w:bidi w:val="0"/>
              <w:spacing w:before="0" w:after="283"/>
              <w:jc w:val="right"/>
              <w:rPr/>
            </w:pPr>
            <w:r>
              <w:rPr/>
              <w:t>1,792,033</w:t>
            </w:r>
          </w:p>
        </w:tc>
        <w:tc>
          <w:tcPr>
            <w:tcW w:w="114"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w:t>
            </w:r>
          </w:p>
        </w:tc>
        <w:tc>
          <w:tcPr>
            <w:tcW w:w="1066" w:type="dxa"/>
            <w:tcBorders>
              <w:bottom w:val="single" w:sz="2" w:space="0" w:color="4B5088"/>
            </w:tcBorders>
            <w:tcMar>
              <w:bottom w:w="70" w:type="dxa"/>
            </w:tcMar>
            <w:vAlign w:val="center"/>
          </w:tcPr>
          <w:p>
            <w:pPr>
              <w:pStyle w:val="TableContents"/>
              <w:bidi w:val="0"/>
              <w:spacing w:before="0" w:after="283"/>
              <w:jc w:val="right"/>
              <w:rPr/>
            </w:pPr>
            <w:r>
              <w:rPr/>
              <w:t>1,792,033</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w:t>
            </w:r>
          </w:p>
        </w:tc>
        <w:tc>
          <w:tcPr>
            <w:tcW w:w="1066" w:type="dxa"/>
            <w:tcBorders>
              <w:bottom w:val="single" w:sz="2" w:space="0" w:color="4B5088"/>
            </w:tcBorders>
            <w:tcMar>
              <w:bottom w:w="70" w:type="dxa"/>
            </w:tcMar>
            <w:vAlign w:val="center"/>
          </w:tcPr>
          <w:p>
            <w:pPr>
              <w:pStyle w:val="TableContents"/>
              <w:bidi w:val="0"/>
              <w:spacing w:before="0" w:after="283"/>
              <w:jc w:val="right"/>
              <w:rPr/>
            </w:pPr>
            <w:r>
              <w:rPr/>
              <w:t>1,792,033</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w:t>
            </w:r>
          </w:p>
        </w:tc>
        <w:tc>
          <w:tcPr>
            <w:tcW w:w="1066" w:type="dxa"/>
            <w:tcBorders>
              <w:bottom w:val="single" w:sz="2" w:space="0" w:color="4B5088"/>
            </w:tcBorders>
            <w:tcMar>
              <w:bottom w:w="70" w:type="dxa"/>
            </w:tcMar>
            <w:vAlign w:val="center"/>
          </w:tcPr>
          <w:p>
            <w:pPr>
              <w:pStyle w:val="TableContents"/>
              <w:bidi w:val="0"/>
              <w:spacing w:before="0" w:after="283"/>
              <w:jc w:val="right"/>
              <w:rPr/>
            </w:pPr>
            <w:r>
              <w:rPr/>
              <w:t>1,792,033</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164" w:type="dxa"/>
            <w:tcBorders>
              <w:bottom w:val="single" w:sz="2" w:space="0" w:color="4B5088"/>
            </w:tcBorders>
            <w:tcMar>
              <w:bottom w:w="70" w:type="dxa"/>
            </w:tcMar>
            <w:vAlign w:val="center"/>
          </w:tcPr>
          <w:p>
            <w:pPr>
              <w:pStyle w:val="TableContents"/>
              <w:bidi w:val="0"/>
              <w:spacing w:before="0" w:after="283"/>
              <w:jc w:val="left"/>
              <w:rPr>
                <w:spacing w:val="-2"/>
              </w:rPr>
            </w:pPr>
            <w:r>
              <w:rPr>
                <w:spacing w:val="-2"/>
              </w:rPr>
              <w:t xml:space="preserve">Cash Severance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4" w:type="dxa"/>
            <w:tcBorders>
              <w:bottom w:val="single" w:sz="2" w:space="0" w:color="4B5088"/>
            </w:tcBorders>
            <w:tcMar>
              <w:bottom w:w="28" w:type="dxa"/>
            </w:tcMar>
            <w:vAlign w:val="center"/>
          </w:tcPr>
          <w:p>
            <w:pPr>
              <w:pStyle w:val="TableContents"/>
              <w:bidi w:val="0"/>
              <w:spacing w:before="0" w:after="283"/>
              <w:jc w:val="left"/>
              <w:rPr/>
            </w:pPr>
            <w:r>
              <w:rPr/>
              <w:t>​</w:t>
            </w:r>
          </w:p>
        </w:tc>
        <w:tc>
          <w:tcPr>
            <w:tcW w:w="237" w:type="dxa"/>
            <w:tcBorders>
              <w:bottom w:val="single" w:sz="2" w:space="0" w:color="4B5088"/>
            </w:tcBorders>
            <w:tcMar>
              <w:bottom w:w="70" w:type="dxa"/>
            </w:tcMar>
            <w:vAlign w:val="center"/>
          </w:tcPr>
          <w:p>
            <w:pPr>
              <w:pStyle w:val="TableContents"/>
              <w:bidi w:val="0"/>
              <w:spacing w:before="0" w:after="283"/>
              <w:jc w:val="right"/>
              <w:rPr/>
            </w:pPr>
            <w:r>
              <w:rPr/>
              <w:t>$</w:t>
            </w:r>
          </w:p>
        </w:tc>
        <w:tc>
          <w:tcPr>
            <w:tcW w:w="1118" w:type="dxa"/>
            <w:tcBorders>
              <w:bottom w:val="single" w:sz="2" w:space="0" w:color="4B5088"/>
            </w:tcBorders>
            <w:tcMar>
              <w:bottom w:w="70" w:type="dxa"/>
            </w:tcMar>
            <w:vAlign w:val="center"/>
          </w:tcPr>
          <w:p>
            <w:pPr>
              <w:pStyle w:val="TableContents"/>
              <w:bidi w:val="0"/>
              <w:spacing w:before="0" w:after="283"/>
              <w:jc w:val="right"/>
              <w:rPr/>
            </w:pPr>
            <w:r>
              <w:rPr/>
              <w:t>2,392,033</w:t>
            </w:r>
          </w:p>
        </w:tc>
        <w:tc>
          <w:tcPr>
            <w:tcW w:w="114"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w:t>
            </w:r>
          </w:p>
        </w:tc>
        <w:tc>
          <w:tcPr>
            <w:tcW w:w="1066" w:type="dxa"/>
            <w:tcBorders>
              <w:bottom w:val="single" w:sz="2" w:space="0" w:color="4B5088"/>
            </w:tcBorders>
            <w:tcMar>
              <w:bottom w:w="70" w:type="dxa"/>
            </w:tcMar>
            <w:vAlign w:val="center"/>
          </w:tcPr>
          <w:p>
            <w:pPr>
              <w:pStyle w:val="TableContents"/>
              <w:bidi w:val="0"/>
              <w:spacing w:before="0" w:after="283"/>
              <w:jc w:val="right"/>
              <w:rPr/>
            </w:pPr>
            <w:r>
              <w:rPr/>
              <w:t>4,784,067</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w:t>
            </w:r>
          </w:p>
        </w:tc>
        <w:tc>
          <w:tcPr>
            <w:tcW w:w="1066" w:type="dxa"/>
            <w:tcBorders>
              <w:bottom w:val="single" w:sz="2" w:space="0" w:color="4B5088"/>
            </w:tcBorders>
            <w:tcMar>
              <w:bottom w:w="70" w:type="dxa"/>
            </w:tcMar>
            <w:vAlign w:val="center"/>
          </w:tcPr>
          <w:p>
            <w:pPr>
              <w:pStyle w:val="TableContents"/>
              <w:bidi w:val="0"/>
              <w:spacing w:before="0" w:after="283"/>
              <w:jc w:val="right"/>
              <w:rPr/>
            </w:pPr>
            <w:r>
              <w:rPr/>
              <w:t>2,392,033</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w:t>
            </w:r>
          </w:p>
        </w:tc>
        <w:tc>
          <w:tcPr>
            <w:tcW w:w="1066" w:type="dxa"/>
            <w:tcBorders>
              <w:bottom w:val="single" w:sz="2" w:space="0" w:color="4B5088"/>
            </w:tcBorders>
            <w:tcMar>
              <w:bottom w:w="70"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164" w:type="dxa"/>
            <w:tcBorders>
              <w:bottom w:val="single" w:sz="2" w:space="0" w:color="4B5088"/>
            </w:tcBorders>
            <w:tcMar>
              <w:bottom w:w="70" w:type="dxa"/>
            </w:tcMar>
            <w:vAlign w:val="center"/>
          </w:tcPr>
          <w:p>
            <w:pPr>
              <w:pStyle w:val="TableContents"/>
              <w:bidi w:val="0"/>
              <w:spacing w:before="0" w:after="283"/>
              <w:jc w:val="left"/>
              <w:rPr/>
            </w:pPr>
            <w:r>
              <w:rPr>
                <w:spacing w:val="-2"/>
              </w:rPr>
              <w:t>Stock Option / Class O LTIP Unit Vesting</w:t>
            </w:r>
            <w:r>
              <w:rPr>
                <w:spacing w:val="-1"/>
                <w:sz w:val="11"/>
              </w:rPr>
              <w:t>(2)</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4" w:type="dxa"/>
            <w:tcBorders>
              <w:bottom w:val="single" w:sz="2" w:space="0" w:color="4B5088"/>
            </w:tcBorders>
            <w:tcMar>
              <w:bottom w:w="28" w:type="dxa"/>
            </w:tcMar>
            <w:vAlign w:val="center"/>
          </w:tcPr>
          <w:p>
            <w:pPr>
              <w:pStyle w:val="TableContents"/>
              <w:bidi w:val="0"/>
              <w:spacing w:before="0" w:after="283"/>
              <w:jc w:val="left"/>
              <w:rPr/>
            </w:pPr>
            <w:r>
              <w:rPr/>
              <w:t>​</w:t>
            </w:r>
          </w:p>
        </w:tc>
        <w:tc>
          <w:tcPr>
            <w:tcW w:w="237" w:type="dxa"/>
            <w:tcBorders>
              <w:bottom w:val="single" w:sz="2" w:space="0" w:color="4B5088"/>
            </w:tcBorders>
            <w:tcMar>
              <w:bottom w:w="70" w:type="dxa"/>
            </w:tcMar>
            <w:vAlign w:val="center"/>
          </w:tcPr>
          <w:p>
            <w:pPr>
              <w:pStyle w:val="TableContents"/>
              <w:bidi w:val="0"/>
              <w:spacing w:before="0" w:after="283"/>
              <w:jc w:val="right"/>
              <w:rPr/>
            </w:pPr>
            <w:r>
              <w:rPr/>
              <w:t>​</w:t>
            </w:r>
          </w:p>
        </w:tc>
        <w:tc>
          <w:tcPr>
            <w:tcW w:w="1118" w:type="dxa"/>
            <w:tcBorders>
              <w:bottom w:val="single" w:sz="2" w:space="0" w:color="4B5088"/>
            </w:tcBorders>
            <w:tcMar>
              <w:bottom w:w="70" w:type="dxa"/>
            </w:tcMar>
            <w:vAlign w:val="center"/>
          </w:tcPr>
          <w:p>
            <w:pPr>
              <w:pStyle w:val="TableContents"/>
              <w:bidi w:val="0"/>
              <w:spacing w:before="0" w:after="283"/>
              <w:jc w:val="right"/>
              <w:rPr/>
            </w:pPr>
            <w:r>
              <w:rPr/>
              <w:t>—</w:t>
            </w:r>
          </w:p>
        </w:tc>
        <w:tc>
          <w:tcPr>
            <w:tcW w:w="114"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w:t>
            </w:r>
          </w:p>
        </w:tc>
        <w:tc>
          <w:tcPr>
            <w:tcW w:w="1066" w:type="dxa"/>
            <w:tcBorders>
              <w:bottom w:val="single" w:sz="2" w:space="0" w:color="4B5088"/>
            </w:tcBorders>
            <w:tcMar>
              <w:bottom w:w="70"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w:t>
            </w:r>
          </w:p>
        </w:tc>
        <w:tc>
          <w:tcPr>
            <w:tcW w:w="1066" w:type="dxa"/>
            <w:tcBorders>
              <w:bottom w:val="single" w:sz="2" w:space="0" w:color="4B5088"/>
            </w:tcBorders>
            <w:tcMar>
              <w:bottom w:w="70"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w:t>
            </w:r>
          </w:p>
        </w:tc>
        <w:tc>
          <w:tcPr>
            <w:tcW w:w="1066" w:type="dxa"/>
            <w:tcBorders>
              <w:bottom w:val="single" w:sz="2" w:space="0" w:color="4B5088"/>
            </w:tcBorders>
            <w:tcMar>
              <w:bottom w:w="70"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164" w:type="dxa"/>
            <w:tcBorders>
              <w:bottom w:val="single" w:sz="2" w:space="0" w:color="4B5088"/>
            </w:tcBorders>
            <w:tcMar>
              <w:bottom w:w="70" w:type="dxa"/>
            </w:tcMar>
            <w:vAlign w:val="center"/>
          </w:tcPr>
          <w:p>
            <w:pPr>
              <w:pStyle w:val="TableContents"/>
              <w:bidi w:val="0"/>
              <w:spacing w:before="0" w:after="283"/>
              <w:jc w:val="left"/>
              <w:rPr/>
            </w:pPr>
            <w:r>
              <w:rPr>
                <w:spacing w:val="-2"/>
              </w:rPr>
              <w:t>LTIP Unit / Stock Unit Vesting</w:t>
            </w:r>
            <w:r>
              <w:rPr>
                <w:spacing w:val="-1"/>
                <w:sz w:val="11"/>
              </w:rPr>
              <w:t>(3)</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4" w:type="dxa"/>
            <w:tcBorders>
              <w:bottom w:val="single" w:sz="2" w:space="0" w:color="4B5088"/>
            </w:tcBorders>
            <w:tcMar>
              <w:bottom w:w="28" w:type="dxa"/>
            </w:tcMar>
            <w:vAlign w:val="center"/>
          </w:tcPr>
          <w:p>
            <w:pPr>
              <w:pStyle w:val="TableContents"/>
              <w:bidi w:val="0"/>
              <w:spacing w:before="0" w:after="283"/>
              <w:jc w:val="left"/>
              <w:rPr/>
            </w:pPr>
            <w:r>
              <w:rPr/>
              <w:t>​</w:t>
            </w:r>
          </w:p>
        </w:tc>
        <w:tc>
          <w:tcPr>
            <w:tcW w:w="237" w:type="dxa"/>
            <w:tcBorders>
              <w:bottom w:val="single" w:sz="2" w:space="0" w:color="4B5088"/>
            </w:tcBorders>
            <w:tcMar>
              <w:bottom w:w="70" w:type="dxa"/>
            </w:tcMar>
            <w:vAlign w:val="center"/>
          </w:tcPr>
          <w:p>
            <w:pPr>
              <w:pStyle w:val="TableContents"/>
              <w:bidi w:val="0"/>
              <w:spacing w:before="0" w:after="283"/>
              <w:jc w:val="right"/>
              <w:rPr/>
            </w:pPr>
            <w:r>
              <w:rPr/>
              <w:t>$</w:t>
            </w:r>
          </w:p>
        </w:tc>
        <w:tc>
          <w:tcPr>
            <w:tcW w:w="1118" w:type="dxa"/>
            <w:tcBorders>
              <w:bottom w:val="single" w:sz="2" w:space="0" w:color="4B5088"/>
            </w:tcBorders>
            <w:tcMar>
              <w:bottom w:w="70" w:type="dxa"/>
            </w:tcMar>
            <w:vAlign w:val="center"/>
          </w:tcPr>
          <w:p>
            <w:pPr>
              <w:pStyle w:val="TableContents"/>
              <w:bidi w:val="0"/>
              <w:spacing w:before="0" w:after="283"/>
              <w:jc w:val="right"/>
              <w:rPr/>
            </w:pPr>
            <w:r>
              <w:rPr/>
              <w:t>3,496,903</w:t>
            </w:r>
          </w:p>
        </w:tc>
        <w:tc>
          <w:tcPr>
            <w:tcW w:w="114"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w:t>
            </w:r>
          </w:p>
        </w:tc>
        <w:tc>
          <w:tcPr>
            <w:tcW w:w="1066" w:type="dxa"/>
            <w:tcBorders>
              <w:bottom w:val="single" w:sz="2" w:space="0" w:color="4B5088"/>
            </w:tcBorders>
            <w:tcMar>
              <w:bottom w:w="70" w:type="dxa"/>
            </w:tcMar>
            <w:vAlign w:val="center"/>
          </w:tcPr>
          <w:p>
            <w:pPr>
              <w:pStyle w:val="TableContents"/>
              <w:bidi w:val="0"/>
              <w:spacing w:before="0" w:after="283"/>
              <w:jc w:val="right"/>
              <w:rPr/>
            </w:pPr>
            <w:r>
              <w:rPr/>
              <w:t>4,569,753</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w:t>
            </w:r>
          </w:p>
        </w:tc>
        <w:tc>
          <w:tcPr>
            <w:tcW w:w="1066" w:type="dxa"/>
            <w:tcBorders>
              <w:bottom w:val="single" w:sz="2" w:space="0" w:color="4B5088"/>
            </w:tcBorders>
            <w:tcMar>
              <w:bottom w:w="70" w:type="dxa"/>
            </w:tcMar>
            <w:vAlign w:val="center"/>
          </w:tcPr>
          <w:p>
            <w:pPr>
              <w:pStyle w:val="TableContents"/>
              <w:bidi w:val="0"/>
              <w:spacing w:before="0" w:after="283"/>
              <w:jc w:val="right"/>
              <w:rPr/>
            </w:pPr>
            <w:r>
              <w:rPr/>
              <w:t>3,496,903</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w:t>
            </w:r>
          </w:p>
        </w:tc>
        <w:tc>
          <w:tcPr>
            <w:tcW w:w="1066" w:type="dxa"/>
            <w:tcBorders>
              <w:bottom w:val="single" w:sz="2" w:space="0" w:color="4B5088"/>
            </w:tcBorders>
            <w:tcMar>
              <w:bottom w:w="70" w:type="dxa"/>
            </w:tcMar>
            <w:vAlign w:val="center"/>
          </w:tcPr>
          <w:p>
            <w:pPr>
              <w:pStyle w:val="TableContents"/>
              <w:bidi w:val="0"/>
              <w:spacing w:before="0" w:after="283"/>
              <w:jc w:val="right"/>
              <w:rPr/>
            </w:pPr>
            <w:r>
              <w:rPr/>
              <w:t>3,496,903</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164" w:type="dxa"/>
            <w:tcBorders>
              <w:bottom w:val="single" w:sz="2" w:space="0" w:color="1F2668"/>
            </w:tcBorders>
            <w:tcMar>
              <w:bottom w:w="70" w:type="dxa"/>
            </w:tcMar>
            <w:vAlign w:val="center"/>
          </w:tcPr>
          <w:p>
            <w:pPr>
              <w:pStyle w:val="TableContents"/>
              <w:bidi w:val="0"/>
              <w:spacing w:before="0" w:after="283"/>
              <w:jc w:val="left"/>
              <w:rPr/>
            </w:pPr>
            <w:r>
              <w:rPr>
                <w:spacing w:val="-2"/>
              </w:rPr>
              <w:t>Benefits Continuation</w:t>
            </w:r>
            <w:r>
              <w:rPr>
                <w:spacing w:val="-1"/>
                <w:sz w:val="11"/>
              </w:rPr>
              <w:t>(4)</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4" w:type="dxa"/>
            <w:tcBorders>
              <w:bottom w:val="single" w:sz="2" w:space="0" w:color="1F2668"/>
            </w:tcBorders>
            <w:tcMar>
              <w:bottom w:w="28" w:type="dxa"/>
            </w:tcMar>
            <w:vAlign w:val="center"/>
          </w:tcPr>
          <w:p>
            <w:pPr>
              <w:pStyle w:val="TableContents"/>
              <w:bidi w:val="0"/>
              <w:spacing w:before="0" w:after="283"/>
              <w:jc w:val="left"/>
              <w:rPr/>
            </w:pPr>
            <w:r>
              <w:rPr/>
              <w:t>​</w:t>
            </w:r>
          </w:p>
        </w:tc>
        <w:tc>
          <w:tcPr>
            <w:tcW w:w="237" w:type="dxa"/>
            <w:tcBorders>
              <w:bottom w:val="single" w:sz="2" w:space="0" w:color="1F2668"/>
            </w:tcBorders>
            <w:tcMar>
              <w:bottom w:w="70" w:type="dxa"/>
            </w:tcMar>
            <w:vAlign w:val="center"/>
          </w:tcPr>
          <w:p>
            <w:pPr>
              <w:pStyle w:val="TableContents"/>
              <w:bidi w:val="0"/>
              <w:spacing w:before="0" w:after="283"/>
              <w:jc w:val="right"/>
              <w:rPr/>
            </w:pPr>
            <w:r>
              <w:rPr/>
              <w:t>$</w:t>
            </w:r>
          </w:p>
        </w:tc>
        <w:tc>
          <w:tcPr>
            <w:tcW w:w="1118" w:type="dxa"/>
            <w:tcBorders>
              <w:bottom w:val="single" w:sz="2" w:space="0" w:color="1F2668"/>
            </w:tcBorders>
            <w:tcMar>
              <w:bottom w:w="70" w:type="dxa"/>
            </w:tcMar>
            <w:vAlign w:val="center"/>
          </w:tcPr>
          <w:p>
            <w:pPr>
              <w:pStyle w:val="TableContents"/>
              <w:bidi w:val="0"/>
              <w:spacing w:before="0" w:after="283"/>
              <w:jc w:val="right"/>
              <w:rPr/>
            </w:pPr>
            <w:r>
              <w:rPr/>
              <w:t>58,308</w:t>
            </w:r>
          </w:p>
        </w:tc>
        <w:tc>
          <w:tcPr>
            <w:tcW w:w="114"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226" w:type="dxa"/>
            <w:tcBorders>
              <w:bottom w:val="single" w:sz="2" w:space="0" w:color="1F2668"/>
            </w:tcBorders>
            <w:tcMar>
              <w:bottom w:w="70" w:type="dxa"/>
            </w:tcMar>
            <w:vAlign w:val="center"/>
          </w:tcPr>
          <w:p>
            <w:pPr>
              <w:pStyle w:val="TableContents"/>
              <w:bidi w:val="0"/>
              <w:spacing w:before="0" w:after="283"/>
              <w:jc w:val="right"/>
              <w:rPr/>
            </w:pPr>
            <w:r>
              <w:rPr/>
              <w:t>$</w:t>
            </w:r>
          </w:p>
        </w:tc>
        <w:tc>
          <w:tcPr>
            <w:tcW w:w="1066" w:type="dxa"/>
            <w:tcBorders>
              <w:bottom w:val="single" w:sz="2" w:space="0" w:color="1F2668"/>
            </w:tcBorders>
            <w:tcMar>
              <w:bottom w:w="70" w:type="dxa"/>
            </w:tcMar>
            <w:vAlign w:val="center"/>
          </w:tcPr>
          <w:p>
            <w:pPr>
              <w:pStyle w:val="TableContents"/>
              <w:bidi w:val="0"/>
              <w:spacing w:before="0" w:after="283"/>
              <w:jc w:val="right"/>
              <w:rPr/>
            </w:pPr>
            <w:r>
              <w:rPr/>
              <w:t>116,615</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226" w:type="dxa"/>
            <w:tcBorders>
              <w:bottom w:val="single" w:sz="2" w:space="0" w:color="1F2668"/>
            </w:tcBorders>
            <w:tcMar>
              <w:bottom w:w="70" w:type="dxa"/>
            </w:tcMar>
            <w:vAlign w:val="center"/>
          </w:tcPr>
          <w:p>
            <w:pPr>
              <w:pStyle w:val="TableContents"/>
              <w:bidi w:val="0"/>
              <w:spacing w:before="0" w:after="283"/>
              <w:jc w:val="right"/>
              <w:rPr/>
            </w:pPr>
            <w:r>
              <w:rPr/>
              <w:t>$</w:t>
            </w:r>
          </w:p>
        </w:tc>
        <w:tc>
          <w:tcPr>
            <w:tcW w:w="1066" w:type="dxa"/>
            <w:tcBorders>
              <w:bottom w:val="single" w:sz="2" w:space="0" w:color="1F2668"/>
            </w:tcBorders>
            <w:tcMar>
              <w:bottom w:w="70" w:type="dxa"/>
            </w:tcMar>
            <w:vAlign w:val="center"/>
          </w:tcPr>
          <w:p>
            <w:pPr>
              <w:pStyle w:val="TableContents"/>
              <w:bidi w:val="0"/>
              <w:spacing w:before="0" w:after="283"/>
              <w:jc w:val="right"/>
              <w:rPr/>
            </w:pPr>
            <w:r>
              <w:rPr/>
              <w:t>174,923</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226" w:type="dxa"/>
            <w:tcBorders>
              <w:bottom w:val="single" w:sz="2" w:space="0" w:color="1F2668"/>
            </w:tcBorders>
            <w:tcMar>
              <w:bottom w:w="70" w:type="dxa"/>
            </w:tcMar>
            <w:vAlign w:val="center"/>
          </w:tcPr>
          <w:p>
            <w:pPr>
              <w:pStyle w:val="TableContents"/>
              <w:bidi w:val="0"/>
              <w:spacing w:before="0" w:after="283"/>
              <w:jc w:val="right"/>
              <w:rPr/>
            </w:pPr>
            <w:r>
              <w:rPr/>
              <w:t>​</w:t>
            </w:r>
          </w:p>
        </w:tc>
        <w:tc>
          <w:tcPr>
            <w:tcW w:w="1066" w:type="dxa"/>
            <w:tcBorders>
              <w:bottom w:val="single" w:sz="2" w:space="0" w:color="1F2668"/>
            </w:tcBorders>
            <w:tcMar>
              <w:bottom w:w="70" w:type="dxa"/>
            </w:tcMar>
            <w:vAlign w:val="center"/>
          </w:tcPr>
          <w:p>
            <w:pPr>
              <w:pStyle w:val="TableContents"/>
              <w:bidi w:val="0"/>
              <w:spacing w:before="0" w:after="283"/>
              <w:jc w:val="righ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lineRule="atLeast" w:line="220" w:before="320" w:after="283"/>
        <w:ind w:left="900" w:right="0" w:hanging="0"/>
        <w:jc w:val="left"/>
        <w:rPr>
          <w:rFonts w:ascii="Arial;Helvetica;sans-serif" w:hAnsi="Arial;Helvetica;sans-serif"/>
          <w:b/>
          <w:i w:val="false"/>
          <w:caps w:val="false"/>
          <w:smallCaps w:val="false"/>
          <w:color w:val="1F2668"/>
          <w:sz w:val="18"/>
        </w:rPr>
      </w:pPr>
      <w:r>
        <w:rPr>
          <w:rFonts w:ascii="Arial;Helvetica;sans-serif" w:hAnsi="Arial;Helvetica;sans-serif"/>
          <w:b/>
          <w:i w:val="false"/>
          <w:caps w:val="false"/>
          <w:smallCaps w:val="false"/>
          <w:color w:val="1F2668"/>
          <w:spacing w:val="-2"/>
          <w:sz w:val="18"/>
        </w:rPr>
        <w:t>Andrew S. Levine</w:t>
      </w:r>
      <w:r>
        <w:rPr>
          <w:rFonts w:ascii="Arial;Helvetica;sans-serif" w:hAnsi="Arial;Helvetica;sans-serif"/>
          <w:b/>
          <w:i w:val="false"/>
          <w:caps w:val="false"/>
          <w:smallCaps w:val="false"/>
          <w:color w:val="000000"/>
          <w:spacing w:val="4"/>
          <w:sz w:val="18"/>
        </w:rPr>
        <w:t xml:space="preserve"> </w:t>
      </w:r>
    </w:p>
    <w:tbl>
      <w:tblPr>
        <w:tblW w:w="9305" w:type="dxa"/>
        <w:jc w:val="left"/>
        <w:tblInd w:w="900" w:type="dxa"/>
        <w:tblLayout w:type="fixed"/>
        <w:tblCellMar>
          <w:top w:w="0" w:type="dxa"/>
          <w:left w:w="0" w:type="dxa"/>
          <w:bottom w:w="63" w:type="dxa"/>
          <w:right w:w="0" w:type="dxa"/>
        </w:tblCellMar>
      </w:tblPr>
      <w:tblGrid>
        <w:gridCol w:w="2164"/>
        <w:gridCol w:w="109"/>
        <w:gridCol w:w="109"/>
        <w:gridCol w:w="114"/>
        <w:gridCol w:w="237"/>
        <w:gridCol w:w="1118"/>
        <w:gridCol w:w="114"/>
        <w:gridCol w:w="109"/>
        <w:gridCol w:w="109"/>
        <w:gridCol w:w="109"/>
        <w:gridCol w:w="226"/>
        <w:gridCol w:w="1066"/>
        <w:gridCol w:w="109"/>
        <w:gridCol w:w="109"/>
        <w:gridCol w:w="109"/>
        <w:gridCol w:w="109"/>
        <w:gridCol w:w="226"/>
        <w:gridCol w:w="1066"/>
        <w:gridCol w:w="109"/>
        <w:gridCol w:w="109"/>
        <w:gridCol w:w="109"/>
        <w:gridCol w:w="109"/>
        <w:gridCol w:w="226"/>
        <w:gridCol w:w="1066"/>
        <w:gridCol w:w="109"/>
        <w:gridCol w:w="156"/>
      </w:tblGrid>
      <w:tr>
        <w:trPr/>
        <w:tc>
          <w:tcPr>
            <w:tcW w:w="2164" w:type="dxa"/>
            <w:tcBorders>
              <w:bottom w:val="single" w:sz="2" w:space="0" w:color="1F2668"/>
            </w:tcBorders>
            <w:vAlign w:val="center"/>
          </w:tcPr>
          <w:p>
            <w:pPr>
              <w:pStyle w:val="TableContents"/>
              <w:bidi w:val="0"/>
              <w:spacing w:before="0" w:after="0"/>
              <w:jc w:val="left"/>
              <w:rPr>
                <w:spacing w:val="-2"/>
              </w:rPr>
            </w:pPr>
            <w:r>
              <w:rPr>
                <w:spacing w:val="-2"/>
              </w:rPr>
              <w:t xml:space="preserve">Payment/Benefit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83" w:type="dxa"/>
            <w:gridSpan w:val="4"/>
            <w:tcBorders>
              <w:bottom w:val="single" w:sz="2" w:space="0" w:color="1F2668"/>
            </w:tcBorders>
            <w:vAlign w:val="center"/>
          </w:tcPr>
          <w:p>
            <w:pPr>
              <w:pStyle w:val="TableContents"/>
              <w:bidi w:val="0"/>
              <w:spacing w:before="0" w:after="0"/>
              <w:jc w:val="right"/>
              <w:rPr/>
            </w:pPr>
            <w:r>
              <w:rPr>
                <w:spacing w:val="-2"/>
              </w:rPr>
              <w:t xml:space="preserve">Termination </w:t>
              <w:br/>
              <w:t xml:space="preserve">without Cause or </w:t>
              <w:br/>
              <w:t>for Good Reason</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1F2668"/>
            </w:tcBorders>
            <w:vAlign w:val="center"/>
          </w:tcPr>
          <w:p>
            <w:pPr>
              <w:pStyle w:val="TableContents"/>
              <w:bidi w:val="0"/>
              <w:spacing w:before="0" w:after="0"/>
              <w:jc w:val="right"/>
              <w:rPr/>
            </w:pPr>
            <w:r>
              <w:rPr>
                <w:spacing w:val="-2"/>
              </w:rPr>
              <w:t xml:space="preserve">Termination </w:t>
              <w:br/>
              <w:t xml:space="preserve">w/ Change in </w:t>
              <w:br/>
              <w:t>Control</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1F2668"/>
            </w:tcBorders>
            <w:vAlign w:val="center"/>
          </w:tcPr>
          <w:p>
            <w:pPr>
              <w:pStyle w:val="TableContents"/>
              <w:bidi w:val="0"/>
              <w:spacing w:before="0" w:after="0"/>
              <w:jc w:val="right"/>
              <w:rPr/>
            </w:pPr>
            <w:r>
              <w:rPr>
                <w:spacing w:val="-2"/>
              </w:rPr>
              <w:t>Disability</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1F2668"/>
            </w:tcBorders>
            <w:vAlign w:val="center"/>
          </w:tcPr>
          <w:p>
            <w:pPr>
              <w:pStyle w:val="TableContents"/>
              <w:bidi w:val="0"/>
              <w:spacing w:before="0" w:after="0"/>
              <w:jc w:val="right"/>
              <w:rPr/>
            </w:pPr>
            <w:r>
              <w:rPr>
                <w:spacing w:val="-2"/>
              </w:rPr>
              <w:t>Death</w:t>
            </w:r>
            <w:r>
              <w:rPr/>
              <w:t xml:space="preserve">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164" w:type="dxa"/>
            <w:tcBorders>
              <w:bottom w:val="single" w:sz="2" w:space="0" w:color="4B5088"/>
            </w:tcBorders>
            <w:tcMar>
              <w:bottom w:w="70" w:type="dxa"/>
            </w:tcMar>
            <w:vAlign w:val="center"/>
          </w:tcPr>
          <w:p>
            <w:pPr>
              <w:pStyle w:val="TableContents"/>
              <w:bidi w:val="0"/>
              <w:spacing w:before="0" w:after="283"/>
              <w:jc w:val="left"/>
              <w:rPr>
                <w:spacing w:val="-2"/>
              </w:rPr>
            </w:pPr>
            <w:r>
              <w:rPr>
                <w:spacing w:val="-2"/>
              </w:rPr>
              <w:t xml:space="preserve">Pro-Rata Bonus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4" w:type="dxa"/>
            <w:tcBorders>
              <w:bottom w:val="single" w:sz="2" w:space="0" w:color="4B5088"/>
            </w:tcBorders>
            <w:tcMar>
              <w:bottom w:w="28" w:type="dxa"/>
            </w:tcMar>
            <w:vAlign w:val="center"/>
          </w:tcPr>
          <w:p>
            <w:pPr>
              <w:pStyle w:val="TableContents"/>
              <w:bidi w:val="0"/>
              <w:spacing w:before="0" w:after="283"/>
              <w:jc w:val="left"/>
              <w:rPr/>
            </w:pPr>
            <w:r>
              <w:rPr/>
              <w:t>​</w:t>
            </w:r>
          </w:p>
        </w:tc>
        <w:tc>
          <w:tcPr>
            <w:tcW w:w="237" w:type="dxa"/>
            <w:tcBorders>
              <w:bottom w:val="single" w:sz="2" w:space="0" w:color="4B5088"/>
            </w:tcBorders>
            <w:tcMar>
              <w:bottom w:w="70" w:type="dxa"/>
            </w:tcMar>
            <w:vAlign w:val="center"/>
          </w:tcPr>
          <w:p>
            <w:pPr>
              <w:pStyle w:val="TableContents"/>
              <w:bidi w:val="0"/>
              <w:spacing w:before="0" w:after="283"/>
              <w:jc w:val="right"/>
              <w:rPr/>
            </w:pPr>
            <w:r>
              <w:rPr/>
              <w:t>$</w:t>
            </w:r>
          </w:p>
        </w:tc>
        <w:tc>
          <w:tcPr>
            <w:tcW w:w="1118" w:type="dxa"/>
            <w:tcBorders>
              <w:bottom w:val="single" w:sz="2" w:space="0" w:color="4B5088"/>
            </w:tcBorders>
            <w:tcMar>
              <w:bottom w:w="70" w:type="dxa"/>
            </w:tcMar>
            <w:vAlign w:val="center"/>
          </w:tcPr>
          <w:p>
            <w:pPr>
              <w:pStyle w:val="TableContents"/>
              <w:bidi w:val="0"/>
              <w:spacing w:before="0" w:after="283"/>
              <w:jc w:val="right"/>
              <w:rPr/>
            </w:pPr>
            <w:r>
              <w:rPr/>
              <w:t>962,500</w:t>
            </w:r>
          </w:p>
        </w:tc>
        <w:tc>
          <w:tcPr>
            <w:tcW w:w="114"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w:t>
            </w:r>
          </w:p>
        </w:tc>
        <w:tc>
          <w:tcPr>
            <w:tcW w:w="1066" w:type="dxa"/>
            <w:tcBorders>
              <w:bottom w:val="single" w:sz="2" w:space="0" w:color="4B5088"/>
            </w:tcBorders>
            <w:tcMar>
              <w:bottom w:w="70" w:type="dxa"/>
            </w:tcMar>
            <w:vAlign w:val="center"/>
          </w:tcPr>
          <w:p>
            <w:pPr>
              <w:pStyle w:val="TableContents"/>
              <w:bidi w:val="0"/>
              <w:spacing w:before="0" w:after="283"/>
              <w:jc w:val="right"/>
              <w:rPr/>
            </w:pPr>
            <w:r>
              <w:rPr/>
              <w:t>962,500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w:t>
            </w:r>
          </w:p>
        </w:tc>
        <w:tc>
          <w:tcPr>
            <w:tcW w:w="1066" w:type="dxa"/>
            <w:tcBorders>
              <w:bottom w:val="single" w:sz="2" w:space="0" w:color="4B5088"/>
            </w:tcBorders>
            <w:tcMar>
              <w:bottom w:w="70" w:type="dxa"/>
            </w:tcMar>
            <w:vAlign w:val="center"/>
          </w:tcPr>
          <w:p>
            <w:pPr>
              <w:pStyle w:val="TableContents"/>
              <w:bidi w:val="0"/>
              <w:spacing w:before="0" w:after="283"/>
              <w:jc w:val="right"/>
              <w:rPr/>
            </w:pPr>
            <w:r>
              <w:rPr/>
              <w:t>962,500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w:t>
            </w:r>
          </w:p>
        </w:tc>
        <w:tc>
          <w:tcPr>
            <w:tcW w:w="1066" w:type="dxa"/>
            <w:tcBorders>
              <w:bottom w:val="single" w:sz="2" w:space="0" w:color="4B5088"/>
            </w:tcBorders>
            <w:tcMar>
              <w:bottom w:w="70" w:type="dxa"/>
            </w:tcMar>
            <w:vAlign w:val="center"/>
          </w:tcPr>
          <w:p>
            <w:pPr>
              <w:pStyle w:val="TableContents"/>
              <w:bidi w:val="0"/>
              <w:spacing w:before="0" w:after="283"/>
              <w:jc w:val="right"/>
              <w:rPr/>
            </w:pPr>
            <w:r>
              <w:rPr/>
              <w:t>962,500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164" w:type="dxa"/>
            <w:tcBorders>
              <w:bottom w:val="single" w:sz="2" w:space="0" w:color="4B5088"/>
            </w:tcBorders>
            <w:tcMar>
              <w:bottom w:w="70" w:type="dxa"/>
            </w:tcMar>
            <w:vAlign w:val="center"/>
          </w:tcPr>
          <w:p>
            <w:pPr>
              <w:pStyle w:val="TableContents"/>
              <w:bidi w:val="0"/>
              <w:spacing w:before="0" w:after="283"/>
              <w:jc w:val="left"/>
              <w:rPr>
                <w:spacing w:val="-2"/>
              </w:rPr>
            </w:pPr>
            <w:r>
              <w:rPr>
                <w:spacing w:val="-2"/>
              </w:rPr>
              <w:t xml:space="preserve">Cash Severance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4" w:type="dxa"/>
            <w:tcBorders>
              <w:bottom w:val="single" w:sz="2" w:space="0" w:color="4B5088"/>
            </w:tcBorders>
            <w:tcMar>
              <w:bottom w:w="28" w:type="dxa"/>
            </w:tcMar>
            <w:vAlign w:val="center"/>
          </w:tcPr>
          <w:p>
            <w:pPr>
              <w:pStyle w:val="TableContents"/>
              <w:bidi w:val="0"/>
              <w:spacing w:before="0" w:after="283"/>
              <w:jc w:val="left"/>
              <w:rPr/>
            </w:pPr>
            <w:r>
              <w:rPr/>
              <w:t>​</w:t>
            </w:r>
          </w:p>
        </w:tc>
        <w:tc>
          <w:tcPr>
            <w:tcW w:w="237" w:type="dxa"/>
            <w:tcBorders>
              <w:bottom w:val="single" w:sz="2" w:space="0" w:color="4B5088"/>
            </w:tcBorders>
            <w:tcMar>
              <w:bottom w:w="70" w:type="dxa"/>
            </w:tcMar>
            <w:vAlign w:val="center"/>
          </w:tcPr>
          <w:p>
            <w:pPr>
              <w:pStyle w:val="TableContents"/>
              <w:bidi w:val="0"/>
              <w:spacing w:before="0" w:after="283"/>
              <w:jc w:val="right"/>
              <w:rPr/>
            </w:pPr>
            <w:r>
              <w:rPr/>
              <w:t>$</w:t>
            </w:r>
          </w:p>
        </w:tc>
        <w:tc>
          <w:tcPr>
            <w:tcW w:w="1118" w:type="dxa"/>
            <w:tcBorders>
              <w:bottom w:val="single" w:sz="2" w:space="0" w:color="4B5088"/>
            </w:tcBorders>
            <w:tcMar>
              <w:bottom w:w="70" w:type="dxa"/>
            </w:tcMar>
            <w:vAlign w:val="center"/>
          </w:tcPr>
          <w:p>
            <w:pPr>
              <w:pStyle w:val="TableContents"/>
              <w:bidi w:val="0"/>
              <w:spacing w:before="0" w:after="283"/>
              <w:jc w:val="right"/>
              <w:rPr/>
            </w:pPr>
            <w:r>
              <w:rPr/>
              <w:t>4,462,500</w:t>
            </w:r>
          </w:p>
        </w:tc>
        <w:tc>
          <w:tcPr>
            <w:tcW w:w="114"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w:t>
            </w:r>
          </w:p>
        </w:tc>
        <w:tc>
          <w:tcPr>
            <w:tcW w:w="1066" w:type="dxa"/>
            <w:tcBorders>
              <w:bottom w:val="single" w:sz="2" w:space="0" w:color="4B5088"/>
            </w:tcBorders>
            <w:tcMar>
              <w:bottom w:w="70" w:type="dxa"/>
            </w:tcMar>
            <w:vAlign w:val="center"/>
          </w:tcPr>
          <w:p>
            <w:pPr>
              <w:pStyle w:val="TableContents"/>
              <w:bidi w:val="0"/>
              <w:spacing w:before="0" w:after="283"/>
              <w:jc w:val="right"/>
              <w:rPr/>
            </w:pPr>
            <w:r>
              <w:rPr/>
              <w:t>6,025,000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w:t>
            </w:r>
          </w:p>
        </w:tc>
        <w:tc>
          <w:tcPr>
            <w:tcW w:w="1066" w:type="dxa"/>
            <w:tcBorders>
              <w:bottom w:val="single" w:sz="2" w:space="0" w:color="4B5088"/>
            </w:tcBorders>
            <w:tcMar>
              <w:bottom w:w="70" w:type="dxa"/>
            </w:tcMar>
            <w:vAlign w:val="center"/>
          </w:tcPr>
          <w:p>
            <w:pPr>
              <w:pStyle w:val="TableContents"/>
              <w:bidi w:val="0"/>
              <w:spacing w:before="0" w:after="283"/>
              <w:jc w:val="right"/>
              <w:rPr/>
            </w:pPr>
            <w:r>
              <w:rPr/>
              <w:t>3,012,500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w:t>
            </w:r>
          </w:p>
        </w:tc>
        <w:tc>
          <w:tcPr>
            <w:tcW w:w="1066" w:type="dxa"/>
            <w:tcBorders>
              <w:bottom w:val="single" w:sz="2" w:space="0" w:color="4B5088"/>
            </w:tcBorders>
            <w:tcMar>
              <w:bottom w:w="70" w:type="dxa"/>
            </w:tcMar>
            <w:vAlign w:val="center"/>
          </w:tcPr>
          <w:p>
            <w:pPr>
              <w:pStyle w:val="TableContents"/>
              <w:bidi w:val="0"/>
              <w:spacing w:before="0" w:after="283"/>
              <w:jc w:val="right"/>
              <w:rPr/>
            </w:pPr>
            <w:r>
              <w:rPr/>
              <w:t>1,450,000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164" w:type="dxa"/>
            <w:tcBorders>
              <w:bottom w:val="single" w:sz="2" w:space="0" w:color="4B5088"/>
            </w:tcBorders>
            <w:tcMar>
              <w:bottom w:w="70" w:type="dxa"/>
            </w:tcMar>
            <w:vAlign w:val="center"/>
          </w:tcPr>
          <w:p>
            <w:pPr>
              <w:pStyle w:val="TableContents"/>
              <w:bidi w:val="0"/>
              <w:spacing w:before="0" w:after="283"/>
              <w:jc w:val="left"/>
              <w:rPr/>
            </w:pPr>
            <w:r>
              <w:rPr>
                <w:spacing w:val="-2"/>
              </w:rPr>
              <w:t>Stock Option / Class O LTIP Unit Vesting</w:t>
            </w:r>
            <w:r>
              <w:rPr>
                <w:spacing w:val="-1"/>
                <w:sz w:val="11"/>
              </w:rPr>
              <w:t>(2)</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4" w:type="dxa"/>
            <w:tcBorders>
              <w:bottom w:val="single" w:sz="2" w:space="0" w:color="4B5088"/>
            </w:tcBorders>
            <w:tcMar>
              <w:bottom w:w="28" w:type="dxa"/>
            </w:tcMar>
            <w:vAlign w:val="center"/>
          </w:tcPr>
          <w:p>
            <w:pPr>
              <w:pStyle w:val="TableContents"/>
              <w:bidi w:val="0"/>
              <w:spacing w:before="0" w:after="283"/>
              <w:jc w:val="left"/>
              <w:rPr/>
            </w:pPr>
            <w:r>
              <w:rPr/>
              <w:t>​</w:t>
            </w:r>
          </w:p>
        </w:tc>
        <w:tc>
          <w:tcPr>
            <w:tcW w:w="237" w:type="dxa"/>
            <w:tcBorders>
              <w:bottom w:val="single" w:sz="2" w:space="0" w:color="4B5088"/>
            </w:tcBorders>
            <w:tcMar>
              <w:bottom w:w="70" w:type="dxa"/>
            </w:tcMar>
            <w:vAlign w:val="center"/>
          </w:tcPr>
          <w:p>
            <w:pPr>
              <w:pStyle w:val="TableContents"/>
              <w:bidi w:val="0"/>
              <w:spacing w:before="0" w:after="283"/>
              <w:jc w:val="right"/>
              <w:rPr/>
            </w:pPr>
            <w:r>
              <w:rPr/>
              <w:t>​</w:t>
            </w:r>
          </w:p>
        </w:tc>
        <w:tc>
          <w:tcPr>
            <w:tcW w:w="1118" w:type="dxa"/>
            <w:tcBorders>
              <w:bottom w:val="single" w:sz="2" w:space="0" w:color="4B5088"/>
            </w:tcBorders>
            <w:tcMar>
              <w:bottom w:w="70" w:type="dxa"/>
            </w:tcMar>
            <w:vAlign w:val="center"/>
          </w:tcPr>
          <w:p>
            <w:pPr>
              <w:pStyle w:val="TableContents"/>
              <w:bidi w:val="0"/>
              <w:spacing w:before="0" w:after="283"/>
              <w:jc w:val="right"/>
              <w:rPr/>
            </w:pPr>
            <w:r>
              <w:rPr/>
              <w:t>—</w:t>
            </w:r>
          </w:p>
        </w:tc>
        <w:tc>
          <w:tcPr>
            <w:tcW w:w="114"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w:t>
            </w:r>
          </w:p>
        </w:tc>
        <w:tc>
          <w:tcPr>
            <w:tcW w:w="1066" w:type="dxa"/>
            <w:tcBorders>
              <w:bottom w:val="single" w:sz="2" w:space="0" w:color="4B5088"/>
            </w:tcBorders>
            <w:tcMar>
              <w:bottom w:w="70"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w:t>
            </w:r>
          </w:p>
        </w:tc>
        <w:tc>
          <w:tcPr>
            <w:tcW w:w="1066" w:type="dxa"/>
            <w:tcBorders>
              <w:bottom w:val="single" w:sz="2" w:space="0" w:color="4B5088"/>
            </w:tcBorders>
            <w:tcMar>
              <w:bottom w:w="70"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w:t>
            </w:r>
          </w:p>
        </w:tc>
        <w:tc>
          <w:tcPr>
            <w:tcW w:w="1066" w:type="dxa"/>
            <w:tcBorders>
              <w:bottom w:val="single" w:sz="2" w:space="0" w:color="4B5088"/>
            </w:tcBorders>
            <w:tcMar>
              <w:bottom w:w="70"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164" w:type="dxa"/>
            <w:tcBorders>
              <w:bottom w:val="single" w:sz="2" w:space="0" w:color="4B5088"/>
            </w:tcBorders>
            <w:tcMar>
              <w:bottom w:w="70" w:type="dxa"/>
            </w:tcMar>
            <w:vAlign w:val="center"/>
          </w:tcPr>
          <w:p>
            <w:pPr>
              <w:pStyle w:val="TableContents"/>
              <w:bidi w:val="0"/>
              <w:spacing w:before="0" w:after="283"/>
              <w:jc w:val="left"/>
              <w:rPr/>
            </w:pPr>
            <w:r>
              <w:rPr>
                <w:spacing w:val="-2"/>
              </w:rPr>
              <w:t>LTIP Unit / Stock Unit Vesting</w:t>
            </w:r>
            <w:r>
              <w:rPr>
                <w:spacing w:val="-1"/>
                <w:sz w:val="11"/>
              </w:rPr>
              <w:t>(3)</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4" w:type="dxa"/>
            <w:tcBorders>
              <w:bottom w:val="single" w:sz="2" w:space="0" w:color="4B5088"/>
            </w:tcBorders>
            <w:tcMar>
              <w:bottom w:w="28" w:type="dxa"/>
            </w:tcMar>
            <w:vAlign w:val="center"/>
          </w:tcPr>
          <w:p>
            <w:pPr>
              <w:pStyle w:val="TableContents"/>
              <w:bidi w:val="0"/>
              <w:spacing w:before="0" w:after="283"/>
              <w:jc w:val="left"/>
              <w:rPr/>
            </w:pPr>
            <w:r>
              <w:rPr/>
              <w:t>​</w:t>
            </w:r>
          </w:p>
        </w:tc>
        <w:tc>
          <w:tcPr>
            <w:tcW w:w="237" w:type="dxa"/>
            <w:tcBorders>
              <w:bottom w:val="single" w:sz="2" w:space="0" w:color="4B5088"/>
            </w:tcBorders>
            <w:tcMar>
              <w:bottom w:w="70" w:type="dxa"/>
            </w:tcMar>
            <w:vAlign w:val="center"/>
          </w:tcPr>
          <w:p>
            <w:pPr>
              <w:pStyle w:val="TableContents"/>
              <w:bidi w:val="0"/>
              <w:spacing w:before="0" w:after="283"/>
              <w:jc w:val="right"/>
              <w:rPr/>
            </w:pPr>
            <w:r>
              <w:rPr/>
              <w:t>$</w:t>
            </w:r>
          </w:p>
        </w:tc>
        <w:tc>
          <w:tcPr>
            <w:tcW w:w="1118" w:type="dxa"/>
            <w:tcBorders>
              <w:bottom w:val="single" w:sz="2" w:space="0" w:color="4B5088"/>
            </w:tcBorders>
            <w:tcMar>
              <w:bottom w:w="70" w:type="dxa"/>
            </w:tcMar>
            <w:vAlign w:val="center"/>
          </w:tcPr>
          <w:p>
            <w:pPr>
              <w:pStyle w:val="TableContents"/>
              <w:bidi w:val="0"/>
              <w:spacing w:before="0" w:after="283"/>
              <w:jc w:val="right"/>
              <w:rPr/>
            </w:pPr>
            <w:r>
              <w:rPr/>
              <w:t>1,962,139</w:t>
            </w:r>
          </w:p>
        </w:tc>
        <w:tc>
          <w:tcPr>
            <w:tcW w:w="114"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w:t>
            </w:r>
          </w:p>
        </w:tc>
        <w:tc>
          <w:tcPr>
            <w:tcW w:w="1066" w:type="dxa"/>
            <w:tcBorders>
              <w:bottom w:val="single" w:sz="2" w:space="0" w:color="4B5088"/>
            </w:tcBorders>
            <w:tcMar>
              <w:bottom w:w="70" w:type="dxa"/>
            </w:tcMar>
            <w:vAlign w:val="center"/>
          </w:tcPr>
          <w:p>
            <w:pPr>
              <w:pStyle w:val="TableContents"/>
              <w:bidi w:val="0"/>
              <w:spacing w:before="0" w:after="283"/>
              <w:jc w:val="right"/>
              <w:rPr/>
            </w:pPr>
            <w:r>
              <w:rPr/>
              <w:t>2,883,893</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w:t>
            </w:r>
          </w:p>
        </w:tc>
        <w:tc>
          <w:tcPr>
            <w:tcW w:w="1066" w:type="dxa"/>
            <w:tcBorders>
              <w:bottom w:val="single" w:sz="2" w:space="0" w:color="4B5088"/>
            </w:tcBorders>
            <w:tcMar>
              <w:bottom w:w="70" w:type="dxa"/>
            </w:tcMar>
            <w:vAlign w:val="center"/>
          </w:tcPr>
          <w:p>
            <w:pPr>
              <w:pStyle w:val="TableContents"/>
              <w:bidi w:val="0"/>
              <w:spacing w:before="0" w:after="283"/>
              <w:jc w:val="right"/>
              <w:rPr/>
            </w:pPr>
            <w:r>
              <w:rPr/>
              <w:t>1,962,139</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w:t>
            </w:r>
          </w:p>
        </w:tc>
        <w:tc>
          <w:tcPr>
            <w:tcW w:w="1066" w:type="dxa"/>
            <w:tcBorders>
              <w:bottom w:val="single" w:sz="2" w:space="0" w:color="4B5088"/>
            </w:tcBorders>
            <w:tcMar>
              <w:bottom w:w="70" w:type="dxa"/>
            </w:tcMar>
            <w:vAlign w:val="center"/>
          </w:tcPr>
          <w:p>
            <w:pPr>
              <w:pStyle w:val="TableContents"/>
              <w:bidi w:val="0"/>
              <w:spacing w:before="0" w:after="283"/>
              <w:jc w:val="right"/>
              <w:rPr/>
            </w:pPr>
            <w:r>
              <w:rPr/>
              <w:t>1,962,139</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164" w:type="dxa"/>
            <w:tcBorders>
              <w:bottom w:val="single" w:sz="2" w:space="0" w:color="1F2668"/>
            </w:tcBorders>
            <w:tcMar>
              <w:bottom w:w="70" w:type="dxa"/>
            </w:tcMar>
            <w:vAlign w:val="center"/>
          </w:tcPr>
          <w:p>
            <w:pPr>
              <w:pStyle w:val="TableContents"/>
              <w:bidi w:val="0"/>
              <w:spacing w:before="0" w:after="283"/>
              <w:jc w:val="left"/>
              <w:rPr/>
            </w:pPr>
            <w:r>
              <w:rPr>
                <w:spacing w:val="-2"/>
              </w:rPr>
              <w:t>Benefits Continuation</w:t>
            </w:r>
            <w:r>
              <w:rPr>
                <w:spacing w:val="-1"/>
                <w:sz w:val="11"/>
              </w:rPr>
              <w:t>(4)</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4" w:type="dxa"/>
            <w:tcBorders>
              <w:bottom w:val="single" w:sz="2" w:space="0" w:color="1F2668"/>
            </w:tcBorders>
            <w:tcMar>
              <w:bottom w:w="28" w:type="dxa"/>
            </w:tcMar>
            <w:vAlign w:val="center"/>
          </w:tcPr>
          <w:p>
            <w:pPr>
              <w:pStyle w:val="TableContents"/>
              <w:bidi w:val="0"/>
              <w:spacing w:before="0" w:after="283"/>
              <w:jc w:val="left"/>
              <w:rPr/>
            </w:pPr>
            <w:r>
              <w:rPr/>
              <w:t>​</w:t>
            </w:r>
          </w:p>
        </w:tc>
        <w:tc>
          <w:tcPr>
            <w:tcW w:w="237" w:type="dxa"/>
            <w:tcBorders>
              <w:bottom w:val="single" w:sz="2" w:space="0" w:color="1F2668"/>
            </w:tcBorders>
            <w:tcMar>
              <w:bottom w:w="70" w:type="dxa"/>
            </w:tcMar>
            <w:vAlign w:val="center"/>
          </w:tcPr>
          <w:p>
            <w:pPr>
              <w:pStyle w:val="TableContents"/>
              <w:bidi w:val="0"/>
              <w:spacing w:before="0" w:after="283"/>
              <w:jc w:val="right"/>
              <w:rPr/>
            </w:pPr>
            <w:r>
              <w:rPr/>
              <w:t>$</w:t>
            </w:r>
          </w:p>
        </w:tc>
        <w:tc>
          <w:tcPr>
            <w:tcW w:w="1118" w:type="dxa"/>
            <w:tcBorders>
              <w:bottom w:val="single" w:sz="2" w:space="0" w:color="1F2668"/>
            </w:tcBorders>
            <w:tcMar>
              <w:bottom w:w="70" w:type="dxa"/>
            </w:tcMar>
            <w:vAlign w:val="center"/>
          </w:tcPr>
          <w:p>
            <w:pPr>
              <w:pStyle w:val="TableContents"/>
              <w:bidi w:val="0"/>
              <w:spacing w:before="0" w:after="283"/>
              <w:jc w:val="right"/>
              <w:rPr/>
            </w:pPr>
            <w:r>
              <w:rPr/>
              <w:t>43,565</w:t>
            </w:r>
          </w:p>
        </w:tc>
        <w:tc>
          <w:tcPr>
            <w:tcW w:w="114"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226" w:type="dxa"/>
            <w:tcBorders>
              <w:bottom w:val="single" w:sz="2" w:space="0" w:color="1F2668"/>
            </w:tcBorders>
            <w:tcMar>
              <w:bottom w:w="70" w:type="dxa"/>
            </w:tcMar>
            <w:vAlign w:val="center"/>
          </w:tcPr>
          <w:p>
            <w:pPr>
              <w:pStyle w:val="TableContents"/>
              <w:bidi w:val="0"/>
              <w:spacing w:before="0" w:after="283"/>
              <w:jc w:val="right"/>
              <w:rPr/>
            </w:pPr>
            <w:r>
              <w:rPr/>
              <w:t>$</w:t>
            </w:r>
          </w:p>
        </w:tc>
        <w:tc>
          <w:tcPr>
            <w:tcW w:w="1066" w:type="dxa"/>
            <w:tcBorders>
              <w:bottom w:val="single" w:sz="2" w:space="0" w:color="1F2668"/>
            </w:tcBorders>
            <w:tcMar>
              <w:bottom w:w="70" w:type="dxa"/>
            </w:tcMar>
            <w:vAlign w:val="center"/>
          </w:tcPr>
          <w:p>
            <w:pPr>
              <w:pStyle w:val="TableContents"/>
              <w:bidi w:val="0"/>
              <w:spacing w:before="0" w:after="283"/>
              <w:jc w:val="right"/>
              <w:rPr/>
            </w:pPr>
            <w:r>
              <w:rPr/>
              <w:t>87,131</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226" w:type="dxa"/>
            <w:tcBorders>
              <w:bottom w:val="single" w:sz="2" w:space="0" w:color="1F2668"/>
            </w:tcBorders>
            <w:tcMar>
              <w:bottom w:w="70" w:type="dxa"/>
            </w:tcMar>
            <w:vAlign w:val="center"/>
          </w:tcPr>
          <w:p>
            <w:pPr>
              <w:pStyle w:val="TableContents"/>
              <w:bidi w:val="0"/>
              <w:spacing w:before="0" w:after="283"/>
              <w:jc w:val="right"/>
              <w:rPr/>
            </w:pPr>
            <w:r>
              <w:rPr/>
              <w:t>$</w:t>
            </w:r>
          </w:p>
        </w:tc>
        <w:tc>
          <w:tcPr>
            <w:tcW w:w="1066" w:type="dxa"/>
            <w:tcBorders>
              <w:bottom w:val="single" w:sz="2" w:space="0" w:color="1F2668"/>
            </w:tcBorders>
            <w:tcMar>
              <w:bottom w:w="70" w:type="dxa"/>
            </w:tcMar>
            <w:vAlign w:val="center"/>
          </w:tcPr>
          <w:p>
            <w:pPr>
              <w:pStyle w:val="TableContents"/>
              <w:bidi w:val="0"/>
              <w:spacing w:before="0" w:after="283"/>
              <w:jc w:val="right"/>
              <w:rPr/>
            </w:pPr>
            <w:r>
              <w:rPr/>
              <w:t>130,696</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226" w:type="dxa"/>
            <w:tcBorders>
              <w:bottom w:val="single" w:sz="2" w:space="0" w:color="1F2668"/>
            </w:tcBorders>
            <w:tcMar>
              <w:bottom w:w="70" w:type="dxa"/>
            </w:tcMar>
            <w:vAlign w:val="center"/>
          </w:tcPr>
          <w:p>
            <w:pPr>
              <w:pStyle w:val="TableContents"/>
              <w:bidi w:val="0"/>
              <w:spacing w:before="0" w:after="283"/>
              <w:jc w:val="right"/>
              <w:rPr/>
            </w:pPr>
            <w:r>
              <w:rPr/>
              <w:t>​</w:t>
            </w:r>
          </w:p>
        </w:tc>
        <w:tc>
          <w:tcPr>
            <w:tcW w:w="1066" w:type="dxa"/>
            <w:tcBorders>
              <w:bottom w:val="single" w:sz="2" w:space="0" w:color="1F2668"/>
            </w:tcBorders>
            <w:tcMar>
              <w:bottom w:w="70" w:type="dxa"/>
            </w:tcMar>
            <w:vAlign w:val="center"/>
          </w:tcPr>
          <w:p>
            <w:pPr>
              <w:pStyle w:val="TableContents"/>
              <w:bidi w:val="0"/>
              <w:spacing w:before="0" w:after="283"/>
              <w:jc w:val="righ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240"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As we maintained life insurance policies for the benefit of the beneficiaries of Mr. Holliday in the amount of $10 million, as of December 31, 2025, the amount of the payments and benefits to be received by Mr. Holliday in the event of a termination upon death will be reduced by these amounts in accordance with his employment agreement.</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52400" distB="0" distL="0" distR="0" simplePos="0" locked="0" layoutInCell="1" allowOverlap="1" relativeHeight="799">
                <wp:simplePos x="0" y="0"/>
                <wp:positionH relativeFrom="column">
                  <wp:align>left</wp:align>
                </wp:positionH>
                <wp:positionV relativeFrom="line">
                  <wp:align>top</wp:align>
                </wp:positionV>
                <wp:extent cx="254000" cy="254000"/>
                <wp:effectExtent l="0" t="0" r="0" b="0"/>
                <wp:wrapSquare wrapText="right"/>
                <wp:docPr id="899" name="Frame549"/>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2"/>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2"/>
                          <w:sz w:val="16"/>
                        </w:rPr>
                        <w:t>(1)</w:t>
                      </w:r>
                      <w:r>
                        <w:rPr>
                          <w:sz w:val="16"/>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Represents the value of the stock options or Class O LTIP units, if any, that would vest. Assumes that the per share value of the stock options or Class O LTIP units that vest equals (i) $45.87 per share, which was the closing price on the NYSE of one share of our common stock on December 31, 2025, less (ii) the exercise price per share of such stock options or the conversion threshold of such Class O LTIP units.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800">
                <wp:simplePos x="0" y="0"/>
                <wp:positionH relativeFrom="column">
                  <wp:align>left</wp:align>
                </wp:positionH>
                <wp:positionV relativeFrom="line">
                  <wp:align>top</wp:align>
                </wp:positionV>
                <wp:extent cx="254000" cy="254000"/>
                <wp:effectExtent l="0" t="0" r="0" b="0"/>
                <wp:wrapSquare wrapText="right"/>
                <wp:docPr id="900" name="Frame550"/>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2"/>
                                <w:sz w:val="16"/>
                              </w:rPr>
                              <w:t>(2)</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2"/>
                          <w:sz w:val="16"/>
                        </w:rPr>
                        <w:t>(2)</w:t>
                      </w:r>
                      <w:r>
                        <w:rPr>
                          <w:sz w:val="16"/>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Represents the value of the LTIP units, if any, that would vest based on a price of $45.87 per unit, which was the closing price on the NYSE of one share of our common stock on December 31, 2025. Assumes that the value of LTIP units on a per unit basis is equal to the per share value of our common stock. Does not include performance-based LTIP units that would only vest to the extent earned based on the achievement of performance-based vesting criteria through the end of the performance period. Based on our performance as of December 31, 2025, our named executive officers would have (i) earned a portion of the performance-based LTIP units granted in 2024 and 2025 subject to operational performance hurdles and (ii) earned all of the performance-based LTIP units granted in 2024 and 2025 subject to relative TSR performance. See “—Compensation Discussion and Analysis-Other Compensation Policies and Information-Outstanding Annual Equity Award Performance Summary (2023-2025).”</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801">
                <wp:simplePos x="0" y="0"/>
                <wp:positionH relativeFrom="column">
                  <wp:align>left</wp:align>
                </wp:positionH>
                <wp:positionV relativeFrom="line">
                  <wp:align>top</wp:align>
                </wp:positionV>
                <wp:extent cx="254000" cy="254000"/>
                <wp:effectExtent l="0" t="0" r="0" b="0"/>
                <wp:wrapSquare wrapText="right"/>
                <wp:docPr id="901" name="Frame551"/>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2"/>
                                <w:sz w:val="16"/>
                              </w:rPr>
                              <w:t>(3)</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2"/>
                          <w:sz w:val="16"/>
                        </w:rPr>
                        <w:t>(3)</w:t>
                      </w:r>
                      <w:r>
                        <w:rPr>
                          <w:sz w:val="16"/>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300" w:right="0" w:hanging="0"/>
        <w:jc w:val="left"/>
        <w:rPr>
          <w:rFonts w:ascii="Arial;Helvetica;sans-serif" w:hAnsi="Arial;Helvetica;sans-serif"/>
          <w:b w:val="false"/>
          <w:i w:val="false"/>
          <w:caps w:val="false"/>
          <w:smallCaps w:val="false"/>
          <w:color w:val="000000"/>
          <w:spacing w:val="-2"/>
          <w:sz w:val="16"/>
        </w:rPr>
      </w:pPr>
      <w:r>
        <w:rPr>
          <w:rFonts w:ascii="Arial;Helvetica;sans-serif" w:hAnsi="Arial;Helvetica;sans-serif"/>
          <w:b w:val="false"/>
          <w:i w:val="false"/>
          <w:caps w:val="false"/>
          <w:smallCaps w:val="false"/>
          <w:color w:val="000000"/>
          <w:spacing w:val="-2"/>
          <w:sz w:val="16"/>
        </w:rPr>
        <w:t xml:space="preserve">Benefits continuation amounts are based on the actual expense for financial reporting purposes for the year ended December 31, 2025 for covering an employee under each of our group health plans during the applicable severance period. </w:t>
      </w:r>
      <w:r>
        <mc:AlternateContent>
          <mc:Choice Requires="wps">
            <w:drawing>
              <wp:anchor behindDoc="0" distT="50800" distB="0" distL="0" distR="0" simplePos="0" locked="0" layoutInCell="1" allowOverlap="1" relativeHeight="802">
                <wp:simplePos x="0" y="0"/>
                <wp:positionH relativeFrom="column">
                  <wp:align>left</wp:align>
                </wp:positionH>
                <wp:positionV relativeFrom="line">
                  <wp:align>top</wp:align>
                </wp:positionV>
                <wp:extent cx="254000" cy="254000"/>
                <wp:effectExtent l="0" t="0" r="0" b="0"/>
                <wp:wrapSquare wrapText="right"/>
                <wp:docPr id="902" name="Frame552"/>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2"/>
                                <w:sz w:val="16"/>
                              </w:rPr>
                              <w:t>(4)</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2"/>
                          <w:sz w:val="16"/>
                        </w:rPr>
                        <w:t>(4)</w:t>
                      </w:r>
                      <w:r>
                        <w:rPr>
                          <w:sz w:val="16"/>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4330" w:type="dxa"/>
        <w:jc w:val="left"/>
        <w:tblInd w:w="900" w:type="dxa"/>
        <w:tblLayout w:type="fixed"/>
        <w:tblCellMar>
          <w:top w:w="0" w:type="dxa"/>
          <w:left w:w="0" w:type="dxa"/>
          <w:bottom w:w="0" w:type="dxa"/>
          <w:right w:w="0" w:type="dxa"/>
        </w:tblCellMar>
      </w:tblPr>
      <w:tblGrid>
        <w:gridCol w:w="124"/>
        <w:gridCol w:w="3488"/>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3488" w:type="dxa"/>
            <w:tcBorders/>
            <w:vAlign w:val="center"/>
          </w:tcPr>
          <w:p>
            <w:pPr>
              <w:pStyle w:val="TableContents"/>
              <w:bidi w:val="0"/>
              <w:spacing w:lineRule="atLeast" w:line="200" w:before="0" w:after="0"/>
              <w:jc w:val="left"/>
              <w:rPr/>
            </w:pPr>
            <w:r>
              <w:rPr>
                <w:spacing w:val="-2"/>
              </w:rPr>
              <w:t>EXECUTIVE COMPENSATION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color w:val="1F2668"/>
                <w:sz w:val="24"/>
              </w:rPr>
            </w:pPr>
            <w:r>
              <w:rPr>
                <w:color w:val="1F2668"/>
                <w:sz w:val="24"/>
              </w:rPr>
              <w:t>77</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560" w:after="154"/>
        <w:ind w:left="9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In the event a change in control had occurred on December 31, 2025 without the termination of the employment of our named executive officers, Mr. DiLiberto would have been entitled to the pro-rata bonus payments set forth in the table above. In addition, performance would have been measured pursuant to the Performance-Based Awards, which would have resulted in (i) a portion of the awards granted in 2024 subject to relative TSR performance being earned and (ii) a portion of the awards granted in 2025 subject to operational goals and relative TSR, as applicable, being earned, provided that all awards granted in 2024 and 2025 would have have been subject to a negative absolute TSR modifier or would have been capped at target because the absolute TSR modifier was negative, as applicable, which earned awards would have remained subject to vesting based on continued employment, as described above. The aggregate number of LTIP units earned in such event is as follows: Mr. Holliday-144,790; Mr. DiLiberto-18,140; and Mr. Levine-14,603. Upon earning these additional LTIP units, each of our named executive officers would have been entitled to cash payments and distributions with respect to the following number of such LTIP units equal to (i) $5.84 per unit granted in 2024: Mr. Holliday-114,069; Mr. DiLiberto-8,450; and Mr. Levine-8,450 and (ii) $2.8325 per unit granted in 2025: Mr. Holliday-30,720; Mr. DiLiberto-9,689; and Mr. Levine-6,152. In each case, these amounts equal the amounts that would have been received if such LTIP units had been entitled to receive full distributions from the beginning of the applicable performance period.</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The amounts described above do not include payments and benefits to the extent they have been earned prior to the termination of employment or change in control or are provided on a non-discriminatory basis to salaried employees upon termination of employment. These include: accrued salary and vacation pay; earned and accrued, but unpaid, bonuses; distribution of plan balances under our 401(k) plan; life insurance proceeds in the event of death; and disability insurance payouts in the event of disability. All of the cash severance payments described below are to be made as lump sum payments at the time of termination; provided that, to the extent necessary to avoid the imposition of an additional tax under Section 409A of the IRC, the payments are to be delayed until six months after termination, during which time the payments will accrue interest at the rate of 5% per annum. As a result of provisions in the named executive officers’ employment agreements, in the event that any payment or benefit to be paid or provided to an executive set forth above would have been subject to the excise tax under Sections 280G of the IRC, the payments and benefits to such executive would have been reduced to the extent necessary to avoid the imposition of such excise tax, but only if such reduction would result in a greater after-tax benefit to the executive. The amounts set forth in the table above have not been adjusted to reflect any such reduction that might be applicable.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300" w:before="360" w:after="283"/>
        <w:jc w:val="left"/>
        <w:rPr>
          <w:rFonts w:ascii="Arial;Helvetica;sans-serif" w:hAnsi="Arial;Helvetica;sans-serif"/>
          <w:b/>
          <w:i w:val="false"/>
          <w:caps w:val="false"/>
          <w:smallCaps w:val="false"/>
          <w:color w:val="1F2668"/>
          <w:sz w:val="26"/>
        </w:rPr>
      </w:pPr>
      <w:r>
        <w:rPr>
          <w:rFonts w:ascii="Arial;Helvetica;sans-serif" w:hAnsi="Arial;Helvetica;sans-serif"/>
          <w:b/>
          <w:i w:val="false"/>
          <w:caps w:val="false"/>
          <w:smallCaps w:val="false"/>
          <w:color w:val="1F2668"/>
          <w:spacing w:val="-3"/>
          <w:sz w:val="26"/>
        </w:rPr>
        <w:t>Compensation Committee Interlocks and Insider Participation</w:t>
      </w:r>
      <w:r>
        <w:rPr>
          <w:rFonts w:ascii="Arial;Helvetica;sans-serif" w:hAnsi="Arial;Helvetica;sans-serif"/>
          <w:b/>
          <w:i w:val="false"/>
          <w:caps w:val="false"/>
          <w:smallCaps w:val="false"/>
          <w:color w:val="000000"/>
          <w:spacing w:val="5"/>
          <w:sz w:val="26"/>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Peggy Lamb (Chair), John H. Alschuler, Lauren B. Dillard and Carol N. Brown each served on the Compensation Committee during 2025. There are no Compensation Committee interlocks and none of our employees is a member of our Compensation Committee.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300" w:before="360" w:after="283"/>
        <w:jc w:val="left"/>
        <w:rPr>
          <w:rFonts w:ascii="Arial;Helvetica;sans-serif" w:hAnsi="Arial;Helvetica;sans-serif"/>
          <w:b/>
          <w:i w:val="false"/>
          <w:caps w:val="false"/>
          <w:smallCaps w:val="false"/>
          <w:color w:val="1F2668"/>
          <w:sz w:val="26"/>
        </w:rPr>
      </w:pPr>
      <w:r>
        <w:rPr>
          <w:rFonts w:ascii="Arial;Helvetica;sans-serif" w:hAnsi="Arial;Helvetica;sans-serif"/>
          <w:b/>
          <w:i w:val="false"/>
          <w:caps w:val="false"/>
          <w:smallCaps w:val="false"/>
          <w:color w:val="1F2668"/>
          <w:spacing w:val="-3"/>
          <w:sz w:val="26"/>
        </w:rPr>
        <w:t>Pay Ratio Disclosure Rule</w:t>
      </w:r>
      <w:r>
        <w:rPr>
          <w:rFonts w:ascii="Arial;Helvetica;sans-serif" w:hAnsi="Arial;Helvetica;sans-serif"/>
          <w:b/>
          <w:i w:val="false"/>
          <w:caps w:val="false"/>
          <w:smallCaps w:val="false"/>
          <w:color w:val="000000"/>
          <w:spacing w:val="5"/>
          <w:sz w:val="26"/>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Pursuant to a mandate of the Dodd-Frank Wall Street Reform and Consumer Protection Act, the SEC adopted a rule requiring annual disclosure of the ratio of the median employee’s annual total compensation to the total annual compensation of the principal executive officer, or PEO. The PEO of our Company is Mr. Holliday.</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For 2025, the annual total compensation of Mr. Holliday, our PEO, of $17,356,826 as shown in the Summary Compensation Table above, was approximately 264 times the annual total compensation of $65,736 of a median employee calculated in the same manner. We identified the median employee, which includes all hourly paid employees, using the annual base salary and target annual cash incentive compensation, as of December 31, 2025, plus any long-term equity incentive awards granted in 2025 for all individuals (excluding our PEO) who were employed by us on December 31, 2025, the last day of our payroll year, whether employed on a full-time or part-time basis.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pacing w:val="-2"/>
          <w:sz w:val="18"/>
        </w:rPr>
      </w:pPr>
      <w:r>
        <w:rPr>
          <w:rFonts w:ascii="Arial;Helvetica;sans-serif" w:hAnsi="Arial;Helvetica;sans-serif"/>
          <w:b w:val="false"/>
          <w:i w:val="false"/>
          <w:caps w:val="false"/>
          <w:smallCaps w:val="false"/>
          <w:color w:val="000000"/>
          <w:spacing w:val="-2"/>
          <w:sz w:val="18"/>
        </w:rPr>
        <w:t xml:space="preserve">As of December 31, 2025, 952 of our 1,289 employees were hourly-paid employees involved in building operations, most of whom are subject to collective bargaining agreements. If these employees were not included for purposes of identifying our median employee, the annual total compensation of a median employee would be $165,823 and the annual total compensation of our PEO would be approximately 105 times such amount.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225" w:type="dxa"/>
        <w:jc w:val="left"/>
        <w:tblInd w:w="900" w:type="dxa"/>
        <w:tblLayout w:type="fixed"/>
        <w:tblCellMar>
          <w:top w:w="0" w:type="dxa"/>
          <w:left w:w="0" w:type="dxa"/>
          <w:bottom w:w="0" w:type="dxa"/>
          <w:right w:w="0" w:type="dxa"/>
        </w:tblCellMar>
      </w:tblPr>
      <w:tblGrid>
        <w:gridCol w:w="124"/>
        <w:gridCol w:w="346"/>
        <w:gridCol w:w="109"/>
        <w:gridCol w:w="109"/>
        <w:gridCol w:w="4383"/>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78</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383" w:type="dxa"/>
            <w:tcBorders/>
            <w:vAlign w:val="center"/>
          </w:tcPr>
          <w:p>
            <w:pPr>
              <w:pStyle w:val="TableContents"/>
              <w:bidi w:val="0"/>
              <w:spacing w:lineRule="atLeast" w:line="200" w:before="0" w:after="0"/>
              <w:jc w:val="left"/>
              <w:rPr/>
            </w:pPr>
            <w:r>
              <w:rPr>
                <w:spacing w:val="-2"/>
              </w:rPr>
              <w:t>    </w:t>
            </w:r>
            <w:r>
              <w:rPr>
                <w:spacing w:val="-2"/>
                <w:sz w:val="16"/>
              </w:rPr>
              <w:t>SL GREEN REALTY CORP. 2026 PROXY STATEMENT</w:t>
            </w:r>
            <w:r>
              <w:rPr>
                <w:sz w:val="16"/>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300" w:before="560" w:after="154"/>
        <w:ind w:left="900" w:right="0" w:hanging="0"/>
        <w:jc w:val="left"/>
        <w:rPr>
          <w:rFonts w:ascii="Arial;Helvetica;sans-serif" w:hAnsi="Arial;Helvetica;sans-serif"/>
          <w:b/>
          <w:i w:val="false"/>
          <w:caps w:val="false"/>
          <w:smallCaps w:val="false"/>
          <w:color w:val="1F2668"/>
          <w:sz w:val="26"/>
        </w:rPr>
      </w:pPr>
      <w:r>
        <w:rPr>
          <w:rFonts w:ascii="Arial;Helvetica;sans-serif" w:hAnsi="Arial;Helvetica;sans-serif"/>
          <w:b/>
          <w:i w:val="false"/>
          <w:caps w:val="false"/>
          <w:smallCaps w:val="false"/>
          <w:color w:val="1F2668"/>
          <w:spacing w:val="-3"/>
          <w:sz w:val="26"/>
        </w:rPr>
        <w:t>Pay Versus Performance</w:t>
      </w:r>
      <w:r>
        <w:rPr>
          <w:rFonts w:ascii="Arial;Helvetica;sans-serif" w:hAnsi="Arial;Helvetica;sans-serif"/>
          <w:b/>
          <w:i w:val="false"/>
          <w:caps w:val="false"/>
          <w:smallCaps w:val="false"/>
          <w:color w:val="000000"/>
          <w:spacing w:val="5"/>
          <w:sz w:val="26"/>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pacing w:val="-2"/>
          <w:sz w:val="18"/>
        </w:rPr>
      </w:pPr>
      <w:r>
        <w:rPr>
          <w:rFonts w:ascii="Arial;Helvetica;sans-serif" w:hAnsi="Arial;Helvetica;sans-serif"/>
          <w:b w:val="false"/>
          <w:i w:val="false"/>
          <w:caps w:val="false"/>
          <w:smallCaps w:val="false"/>
          <w:color w:val="000000"/>
          <w:spacing w:val="-2"/>
          <w:sz w:val="18"/>
        </w:rPr>
        <w:t xml:space="preserve">The information below presents the relationship between the compensation of our named executive officer and certain performance measures in accordance with Item 402(v) of Regulation S-K. For a discussion of our compensation programs and pay for performance philosophy, please refer to the section captioned “Compensation Discussion and Analysis,” above. </w:t>
      </w:r>
    </w:p>
    <w:p>
      <w:pPr>
        <w:pStyle w:val="TextBody"/>
        <w:bidi w:val="0"/>
        <w:spacing w:lineRule="atLeast" w:line="260" w:before="324" w:after="283"/>
        <w:jc w:val="left"/>
        <w:rPr>
          <w:rFonts w:ascii="Arial;Helvetica;sans-serif" w:hAnsi="Arial;Helvetica;sans-serif"/>
          <w:b/>
          <w:i w:val="false"/>
          <w:caps w:val="false"/>
          <w:smallCaps w:val="false"/>
          <w:color w:val="83AD40"/>
          <w:sz w:val="22"/>
        </w:rPr>
      </w:pPr>
      <w:r>
        <w:rPr>
          <w:rFonts w:ascii="Arial;Helvetica;sans-serif" w:hAnsi="Arial;Helvetica;sans-serif"/>
          <w:b/>
          <w:i w:val="false"/>
          <w:caps w:val="false"/>
          <w:smallCaps w:val="false"/>
          <w:color w:val="83AD40"/>
          <w:spacing w:val="-2"/>
          <w:sz w:val="22"/>
        </w:rPr>
        <w:t>Pay Versus Performance Table</w:t>
      </w:r>
      <w:r>
        <w:rPr>
          <w:rFonts w:ascii="Arial;Helvetica;sans-serif" w:hAnsi="Arial;Helvetica;sans-serif"/>
          <w:b/>
          <w:i w:val="false"/>
          <w:caps w:val="false"/>
          <w:smallCaps w:val="false"/>
          <w:color w:val="000000"/>
          <w:spacing w:val="4"/>
          <w:sz w:val="22"/>
        </w:rPr>
        <w:t xml:space="preserve"> </w:t>
      </w:r>
    </w:p>
    <w:tbl>
      <w:tblPr>
        <w:tblW w:w="13524" w:type="dxa"/>
        <w:jc w:val="left"/>
        <w:tblInd w:w="900" w:type="dxa"/>
        <w:tblLayout w:type="fixed"/>
        <w:tblCellMar>
          <w:top w:w="0" w:type="dxa"/>
          <w:left w:w="0" w:type="dxa"/>
          <w:bottom w:w="0" w:type="dxa"/>
          <w:right w:w="0" w:type="dxa"/>
        </w:tblCellMar>
      </w:tblPr>
      <w:tblGrid>
        <w:gridCol w:w="595"/>
        <w:gridCol w:w="109"/>
        <w:gridCol w:w="109"/>
        <w:gridCol w:w="109"/>
        <w:gridCol w:w="109"/>
        <w:gridCol w:w="1186"/>
        <w:gridCol w:w="109"/>
        <w:gridCol w:w="109"/>
        <w:gridCol w:w="109"/>
        <w:gridCol w:w="109"/>
        <w:gridCol w:w="109"/>
        <w:gridCol w:w="1261"/>
        <w:gridCol w:w="109"/>
        <w:gridCol w:w="109"/>
        <w:gridCol w:w="109"/>
        <w:gridCol w:w="109"/>
        <w:gridCol w:w="109"/>
        <w:gridCol w:w="1122"/>
        <w:gridCol w:w="109"/>
        <w:gridCol w:w="109"/>
        <w:gridCol w:w="109"/>
        <w:gridCol w:w="109"/>
        <w:gridCol w:w="109"/>
        <w:gridCol w:w="1216"/>
        <w:gridCol w:w="109"/>
        <w:gridCol w:w="109"/>
        <w:gridCol w:w="109"/>
        <w:gridCol w:w="168"/>
        <w:gridCol w:w="168"/>
        <w:gridCol w:w="720"/>
        <w:gridCol w:w="170"/>
        <w:gridCol w:w="109"/>
        <w:gridCol w:w="109"/>
        <w:gridCol w:w="168"/>
        <w:gridCol w:w="168"/>
        <w:gridCol w:w="720"/>
        <w:gridCol w:w="170"/>
        <w:gridCol w:w="109"/>
        <w:gridCol w:w="109"/>
        <w:gridCol w:w="109"/>
        <w:gridCol w:w="109"/>
        <w:gridCol w:w="961"/>
        <w:gridCol w:w="109"/>
        <w:gridCol w:w="109"/>
        <w:gridCol w:w="109"/>
        <w:gridCol w:w="153"/>
        <w:gridCol w:w="153"/>
        <w:gridCol w:w="738"/>
        <w:gridCol w:w="154"/>
        <w:gridCol w:w="154"/>
      </w:tblGrid>
      <w:tr>
        <w:trPr/>
        <w:tc>
          <w:tcPr>
            <w:tcW w:w="59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513" w:type="dxa"/>
            <w:gridSpan w:val="4"/>
            <w:vMerge w:val="restart"/>
            <w:tcBorders>
              <w:bottom w:val="single" w:sz="2" w:space="0" w:color="1F2668"/>
            </w:tcBorders>
            <w:tcMar>
              <w:bottom w:w="70" w:type="dxa"/>
            </w:tcMar>
            <w:vAlign w:val="center"/>
          </w:tcPr>
          <w:p>
            <w:pPr>
              <w:pStyle w:val="TableContents"/>
              <w:bidi w:val="0"/>
              <w:spacing w:lineRule="atLeast" w:line="180" w:before="0" w:after="0"/>
              <w:jc w:val="right"/>
              <w:rPr/>
            </w:pPr>
            <w:r>
              <w:rPr>
                <w:spacing w:val="-2"/>
              </w:rPr>
              <w:t xml:space="preserve">Summary </w:t>
              <w:br/>
              <w:t xml:space="preserve">Compensation </w:t>
              <w:br/>
              <w:t xml:space="preserve">Table Total </w:t>
              <w:br/>
              <w:t xml:space="preserve">for PEO </w:t>
              <w:br/>
              <w:t>($)</w:t>
            </w:r>
            <w:r>
              <w:rPr/>
              <w:t xml:space="preserve">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588" w:type="dxa"/>
            <w:gridSpan w:val="4"/>
            <w:vMerge w:val="restart"/>
            <w:tcBorders>
              <w:bottom w:val="single" w:sz="2" w:space="0" w:color="1F2668"/>
            </w:tcBorders>
            <w:tcMar>
              <w:bottom w:w="70" w:type="dxa"/>
            </w:tcMar>
            <w:vAlign w:val="center"/>
          </w:tcPr>
          <w:p>
            <w:pPr>
              <w:pStyle w:val="TableContents"/>
              <w:bidi w:val="0"/>
              <w:spacing w:lineRule="atLeast" w:line="142" w:before="0" w:after="0"/>
              <w:jc w:val="right"/>
              <w:rPr/>
            </w:pPr>
            <w:r>
              <w:rPr>
                <w:spacing w:val="-2"/>
              </w:rPr>
              <w:t xml:space="preserve">Compensation </w:t>
              <w:br/>
              <w:t xml:space="preserve">Actually Paid </w:t>
              <w:br/>
              <w:t xml:space="preserve">to PEO </w:t>
              <w:br/>
              <w:t>($)</w:t>
            </w:r>
            <w:r>
              <w:rPr>
                <w:b/>
                <w:spacing w:val="-1"/>
                <w:sz w:val="10"/>
              </w:rPr>
              <w:t>(1)</w:t>
            </w:r>
            <w:r>
              <w:rPr/>
              <w:t xml:space="preserve">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449" w:type="dxa"/>
            <w:gridSpan w:val="4"/>
            <w:vMerge w:val="restart"/>
            <w:tcBorders>
              <w:bottom w:val="single" w:sz="2" w:space="0" w:color="1F2668"/>
            </w:tcBorders>
            <w:tcMar>
              <w:bottom w:w="70" w:type="dxa"/>
            </w:tcMar>
            <w:vAlign w:val="center"/>
          </w:tcPr>
          <w:p>
            <w:pPr>
              <w:pStyle w:val="TableContents"/>
              <w:bidi w:val="0"/>
              <w:spacing w:lineRule="atLeast" w:line="180" w:before="0" w:after="0"/>
              <w:jc w:val="right"/>
              <w:rPr/>
            </w:pPr>
            <w:r>
              <w:rPr>
                <w:spacing w:val="-2"/>
              </w:rPr>
              <w:t xml:space="preserve">Average </w:t>
              <w:br/>
              <w:t xml:space="preserve">Summary </w:t>
              <w:br/>
              <w:t xml:space="preserve">Compensation </w:t>
              <w:br/>
              <w:t xml:space="preserve">Table Total </w:t>
              <w:br/>
              <w:t xml:space="preserve">for Non-PEO </w:t>
              <w:br/>
              <w:t xml:space="preserve">NEOs </w:t>
              <w:br/>
              <w:t>($)</w:t>
            </w:r>
            <w:r>
              <w:rPr/>
              <w:t xml:space="preserve">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543" w:type="dxa"/>
            <w:gridSpan w:val="4"/>
            <w:vMerge w:val="restart"/>
            <w:tcBorders>
              <w:bottom w:val="single" w:sz="2" w:space="0" w:color="1F2668"/>
            </w:tcBorders>
            <w:tcMar>
              <w:bottom w:w="70" w:type="dxa"/>
            </w:tcMar>
            <w:vAlign w:val="center"/>
          </w:tcPr>
          <w:p>
            <w:pPr>
              <w:pStyle w:val="TableContents"/>
              <w:bidi w:val="0"/>
              <w:spacing w:lineRule="atLeast" w:line="142" w:before="0" w:after="0"/>
              <w:jc w:val="right"/>
              <w:rPr/>
            </w:pPr>
            <w:r>
              <w:rPr>
                <w:spacing w:val="-2"/>
              </w:rPr>
              <w:t xml:space="preserve">Average </w:t>
              <w:br/>
              <w:t xml:space="preserve">Compensation </w:t>
              <w:br/>
              <w:t xml:space="preserve">Actually Paid to </w:t>
              <w:br/>
              <w:t xml:space="preserve">Non-PEO NEOs </w:t>
              <w:br/>
              <w:t>($)</w:t>
            </w:r>
            <w:r>
              <w:rPr>
                <w:b/>
                <w:spacing w:val="-1"/>
                <w:sz w:val="10"/>
              </w:rPr>
              <w:t>(2)</w:t>
            </w:r>
            <w:r>
              <w:rPr/>
              <w:t xml:space="preserve">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592" w:type="dxa"/>
            <w:gridSpan w:val="22"/>
            <w:tcBorders>
              <w:bottom w:val="single" w:sz="2" w:space="0" w:color="1F2668"/>
            </w:tcBorders>
            <w:tcMar>
              <w:bottom w:w="70" w:type="dxa"/>
            </w:tcMar>
            <w:vAlign w:val="center"/>
          </w:tcPr>
          <w:p>
            <w:pPr>
              <w:pStyle w:val="TableContents"/>
              <w:bidi w:val="0"/>
              <w:spacing w:before="0" w:after="0"/>
              <w:jc w:val="center"/>
              <w:rPr>
                <w:spacing w:val="-2"/>
              </w:rPr>
            </w:pPr>
            <w:r>
              <w:rPr>
                <w:spacing w:val="-2"/>
              </w:rPr>
              <w:t xml:space="preserve">Value of Initial Fixed $100 Investment Based On: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95" w:type="dxa"/>
            <w:tcBorders>
              <w:bottom w:val="single" w:sz="2" w:space="0" w:color="1F2668"/>
            </w:tcBorders>
            <w:tcMar>
              <w:bottom w:w="63" w:type="dxa"/>
            </w:tcMar>
            <w:vAlign w:val="center"/>
          </w:tcPr>
          <w:p>
            <w:pPr>
              <w:pStyle w:val="TableContents"/>
              <w:bidi w:val="0"/>
              <w:spacing w:before="0" w:after="0"/>
              <w:jc w:val="left"/>
              <w:rPr>
                <w:spacing w:val="-2"/>
              </w:rPr>
            </w:pPr>
            <w:r>
              <w:rPr>
                <w:spacing w:val="-2"/>
              </w:rPr>
              <w:t xml:space="preserve">Year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513" w:type="dxa"/>
            <w:gridSpan w:val="4"/>
            <w:vMerge w:val="continue"/>
            <w:tcBorders>
              <w:bottom w:val="single" w:sz="2" w:space="0" w:color="1F2668"/>
            </w:tcBorders>
            <w:tcMar>
              <w:bottom w:w="70" w:type="dxa"/>
            </w:tcMar>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588" w:type="dxa"/>
            <w:gridSpan w:val="4"/>
            <w:vMerge w:val="continue"/>
            <w:tcBorders>
              <w:bottom w:val="single" w:sz="2" w:space="0" w:color="1F2668"/>
            </w:tcBorders>
            <w:tcMar>
              <w:bottom w:w="70" w:type="dxa"/>
            </w:tcMar>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449" w:type="dxa"/>
            <w:gridSpan w:val="4"/>
            <w:vMerge w:val="continue"/>
            <w:tcBorders>
              <w:bottom w:val="single" w:sz="2" w:space="0" w:color="1F2668"/>
            </w:tcBorders>
            <w:tcMar>
              <w:bottom w:w="70" w:type="dxa"/>
            </w:tcMar>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543" w:type="dxa"/>
            <w:gridSpan w:val="4"/>
            <w:vMerge w:val="continue"/>
            <w:tcBorders>
              <w:bottom w:val="single" w:sz="2" w:space="0" w:color="1F2668"/>
            </w:tcBorders>
            <w:tcMar>
              <w:bottom w:w="70" w:type="dxa"/>
            </w:tcMar>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6" w:type="dxa"/>
            <w:gridSpan w:val="4"/>
            <w:tcBorders>
              <w:bottom w:val="single" w:sz="2" w:space="0" w:color="1F2668"/>
            </w:tcBorders>
            <w:tcMar>
              <w:bottom w:w="63" w:type="dxa"/>
            </w:tcMar>
            <w:vAlign w:val="center"/>
          </w:tcPr>
          <w:p>
            <w:pPr>
              <w:pStyle w:val="TableContents"/>
              <w:bidi w:val="0"/>
              <w:spacing w:lineRule="atLeast" w:line="142" w:before="0" w:after="0"/>
              <w:jc w:val="right"/>
              <w:rPr/>
            </w:pPr>
            <w:r>
              <w:rPr>
                <w:spacing w:val="-2"/>
              </w:rPr>
              <w:t xml:space="preserve">Total </w:t>
              <w:br/>
              <w:t xml:space="preserve">Stockholder </w:t>
              <w:br/>
              <w:t xml:space="preserve">Return </w:t>
              <w:br/>
              <w:t>($)</w:t>
            </w:r>
            <w:r>
              <w:rPr>
                <w:b/>
                <w:spacing w:val="-1"/>
                <w:sz w:val="10"/>
              </w:rPr>
              <w:t>(3)</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6" w:type="dxa"/>
            <w:gridSpan w:val="4"/>
            <w:tcBorders>
              <w:bottom w:val="single" w:sz="2" w:space="0" w:color="1F2668"/>
            </w:tcBorders>
            <w:tcMar>
              <w:bottom w:w="63" w:type="dxa"/>
            </w:tcMar>
            <w:vAlign w:val="center"/>
          </w:tcPr>
          <w:p>
            <w:pPr>
              <w:pStyle w:val="TableContents"/>
              <w:bidi w:val="0"/>
              <w:spacing w:lineRule="atLeast" w:line="142" w:before="0" w:after="0"/>
              <w:jc w:val="right"/>
              <w:rPr/>
            </w:pPr>
            <w:r>
              <w:rPr>
                <w:spacing w:val="-2"/>
              </w:rPr>
              <w:t xml:space="preserve">Peer Group </w:t>
              <w:br/>
              <w:t xml:space="preserve">Total </w:t>
              <w:br/>
              <w:t xml:space="preserve">Stockholder </w:t>
              <w:br/>
              <w:t xml:space="preserve">Return </w:t>
              <w:br/>
              <w:t>($)</w:t>
            </w:r>
            <w:r>
              <w:rPr>
                <w:b/>
                <w:spacing w:val="-1"/>
                <w:sz w:val="10"/>
              </w:rPr>
              <w:t>(4)</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88" w:type="dxa"/>
            <w:gridSpan w:val="4"/>
            <w:tcBorders>
              <w:bottom w:val="single" w:sz="2" w:space="0" w:color="1F2668"/>
            </w:tcBorders>
            <w:tcMar>
              <w:bottom w:w="63" w:type="dxa"/>
            </w:tcMar>
            <w:vAlign w:val="center"/>
          </w:tcPr>
          <w:p>
            <w:pPr>
              <w:pStyle w:val="TableContents"/>
              <w:bidi w:val="0"/>
              <w:spacing w:before="0" w:after="0"/>
              <w:jc w:val="right"/>
              <w:rPr/>
            </w:pPr>
            <w:r>
              <w:rPr>
                <w:spacing w:val="-2"/>
              </w:rPr>
              <w:t xml:space="preserve">Net (Loss) </w:t>
              <w:br/>
              <w:t xml:space="preserve">Income, in </w:t>
              <w:br/>
              <w:t xml:space="preserve">thousands </w:t>
              <w:br/>
              <w:t>($)</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98" w:type="dxa"/>
            <w:gridSpan w:val="4"/>
            <w:tcBorders>
              <w:bottom w:val="single" w:sz="2" w:space="0" w:color="1F2668"/>
            </w:tcBorders>
            <w:tcMar>
              <w:bottom w:w="63" w:type="dxa"/>
            </w:tcMar>
            <w:vAlign w:val="center"/>
          </w:tcPr>
          <w:p>
            <w:pPr>
              <w:pStyle w:val="TableContents"/>
              <w:bidi w:val="0"/>
              <w:spacing w:lineRule="atLeast" w:line="142" w:before="0" w:after="0"/>
              <w:jc w:val="right"/>
              <w:rPr/>
            </w:pPr>
            <w:r>
              <w:rPr>
                <w:spacing w:val="-2"/>
              </w:rPr>
              <w:t xml:space="preserve">Normalized </w:t>
              <w:br/>
              <w:t xml:space="preserve">FFO per </w:t>
              <w:br/>
              <w:t xml:space="preserve">Share </w:t>
              <w:br/>
              <w:t>($)</w:t>
            </w:r>
            <w:r>
              <w:rPr>
                <w:b/>
                <w:spacing w:val="-1"/>
                <w:sz w:val="10"/>
              </w:rPr>
              <w:t>(5)</w:t>
            </w:r>
            <w:r>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95" w:type="dxa"/>
            <w:tcBorders>
              <w:bottom w:val="single" w:sz="2" w:space="0" w:color="4B5088"/>
            </w:tcBorders>
            <w:tcMar>
              <w:bottom w:w="70" w:type="dxa"/>
            </w:tcMar>
            <w:vAlign w:val="center"/>
          </w:tcPr>
          <w:p>
            <w:pPr>
              <w:pStyle w:val="TableContents"/>
              <w:bidi w:val="0"/>
              <w:spacing w:before="0" w:after="0"/>
              <w:jc w:val="left"/>
              <w:rPr>
                <w:b/>
                <w:color w:val="1F2668"/>
              </w:rPr>
            </w:pPr>
            <w:r>
              <w:rPr>
                <w:b/>
                <w:color w:val="1F2668"/>
                <w:spacing w:val="-2"/>
              </w:rPr>
              <w:t>2025</w:t>
            </w:r>
            <w:r>
              <w:rPr>
                <w:b/>
                <w:color w:val="1F2668"/>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1186" w:type="dxa"/>
            <w:tcBorders>
              <w:bottom w:val="single" w:sz="2" w:space="0" w:color="4B5088"/>
            </w:tcBorders>
            <w:tcMar>
              <w:bottom w:w="70" w:type="dxa"/>
            </w:tcMar>
            <w:vAlign w:val="center"/>
          </w:tcPr>
          <w:p>
            <w:pPr>
              <w:pStyle w:val="TableContents"/>
              <w:bidi w:val="0"/>
              <w:spacing w:before="0" w:after="283"/>
              <w:jc w:val="right"/>
              <w:rPr/>
            </w:pPr>
            <w:r>
              <w:rPr/>
              <w:t>17,356,826</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1261" w:type="dxa"/>
            <w:tcBorders>
              <w:bottom w:val="single" w:sz="2" w:space="0" w:color="4B5088"/>
            </w:tcBorders>
            <w:tcMar>
              <w:bottom w:w="70" w:type="dxa"/>
            </w:tcMar>
            <w:vAlign w:val="center"/>
          </w:tcPr>
          <w:p>
            <w:pPr>
              <w:pStyle w:val="TableContents"/>
              <w:bidi w:val="0"/>
              <w:spacing w:before="0" w:after="283"/>
              <w:jc w:val="right"/>
              <w:rPr/>
            </w:pPr>
            <w:r>
              <w:rPr/>
              <w:t>959,111</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1122" w:type="dxa"/>
            <w:tcBorders>
              <w:bottom w:val="single" w:sz="2" w:space="0" w:color="4B5088"/>
            </w:tcBorders>
            <w:tcMar>
              <w:bottom w:w="70" w:type="dxa"/>
            </w:tcMar>
            <w:vAlign w:val="center"/>
          </w:tcPr>
          <w:p>
            <w:pPr>
              <w:pStyle w:val="TableContents"/>
              <w:bidi w:val="0"/>
              <w:spacing w:before="0" w:after="283"/>
              <w:jc w:val="right"/>
              <w:rPr/>
            </w:pPr>
            <w:r>
              <w:rPr/>
              <w:t>4,003,522</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1216" w:type="dxa"/>
            <w:tcBorders>
              <w:bottom w:val="single" w:sz="2" w:space="0" w:color="4B5088"/>
            </w:tcBorders>
            <w:tcMar>
              <w:bottom w:w="70" w:type="dxa"/>
            </w:tcMar>
            <w:vAlign w:val="center"/>
          </w:tcPr>
          <w:p>
            <w:pPr>
              <w:pStyle w:val="TableContents"/>
              <w:bidi w:val="0"/>
              <w:spacing w:before="0" w:after="283"/>
              <w:jc w:val="right"/>
              <w:rPr/>
            </w:pPr>
            <w:r>
              <w:rPr/>
              <w:t>2,962,659</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8" w:type="dxa"/>
            <w:tcBorders>
              <w:bottom w:val="single" w:sz="2" w:space="0" w:color="4B5088"/>
            </w:tcBorders>
            <w:tcMar>
              <w:bottom w:w="28" w:type="dxa"/>
            </w:tcMar>
            <w:vAlign w:val="center"/>
          </w:tcPr>
          <w:p>
            <w:pPr>
              <w:pStyle w:val="TableContents"/>
              <w:bidi w:val="0"/>
              <w:spacing w:before="0" w:after="283"/>
              <w:jc w:val="left"/>
              <w:rPr/>
            </w:pPr>
            <w:r>
              <w:rPr/>
              <w:t>​</w:t>
            </w:r>
          </w:p>
        </w:tc>
        <w:tc>
          <w:tcPr>
            <w:tcW w:w="168" w:type="dxa"/>
            <w:tcBorders>
              <w:bottom w:val="single" w:sz="2" w:space="0" w:color="4B5088"/>
            </w:tcBorders>
            <w:tcMar>
              <w:bottom w:w="70" w:type="dxa"/>
            </w:tcMar>
            <w:vAlign w:val="center"/>
          </w:tcPr>
          <w:p>
            <w:pPr>
              <w:pStyle w:val="TableContents"/>
              <w:bidi w:val="0"/>
              <w:spacing w:before="0" w:after="283"/>
              <w:jc w:val="right"/>
              <w:rPr/>
            </w:pPr>
            <w:r>
              <w:rPr/>
              <w:t>​</w:t>
            </w:r>
          </w:p>
        </w:tc>
        <w:tc>
          <w:tcPr>
            <w:tcW w:w="720" w:type="dxa"/>
            <w:tcBorders>
              <w:bottom w:val="single" w:sz="2" w:space="0" w:color="4B5088"/>
            </w:tcBorders>
            <w:tcMar>
              <w:bottom w:w="70" w:type="dxa"/>
            </w:tcMar>
            <w:vAlign w:val="center"/>
          </w:tcPr>
          <w:p>
            <w:pPr>
              <w:pStyle w:val="TableContents"/>
              <w:bidi w:val="0"/>
              <w:spacing w:before="0" w:after="283"/>
              <w:jc w:val="right"/>
              <w:rPr/>
            </w:pPr>
            <w:r>
              <w:rPr/>
              <w:t>104</w:t>
            </w:r>
          </w:p>
        </w:tc>
        <w:tc>
          <w:tcPr>
            <w:tcW w:w="170"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8" w:type="dxa"/>
            <w:tcBorders>
              <w:bottom w:val="single" w:sz="2" w:space="0" w:color="4B5088"/>
            </w:tcBorders>
            <w:tcMar>
              <w:bottom w:w="28" w:type="dxa"/>
            </w:tcMar>
            <w:vAlign w:val="center"/>
          </w:tcPr>
          <w:p>
            <w:pPr>
              <w:pStyle w:val="TableContents"/>
              <w:bidi w:val="0"/>
              <w:spacing w:before="0" w:after="283"/>
              <w:jc w:val="left"/>
              <w:rPr/>
            </w:pPr>
            <w:r>
              <w:rPr/>
              <w:t>​</w:t>
            </w:r>
          </w:p>
        </w:tc>
        <w:tc>
          <w:tcPr>
            <w:tcW w:w="168" w:type="dxa"/>
            <w:tcBorders>
              <w:bottom w:val="single" w:sz="2" w:space="0" w:color="4B5088"/>
            </w:tcBorders>
            <w:tcMar>
              <w:bottom w:w="70" w:type="dxa"/>
            </w:tcMar>
            <w:vAlign w:val="center"/>
          </w:tcPr>
          <w:p>
            <w:pPr>
              <w:pStyle w:val="TableContents"/>
              <w:bidi w:val="0"/>
              <w:spacing w:before="0" w:after="283"/>
              <w:jc w:val="right"/>
              <w:rPr/>
            </w:pPr>
            <w:r>
              <w:rPr/>
              <w:t>​</w:t>
            </w:r>
          </w:p>
        </w:tc>
        <w:tc>
          <w:tcPr>
            <w:tcW w:w="720" w:type="dxa"/>
            <w:tcBorders>
              <w:bottom w:val="single" w:sz="2" w:space="0" w:color="4B5088"/>
            </w:tcBorders>
            <w:tcMar>
              <w:bottom w:w="70" w:type="dxa"/>
            </w:tcMar>
            <w:vAlign w:val="center"/>
          </w:tcPr>
          <w:p>
            <w:pPr>
              <w:pStyle w:val="TableContents"/>
              <w:bidi w:val="0"/>
              <w:spacing w:before="0" w:after="283"/>
              <w:jc w:val="right"/>
              <w:rPr/>
            </w:pPr>
            <w:r>
              <w:rPr/>
              <w:t>65</w:t>
            </w:r>
          </w:p>
        </w:tc>
        <w:tc>
          <w:tcPr>
            <w:tcW w:w="170"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961" w:type="dxa"/>
            <w:tcBorders>
              <w:bottom w:val="single" w:sz="2" w:space="0" w:color="4B5088"/>
            </w:tcBorders>
            <w:tcMar>
              <w:bottom w:w="70" w:type="dxa"/>
            </w:tcMar>
            <w:vAlign w:val="center"/>
          </w:tcPr>
          <w:p>
            <w:pPr>
              <w:pStyle w:val="TableContents"/>
              <w:bidi w:val="0"/>
              <w:spacing w:before="0" w:after="283"/>
              <w:jc w:val="right"/>
              <w:rPr/>
            </w:pPr>
            <w:r>
              <w:rPr/>
              <w:t>(96,921)</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3" w:type="dxa"/>
            <w:tcBorders>
              <w:bottom w:val="single" w:sz="2" w:space="0" w:color="4B5088"/>
            </w:tcBorders>
            <w:tcMar>
              <w:bottom w:w="28" w:type="dxa"/>
            </w:tcMar>
            <w:vAlign w:val="center"/>
          </w:tcPr>
          <w:p>
            <w:pPr>
              <w:pStyle w:val="TableContents"/>
              <w:bidi w:val="0"/>
              <w:spacing w:before="0" w:after="283"/>
              <w:jc w:val="left"/>
              <w:rPr/>
            </w:pPr>
            <w:r>
              <w:rPr/>
              <w:t>​</w:t>
            </w:r>
          </w:p>
        </w:tc>
        <w:tc>
          <w:tcPr>
            <w:tcW w:w="153" w:type="dxa"/>
            <w:tcBorders>
              <w:bottom w:val="single" w:sz="2" w:space="0" w:color="4B5088"/>
            </w:tcBorders>
            <w:tcMar>
              <w:bottom w:w="70" w:type="dxa"/>
            </w:tcMar>
            <w:vAlign w:val="center"/>
          </w:tcPr>
          <w:p>
            <w:pPr>
              <w:pStyle w:val="TableContents"/>
              <w:bidi w:val="0"/>
              <w:spacing w:before="0" w:after="283"/>
              <w:jc w:val="right"/>
              <w:rPr/>
            </w:pPr>
            <w:r>
              <w:rPr/>
              <w:t>​</w:t>
            </w:r>
          </w:p>
        </w:tc>
        <w:tc>
          <w:tcPr>
            <w:tcW w:w="738" w:type="dxa"/>
            <w:tcBorders>
              <w:bottom w:val="single" w:sz="2" w:space="0" w:color="4B5088"/>
            </w:tcBorders>
            <w:tcMar>
              <w:bottom w:w="70" w:type="dxa"/>
            </w:tcMar>
            <w:vAlign w:val="center"/>
          </w:tcPr>
          <w:p>
            <w:pPr>
              <w:pStyle w:val="TableContents"/>
              <w:bidi w:val="0"/>
              <w:spacing w:before="0" w:after="283"/>
              <w:jc w:val="right"/>
              <w:rPr/>
            </w:pPr>
            <w:r>
              <w:rPr/>
              <w:t>5.48</w:t>
            </w:r>
          </w:p>
        </w:tc>
        <w:tc>
          <w:tcPr>
            <w:tcW w:w="154"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95" w:type="dxa"/>
            <w:tcBorders>
              <w:bottom w:val="single" w:sz="2" w:space="0" w:color="4B5088"/>
            </w:tcBorders>
            <w:tcMar>
              <w:bottom w:w="70" w:type="dxa"/>
            </w:tcMar>
            <w:vAlign w:val="center"/>
          </w:tcPr>
          <w:p>
            <w:pPr>
              <w:pStyle w:val="TableContents"/>
              <w:bidi w:val="0"/>
              <w:spacing w:before="0" w:after="0"/>
              <w:jc w:val="left"/>
              <w:rPr>
                <w:b/>
                <w:color w:val="1F2668"/>
              </w:rPr>
            </w:pPr>
            <w:r>
              <w:rPr>
                <w:b/>
                <w:color w:val="1F2668"/>
                <w:spacing w:val="-2"/>
              </w:rPr>
              <w:t>2024</w:t>
            </w:r>
            <w:r>
              <w:rPr>
                <w:b/>
                <w:color w:val="1F2668"/>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1186" w:type="dxa"/>
            <w:tcBorders>
              <w:bottom w:val="single" w:sz="2" w:space="0" w:color="4B5088"/>
            </w:tcBorders>
            <w:tcMar>
              <w:bottom w:w="70" w:type="dxa"/>
            </w:tcMar>
            <w:vAlign w:val="center"/>
          </w:tcPr>
          <w:p>
            <w:pPr>
              <w:pStyle w:val="TableContents"/>
              <w:bidi w:val="0"/>
              <w:spacing w:before="0" w:after="283"/>
              <w:jc w:val="right"/>
              <w:rPr/>
            </w:pPr>
            <w:r>
              <w:rPr/>
              <w:t>20,685,756</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1261" w:type="dxa"/>
            <w:tcBorders>
              <w:bottom w:val="single" w:sz="2" w:space="0" w:color="4B5088"/>
            </w:tcBorders>
            <w:tcMar>
              <w:bottom w:w="70" w:type="dxa"/>
            </w:tcMar>
            <w:vAlign w:val="center"/>
          </w:tcPr>
          <w:p>
            <w:pPr>
              <w:pStyle w:val="TableContents"/>
              <w:bidi w:val="0"/>
              <w:spacing w:before="0" w:after="283"/>
              <w:jc w:val="right"/>
              <w:rPr/>
            </w:pPr>
            <w:r>
              <w:rPr/>
              <w:t>48,597,262</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1122" w:type="dxa"/>
            <w:tcBorders>
              <w:bottom w:val="single" w:sz="2" w:space="0" w:color="4B5088"/>
            </w:tcBorders>
            <w:tcMar>
              <w:bottom w:w="70" w:type="dxa"/>
            </w:tcMar>
            <w:vAlign w:val="center"/>
          </w:tcPr>
          <w:p>
            <w:pPr>
              <w:pStyle w:val="TableContents"/>
              <w:bidi w:val="0"/>
              <w:spacing w:before="0" w:after="283"/>
              <w:jc w:val="right"/>
              <w:rPr/>
            </w:pPr>
            <w:r>
              <w:rPr/>
              <w:t>3,550,244</w:t>
            </w:r>
            <w:r>
              <w:rPr>
                <w:sz w:val="11"/>
              </w:rPr>
              <w:t>(6)</w:t>
            </w:r>
            <w:r>
              <w:rPr/>
              <w:t xml:space="preserve">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1216" w:type="dxa"/>
            <w:tcBorders>
              <w:bottom w:val="single" w:sz="2" w:space="0" w:color="4B5088"/>
            </w:tcBorders>
            <w:tcMar>
              <w:bottom w:w="70" w:type="dxa"/>
            </w:tcMar>
            <w:vAlign w:val="center"/>
          </w:tcPr>
          <w:p>
            <w:pPr>
              <w:pStyle w:val="TableContents"/>
              <w:bidi w:val="0"/>
              <w:spacing w:before="0" w:after="283"/>
              <w:jc w:val="right"/>
              <w:rPr/>
            </w:pPr>
            <w:r>
              <w:rPr/>
              <w:t>6,761,944</w:t>
            </w:r>
            <w:r>
              <w:rPr>
                <w:sz w:val="11"/>
              </w:rPr>
              <w:t>(6)</w:t>
            </w:r>
            <w:r>
              <w:rPr/>
              <w:t xml:space="preserve">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8" w:type="dxa"/>
            <w:tcBorders>
              <w:bottom w:val="single" w:sz="2" w:space="0" w:color="4B5088"/>
            </w:tcBorders>
            <w:tcMar>
              <w:bottom w:w="28" w:type="dxa"/>
            </w:tcMar>
            <w:vAlign w:val="center"/>
          </w:tcPr>
          <w:p>
            <w:pPr>
              <w:pStyle w:val="TableContents"/>
              <w:bidi w:val="0"/>
              <w:spacing w:before="0" w:after="283"/>
              <w:jc w:val="left"/>
              <w:rPr/>
            </w:pPr>
            <w:r>
              <w:rPr/>
              <w:t>​</w:t>
            </w:r>
          </w:p>
        </w:tc>
        <w:tc>
          <w:tcPr>
            <w:tcW w:w="168" w:type="dxa"/>
            <w:tcBorders>
              <w:bottom w:val="single" w:sz="2" w:space="0" w:color="4B5088"/>
            </w:tcBorders>
            <w:tcMar>
              <w:bottom w:w="70" w:type="dxa"/>
            </w:tcMar>
            <w:vAlign w:val="center"/>
          </w:tcPr>
          <w:p>
            <w:pPr>
              <w:pStyle w:val="TableContents"/>
              <w:bidi w:val="0"/>
              <w:spacing w:before="0" w:after="283"/>
              <w:jc w:val="right"/>
              <w:rPr/>
            </w:pPr>
            <w:r>
              <w:rPr/>
              <w:t>​</w:t>
            </w:r>
          </w:p>
        </w:tc>
        <w:tc>
          <w:tcPr>
            <w:tcW w:w="720" w:type="dxa"/>
            <w:tcBorders>
              <w:bottom w:val="single" w:sz="2" w:space="0" w:color="4B5088"/>
            </w:tcBorders>
            <w:tcMar>
              <w:bottom w:w="70" w:type="dxa"/>
            </w:tcMar>
            <w:vAlign w:val="center"/>
          </w:tcPr>
          <w:p>
            <w:pPr>
              <w:pStyle w:val="TableContents"/>
              <w:bidi w:val="0"/>
              <w:spacing w:before="0" w:after="283"/>
              <w:jc w:val="right"/>
              <w:rPr/>
            </w:pPr>
            <w:r>
              <w:rPr/>
              <w:t>146</w:t>
            </w:r>
          </w:p>
        </w:tc>
        <w:tc>
          <w:tcPr>
            <w:tcW w:w="170"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8" w:type="dxa"/>
            <w:tcBorders>
              <w:bottom w:val="single" w:sz="2" w:space="0" w:color="4B5088"/>
            </w:tcBorders>
            <w:tcMar>
              <w:bottom w:w="28" w:type="dxa"/>
            </w:tcMar>
            <w:vAlign w:val="center"/>
          </w:tcPr>
          <w:p>
            <w:pPr>
              <w:pStyle w:val="TableContents"/>
              <w:bidi w:val="0"/>
              <w:spacing w:before="0" w:after="283"/>
              <w:jc w:val="left"/>
              <w:rPr/>
            </w:pPr>
            <w:r>
              <w:rPr/>
              <w:t>​</w:t>
            </w:r>
          </w:p>
        </w:tc>
        <w:tc>
          <w:tcPr>
            <w:tcW w:w="168" w:type="dxa"/>
            <w:tcBorders>
              <w:bottom w:val="single" w:sz="2" w:space="0" w:color="4B5088"/>
            </w:tcBorders>
            <w:tcMar>
              <w:bottom w:w="70" w:type="dxa"/>
            </w:tcMar>
            <w:vAlign w:val="center"/>
          </w:tcPr>
          <w:p>
            <w:pPr>
              <w:pStyle w:val="TableContents"/>
              <w:bidi w:val="0"/>
              <w:spacing w:before="0" w:after="283"/>
              <w:jc w:val="right"/>
              <w:rPr/>
            </w:pPr>
            <w:r>
              <w:rPr/>
              <w:t>​</w:t>
            </w:r>
          </w:p>
        </w:tc>
        <w:tc>
          <w:tcPr>
            <w:tcW w:w="720" w:type="dxa"/>
            <w:tcBorders>
              <w:bottom w:val="single" w:sz="2" w:space="0" w:color="4B5088"/>
            </w:tcBorders>
            <w:tcMar>
              <w:bottom w:w="70" w:type="dxa"/>
            </w:tcMar>
            <w:vAlign w:val="center"/>
          </w:tcPr>
          <w:p>
            <w:pPr>
              <w:pStyle w:val="TableContents"/>
              <w:bidi w:val="0"/>
              <w:spacing w:before="0" w:after="283"/>
              <w:jc w:val="right"/>
              <w:rPr/>
            </w:pPr>
            <w:r>
              <w:rPr/>
              <w:t>83</w:t>
            </w:r>
          </w:p>
        </w:tc>
        <w:tc>
          <w:tcPr>
            <w:tcW w:w="170"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961" w:type="dxa"/>
            <w:tcBorders>
              <w:bottom w:val="single" w:sz="2" w:space="0" w:color="4B5088"/>
            </w:tcBorders>
            <w:tcMar>
              <w:bottom w:w="70" w:type="dxa"/>
            </w:tcMar>
            <w:vAlign w:val="center"/>
          </w:tcPr>
          <w:p>
            <w:pPr>
              <w:pStyle w:val="TableContents"/>
              <w:bidi w:val="0"/>
              <w:spacing w:before="0" w:after="283"/>
              <w:jc w:val="right"/>
              <w:rPr/>
            </w:pPr>
            <w:r>
              <w:rPr/>
              <w:t>30,222</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3" w:type="dxa"/>
            <w:tcBorders>
              <w:bottom w:val="single" w:sz="2" w:space="0" w:color="4B5088"/>
            </w:tcBorders>
            <w:tcMar>
              <w:bottom w:w="28" w:type="dxa"/>
            </w:tcMar>
            <w:vAlign w:val="center"/>
          </w:tcPr>
          <w:p>
            <w:pPr>
              <w:pStyle w:val="TableContents"/>
              <w:bidi w:val="0"/>
              <w:spacing w:before="0" w:after="283"/>
              <w:jc w:val="left"/>
              <w:rPr/>
            </w:pPr>
            <w:r>
              <w:rPr/>
              <w:t>​</w:t>
            </w:r>
          </w:p>
        </w:tc>
        <w:tc>
          <w:tcPr>
            <w:tcW w:w="153" w:type="dxa"/>
            <w:tcBorders>
              <w:bottom w:val="single" w:sz="2" w:space="0" w:color="4B5088"/>
            </w:tcBorders>
            <w:tcMar>
              <w:bottom w:w="70" w:type="dxa"/>
            </w:tcMar>
            <w:vAlign w:val="center"/>
          </w:tcPr>
          <w:p>
            <w:pPr>
              <w:pStyle w:val="TableContents"/>
              <w:bidi w:val="0"/>
              <w:spacing w:before="0" w:after="283"/>
              <w:jc w:val="right"/>
              <w:rPr/>
            </w:pPr>
            <w:r>
              <w:rPr/>
              <w:t>​</w:t>
            </w:r>
          </w:p>
        </w:tc>
        <w:tc>
          <w:tcPr>
            <w:tcW w:w="738" w:type="dxa"/>
            <w:tcBorders>
              <w:bottom w:val="single" w:sz="2" w:space="0" w:color="4B5088"/>
            </w:tcBorders>
            <w:tcMar>
              <w:bottom w:w="70" w:type="dxa"/>
            </w:tcMar>
            <w:vAlign w:val="center"/>
          </w:tcPr>
          <w:p>
            <w:pPr>
              <w:pStyle w:val="TableContents"/>
              <w:bidi w:val="0"/>
              <w:spacing w:before="0" w:after="283"/>
              <w:jc w:val="right"/>
              <w:rPr/>
            </w:pPr>
            <w:r>
              <w:rPr/>
              <w:t>5.24</w:t>
            </w:r>
          </w:p>
        </w:tc>
        <w:tc>
          <w:tcPr>
            <w:tcW w:w="154"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95" w:type="dxa"/>
            <w:tcBorders>
              <w:bottom w:val="single" w:sz="2" w:space="0" w:color="4B5088"/>
            </w:tcBorders>
            <w:tcMar>
              <w:bottom w:w="70" w:type="dxa"/>
            </w:tcMar>
            <w:vAlign w:val="center"/>
          </w:tcPr>
          <w:p>
            <w:pPr>
              <w:pStyle w:val="TableContents"/>
              <w:bidi w:val="0"/>
              <w:spacing w:before="0" w:after="0"/>
              <w:jc w:val="left"/>
              <w:rPr>
                <w:b/>
                <w:color w:val="1F2668"/>
              </w:rPr>
            </w:pPr>
            <w:r>
              <w:rPr>
                <w:b/>
                <w:color w:val="1F2668"/>
                <w:spacing w:val="-2"/>
              </w:rPr>
              <w:t>2023</w:t>
            </w:r>
            <w:r>
              <w:rPr>
                <w:b/>
                <w:color w:val="1F2668"/>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1186" w:type="dxa"/>
            <w:tcBorders>
              <w:bottom w:val="single" w:sz="2" w:space="0" w:color="4B5088"/>
            </w:tcBorders>
            <w:tcMar>
              <w:bottom w:w="70" w:type="dxa"/>
            </w:tcMar>
            <w:vAlign w:val="center"/>
          </w:tcPr>
          <w:p>
            <w:pPr>
              <w:pStyle w:val="TableContents"/>
              <w:bidi w:val="0"/>
              <w:spacing w:before="0" w:after="283"/>
              <w:jc w:val="right"/>
              <w:rPr/>
            </w:pPr>
            <w:r>
              <w:rPr/>
              <w:t>18,508,171</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1261" w:type="dxa"/>
            <w:tcBorders>
              <w:bottom w:val="single" w:sz="2" w:space="0" w:color="4B5088"/>
            </w:tcBorders>
            <w:tcMar>
              <w:bottom w:w="70" w:type="dxa"/>
            </w:tcMar>
            <w:vAlign w:val="center"/>
          </w:tcPr>
          <w:p>
            <w:pPr>
              <w:pStyle w:val="TableContents"/>
              <w:bidi w:val="0"/>
              <w:spacing w:before="0" w:after="283"/>
              <w:jc w:val="right"/>
              <w:rPr/>
            </w:pPr>
            <w:r>
              <w:rPr/>
              <w:t>30,796,068</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1122" w:type="dxa"/>
            <w:tcBorders>
              <w:bottom w:val="single" w:sz="2" w:space="0" w:color="4B5088"/>
            </w:tcBorders>
            <w:tcMar>
              <w:bottom w:w="70" w:type="dxa"/>
            </w:tcMar>
            <w:vAlign w:val="center"/>
          </w:tcPr>
          <w:p>
            <w:pPr>
              <w:pStyle w:val="TableContents"/>
              <w:bidi w:val="0"/>
              <w:spacing w:before="0" w:after="283"/>
              <w:jc w:val="right"/>
              <w:rPr/>
            </w:pPr>
            <w:r>
              <w:rPr/>
              <w:t>6,439,504</w:t>
            </w:r>
            <w:r>
              <w:rPr>
                <w:sz w:val="11"/>
              </w:rPr>
              <w:t>(6)</w:t>
            </w:r>
            <w:r>
              <w:rPr/>
              <w:t xml:space="preserve">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1216" w:type="dxa"/>
            <w:tcBorders>
              <w:bottom w:val="single" w:sz="2" w:space="0" w:color="4B5088"/>
            </w:tcBorders>
            <w:tcMar>
              <w:bottom w:w="70" w:type="dxa"/>
            </w:tcMar>
            <w:vAlign w:val="center"/>
          </w:tcPr>
          <w:p>
            <w:pPr>
              <w:pStyle w:val="TableContents"/>
              <w:bidi w:val="0"/>
              <w:spacing w:before="0" w:after="283"/>
              <w:jc w:val="right"/>
              <w:rPr/>
            </w:pPr>
            <w:r>
              <w:rPr/>
              <w:t>10,630,597</w:t>
            </w:r>
            <w:r>
              <w:rPr>
                <w:sz w:val="11"/>
              </w:rPr>
              <w:t>(6)</w:t>
            </w:r>
            <w:r>
              <w:rPr/>
              <w:t xml:space="preserve">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8" w:type="dxa"/>
            <w:tcBorders>
              <w:bottom w:val="single" w:sz="2" w:space="0" w:color="4B5088"/>
            </w:tcBorders>
            <w:tcMar>
              <w:bottom w:w="28" w:type="dxa"/>
            </w:tcMar>
            <w:vAlign w:val="center"/>
          </w:tcPr>
          <w:p>
            <w:pPr>
              <w:pStyle w:val="TableContents"/>
              <w:bidi w:val="0"/>
              <w:spacing w:before="0" w:after="283"/>
              <w:jc w:val="left"/>
              <w:rPr/>
            </w:pPr>
            <w:r>
              <w:rPr/>
              <w:t>​</w:t>
            </w:r>
          </w:p>
        </w:tc>
        <w:tc>
          <w:tcPr>
            <w:tcW w:w="168" w:type="dxa"/>
            <w:tcBorders>
              <w:bottom w:val="single" w:sz="2" w:space="0" w:color="4B5088"/>
            </w:tcBorders>
            <w:tcMar>
              <w:bottom w:w="70" w:type="dxa"/>
            </w:tcMar>
            <w:vAlign w:val="center"/>
          </w:tcPr>
          <w:p>
            <w:pPr>
              <w:pStyle w:val="TableContents"/>
              <w:bidi w:val="0"/>
              <w:spacing w:before="0" w:after="283"/>
              <w:jc w:val="right"/>
              <w:rPr/>
            </w:pPr>
            <w:r>
              <w:rPr/>
              <w:t>​</w:t>
            </w:r>
          </w:p>
        </w:tc>
        <w:tc>
          <w:tcPr>
            <w:tcW w:w="720" w:type="dxa"/>
            <w:tcBorders>
              <w:bottom w:val="single" w:sz="2" w:space="0" w:color="4B5088"/>
            </w:tcBorders>
            <w:tcMar>
              <w:bottom w:w="70" w:type="dxa"/>
            </w:tcMar>
            <w:vAlign w:val="center"/>
          </w:tcPr>
          <w:p>
            <w:pPr>
              <w:pStyle w:val="TableContents"/>
              <w:bidi w:val="0"/>
              <w:spacing w:before="0" w:after="283"/>
              <w:jc w:val="right"/>
              <w:rPr/>
            </w:pPr>
            <w:r>
              <w:rPr/>
              <w:t>93</w:t>
            </w:r>
          </w:p>
        </w:tc>
        <w:tc>
          <w:tcPr>
            <w:tcW w:w="170"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8" w:type="dxa"/>
            <w:tcBorders>
              <w:bottom w:val="single" w:sz="2" w:space="0" w:color="4B5088"/>
            </w:tcBorders>
            <w:tcMar>
              <w:bottom w:w="28" w:type="dxa"/>
            </w:tcMar>
            <w:vAlign w:val="center"/>
          </w:tcPr>
          <w:p>
            <w:pPr>
              <w:pStyle w:val="TableContents"/>
              <w:bidi w:val="0"/>
              <w:spacing w:before="0" w:after="283"/>
              <w:jc w:val="left"/>
              <w:rPr/>
            </w:pPr>
            <w:r>
              <w:rPr/>
              <w:t>​</w:t>
            </w:r>
          </w:p>
        </w:tc>
        <w:tc>
          <w:tcPr>
            <w:tcW w:w="168" w:type="dxa"/>
            <w:tcBorders>
              <w:bottom w:val="single" w:sz="2" w:space="0" w:color="4B5088"/>
            </w:tcBorders>
            <w:tcMar>
              <w:bottom w:w="70" w:type="dxa"/>
            </w:tcMar>
            <w:vAlign w:val="center"/>
          </w:tcPr>
          <w:p>
            <w:pPr>
              <w:pStyle w:val="TableContents"/>
              <w:bidi w:val="0"/>
              <w:spacing w:before="0" w:after="283"/>
              <w:jc w:val="right"/>
              <w:rPr/>
            </w:pPr>
            <w:r>
              <w:rPr/>
              <w:t>​</w:t>
            </w:r>
          </w:p>
        </w:tc>
        <w:tc>
          <w:tcPr>
            <w:tcW w:w="720" w:type="dxa"/>
            <w:tcBorders>
              <w:bottom w:val="single" w:sz="2" w:space="0" w:color="4B5088"/>
            </w:tcBorders>
            <w:tcMar>
              <w:bottom w:w="70" w:type="dxa"/>
            </w:tcMar>
            <w:vAlign w:val="center"/>
          </w:tcPr>
          <w:p>
            <w:pPr>
              <w:pStyle w:val="TableContents"/>
              <w:bidi w:val="0"/>
              <w:spacing w:before="0" w:after="283"/>
              <w:jc w:val="right"/>
              <w:rPr/>
            </w:pPr>
            <w:r>
              <w:rPr/>
              <w:t>80</w:t>
            </w:r>
          </w:p>
        </w:tc>
        <w:tc>
          <w:tcPr>
            <w:tcW w:w="170"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961" w:type="dxa"/>
            <w:tcBorders>
              <w:bottom w:val="single" w:sz="2" w:space="0" w:color="4B5088"/>
            </w:tcBorders>
            <w:tcMar>
              <w:bottom w:w="70" w:type="dxa"/>
            </w:tcMar>
            <w:vAlign w:val="center"/>
          </w:tcPr>
          <w:p>
            <w:pPr>
              <w:pStyle w:val="TableContents"/>
              <w:bidi w:val="0"/>
              <w:spacing w:before="0" w:after="283"/>
              <w:jc w:val="right"/>
              <w:rPr/>
            </w:pPr>
            <w:r>
              <w:rPr/>
              <w:t>(599,337)</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3" w:type="dxa"/>
            <w:tcBorders>
              <w:bottom w:val="single" w:sz="2" w:space="0" w:color="4B5088"/>
            </w:tcBorders>
            <w:tcMar>
              <w:bottom w:w="28" w:type="dxa"/>
            </w:tcMar>
            <w:vAlign w:val="center"/>
          </w:tcPr>
          <w:p>
            <w:pPr>
              <w:pStyle w:val="TableContents"/>
              <w:bidi w:val="0"/>
              <w:spacing w:before="0" w:after="283"/>
              <w:jc w:val="left"/>
              <w:rPr/>
            </w:pPr>
            <w:r>
              <w:rPr/>
              <w:t>​</w:t>
            </w:r>
          </w:p>
        </w:tc>
        <w:tc>
          <w:tcPr>
            <w:tcW w:w="153" w:type="dxa"/>
            <w:tcBorders>
              <w:bottom w:val="single" w:sz="2" w:space="0" w:color="4B5088"/>
            </w:tcBorders>
            <w:tcMar>
              <w:bottom w:w="70" w:type="dxa"/>
            </w:tcMar>
            <w:vAlign w:val="center"/>
          </w:tcPr>
          <w:p>
            <w:pPr>
              <w:pStyle w:val="TableContents"/>
              <w:bidi w:val="0"/>
              <w:spacing w:before="0" w:after="283"/>
              <w:jc w:val="right"/>
              <w:rPr/>
            </w:pPr>
            <w:r>
              <w:rPr/>
              <w:t>​</w:t>
            </w:r>
          </w:p>
        </w:tc>
        <w:tc>
          <w:tcPr>
            <w:tcW w:w="738" w:type="dxa"/>
            <w:tcBorders>
              <w:bottom w:val="single" w:sz="2" w:space="0" w:color="4B5088"/>
            </w:tcBorders>
            <w:tcMar>
              <w:bottom w:w="70" w:type="dxa"/>
            </w:tcMar>
            <w:vAlign w:val="center"/>
          </w:tcPr>
          <w:p>
            <w:pPr>
              <w:pStyle w:val="TableContents"/>
              <w:bidi w:val="0"/>
              <w:spacing w:before="0" w:after="283"/>
              <w:jc w:val="right"/>
              <w:rPr/>
            </w:pPr>
            <w:r>
              <w:rPr/>
              <w:t>5.48</w:t>
            </w:r>
          </w:p>
        </w:tc>
        <w:tc>
          <w:tcPr>
            <w:tcW w:w="154"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95" w:type="dxa"/>
            <w:tcBorders>
              <w:bottom w:val="single" w:sz="2" w:space="0" w:color="4B5088"/>
            </w:tcBorders>
            <w:tcMar>
              <w:bottom w:w="70" w:type="dxa"/>
            </w:tcMar>
            <w:vAlign w:val="center"/>
          </w:tcPr>
          <w:p>
            <w:pPr>
              <w:pStyle w:val="TableContents"/>
              <w:bidi w:val="0"/>
              <w:spacing w:before="0" w:after="0"/>
              <w:jc w:val="left"/>
              <w:rPr>
                <w:b/>
                <w:color w:val="1F2668"/>
              </w:rPr>
            </w:pPr>
            <w:r>
              <w:rPr>
                <w:b/>
                <w:color w:val="1F2668"/>
                <w:spacing w:val="-2"/>
              </w:rPr>
              <w:t>2022</w:t>
            </w:r>
            <w:r>
              <w:rPr>
                <w:b/>
                <w:color w:val="1F2668"/>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1186" w:type="dxa"/>
            <w:tcBorders>
              <w:bottom w:val="single" w:sz="2" w:space="0" w:color="4B5088"/>
            </w:tcBorders>
            <w:tcMar>
              <w:bottom w:w="70" w:type="dxa"/>
            </w:tcMar>
            <w:vAlign w:val="center"/>
          </w:tcPr>
          <w:p>
            <w:pPr>
              <w:pStyle w:val="TableContents"/>
              <w:bidi w:val="0"/>
              <w:spacing w:before="0" w:after="283"/>
              <w:jc w:val="right"/>
              <w:rPr/>
            </w:pPr>
            <w:r>
              <w:rPr/>
              <w:t>16,660,855</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1261" w:type="dxa"/>
            <w:tcBorders>
              <w:bottom w:val="single" w:sz="2" w:space="0" w:color="4B5088"/>
            </w:tcBorders>
            <w:tcMar>
              <w:bottom w:w="70" w:type="dxa"/>
            </w:tcMar>
            <w:vAlign w:val="center"/>
          </w:tcPr>
          <w:p>
            <w:pPr>
              <w:pStyle w:val="TableContents"/>
              <w:bidi w:val="0"/>
              <w:spacing w:before="0" w:after="283"/>
              <w:jc w:val="right"/>
              <w:rPr/>
            </w:pPr>
            <w:r>
              <w:rPr/>
              <w:t>(11,758,654)</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1122" w:type="dxa"/>
            <w:tcBorders>
              <w:bottom w:val="single" w:sz="2" w:space="0" w:color="4B5088"/>
            </w:tcBorders>
            <w:tcMar>
              <w:bottom w:w="70" w:type="dxa"/>
            </w:tcMar>
            <w:vAlign w:val="center"/>
          </w:tcPr>
          <w:p>
            <w:pPr>
              <w:pStyle w:val="TableContents"/>
              <w:bidi w:val="0"/>
              <w:spacing w:before="0" w:after="283"/>
              <w:jc w:val="right"/>
              <w:rPr/>
            </w:pPr>
            <w:r>
              <w:rPr/>
              <w:t>7,006,710</w:t>
            </w:r>
            <w:r>
              <w:rPr>
                <w:sz w:val="11"/>
              </w:rPr>
              <w:t>(6)</w:t>
            </w:r>
            <w:r>
              <w:rPr/>
              <w:t xml:space="preserve">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1216" w:type="dxa"/>
            <w:tcBorders>
              <w:bottom w:val="single" w:sz="2" w:space="0" w:color="4B5088"/>
            </w:tcBorders>
            <w:tcMar>
              <w:bottom w:w="70" w:type="dxa"/>
            </w:tcMar>
            <w:vAlign w:val="center"/>
          </w:tcPr>
          <w:p>
            <w:pPr>
              <w:pStyle w:val="TableContents"/>
              <w:bidi w:val="0"/>
              <w:spacing w:before="0" w:after="283"/>
              <w:jc w:val="right"/>
              <w:rPr/>
            </w:pPr>
            <w:r>
              <w:rPr/>
              <w:t>(2,389,306)</w:t>
            </w:r>
            <w:r>
              <w:rPr>
                <w:sz w:val="11"/>
              </w:rPr>
              <w:t>(6)</w:t>
            </w:r>
            <w:r>
              <w:rPr/>
              <w:t xml:space="preserve">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8" w:type="dxa"/>
            <w:tcBorders>
              <w:bottom w:val="single" w:sz="2" w:space="0" w:color="4B5088"/>
            </w:tcBorders>
            <w:tcMar>
              <w:bottom w:w="28" w:type="dxa"/>
            </w:tcMar>
            <w:vAlign w:val="center"/>
          </w:tcPr>
          <w:p>
            <w:pPr>
              <w:pStyle w:val="TableContents"/>
              <w:bidi w:val="0"/>
              <w:spacing w:before="0" w:after="283"/>
              <w:jc w:val="left"/>
              <w:rPr/>
            </w:pPr>
            <w:r>
              <w:rPr/>
              <w:t>​</w:t>
            </w:r>
          </w:p>
        </w:tc>
        <w:tc>
          <w:tcPr>
            <w:tcW w:w="168" w:type="dxa"/>
            <w:tcBorders>
              <w:bottom w:val="single" w:sz="2" w:space="0" w:color="4B5088"/>
            </w:tcBorders>
            <w:tcMar>
              <w:bottom w:w="70" w:type="dxa"/>
            </w:tcMar>
            <w:vAlign w:val="center"/>
          </w:tcPr>
          <w:p>
            <w:pPr>
              <w:pStyle w:val="TableContents"/>
              <w:bidi w:val="0"/>
              <w:spacing w:before="0" w:after="283"/>
              <w:jc w:val="right"/>
              <w:rPr/>
            </w:pPr>
            <w:r>
              <w:rPr/>
              <w:t>​</w:t>
            </w:r>
          </w:p>
        </w:tc>
        <w:tc>
          <w:tcPr>
            <w:tcW w:w="720" w:type="dxa"/>
            <w:tcBorders>
              <w:bottom w:val="single" w:sz="2" w:space="0" w:color="4B5088"/>
            </w:tcBorders>
            <w:tcMar>
              <w:bottom w:w="70" w:type="dxa"/>
            </w:tcMar>
            <w:vAlign w:val="center"/>
          </w:tcPr>
          <w:p>
            <w:pPr>
              <w:pStyle w:val="TableContents"/>
              <w:bidi w:val="0"/>
              <w:spacing w:before="0" w:after="283"/>
              <w:jc w:val="right"/>
              <w:rPr/>
            </w:pPr>
            <w:r>
              <w:rPr/>
              <w:t>62</w:t>
            </w:r>
          </w:p>
        </w:tc>
        <w:tc>
          <w:tcPr>
            <w:tcW w:w="170"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8" w:type="dxa"/>
            <w:tcBorders>
              <w:bottom w:val="single" w:sz="2" w:space="0" w:color="4B5088"/>
            </w:tcBorders>
            <w:tcMar>
              <w:bottom w:w="28" w:type="dxa"/>
            </w:tcMar>
            <w:vAlign w:val="center"/>
          </w:tcPr>
          <w:p>
            <w:pPr>
              <w:pStyle w:val="TableContents"/>
              <w:bidi w:val="0"/>
              <w:spacing w:before="0" w:after="283"/>
              <w:jc w:val="left"/>
              <w:rPr/>
            </w:pPr>
            <w:r>
              <w:rPr/>
              <w:t>​</w:t>
            </w:r>
          </w:p>
        </w:tc>
        <w:tc>
          <w:tcPr>
            <w:tcW w:w="168" w:type="dxa"/>
            <w:tcBorders>
              <w:bottom w:val="single" w:sz="2" w:space="0" w:color="4B5088"/>
            </w:tcBorders>
            <w:tcMar>
              <w:bottom w:w="70" w:type="dxa"/>
            </w:tcMar>
            <w:vAlign w:val="center"/>
          </w:tcPr>
          <w:p>
            <w:pPr>
              <w:pStyle w:val="TableContents"/>
              <w:bidi w:val="0"/>
              <w:spacing w:before="0" w:after="283"/>
              <w:jc w:val="right"/>
              <w:rPr/>
            </w:pPr>
            <w:r>
              <w:rPr/>
              <w:t>​</w:t>
            </w:r>
          </w:p>
        </w:tc>
        <w:tc>
          <w:tcPr>
            <w:tcW w:w="720" w:type="dxa"/>
            <w:tcBorders>
              <w:bottom w:val="single" w:sz="2" w:space="0" w:color="4B5088"/>
            </w:tcBorders>
            <w:tcMar>
              <w:bottom w:w="70" w:type="dxa"/>
            </w:tcMar>
            <w:vAlign w:val="center"/>
          </w:tcPr>
          <w:p>
            <w:pPr>
              <w:pStyle w:val="TableContents"/>
              <w:bidi w:val="0"/>
              <w:spacing w:before="0" w:after="283"/>
              <w:jc w:val="right"/>
              <w:rPr/>
            </w:pPr>
            <w:r>
              <w:rPr/>
              <w:t>77</w:t>
            </w:r>
          </w:p>
        </w:tc>
        <w:tc>
          <w:tcPr>
            <w:tcW w:w="170"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961" w:type="dxa"/>
            <w:tcBorders>
              <w:bottom w:val="single" w:sz="2" w:space="0" w:color="4B5088"/>
            </w:tcBorders>
            <w:tcMar>
              <w:bottom w:w="70" w:type="dxa"/>
            </w:tcMar>
            <w:vAlign w:val="center"/>
          </w:tcPr>
          <w:p>
            <w:pPr>
              <w:pStyle w:val="TableContents"/>
              <w:bidi w:val="0"/>
              <w:spacing w:before="0" w:after="283"/>
              <w:jc w:val="right"/>
              <w:rPr/>
            </w:pPr>
            <w:r>
              <w:rPr/>
              <w:t>(76,303)</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3" w:type="dxa"/>
            <w:tcBorders>
              <w:bottom w:val="single" w:sz="2" w:space="0" w:color="4B5088"/>
            </w:tcBorders>
            <w:tcMar>
              <w:bottom w:w="28" w:type="dxa"/>
            </w:tcMar>
            <w:vAlign w:val="center"/>
          </w:tcPr>
          <w:p>
            <w:pPr>
              <w:pStyle w:val="TableContents"/>
              <w:bidi w:val="0"/>
              <w:spacing w:before="0" w:after="283"/>
              <w:jc w:val="left"/>
              <w:rPr/>
            </w:pPr>
            <w:r>
              <w:rPr/>
              <w:t>​</w:t>
            </w:r>
          </w:p>
        </w:tc>
        <w:tc>
          <w:tcPr>
            <w:tcW w:w="153" w:type="dxa"/>
            <w:tcBorders>
              <w:bottom w:val="single" w:sz="2" w:space="0" w:color="4B5088"/>
            </w:tcBorders>
            <w:tcMar>
              <w:bottom w:w="70" w:type="dxa"/>
            </w:tcMar>
            <w:vAlign w:val="center"/>
          </w:tcPr>
          <w:p>
            <w:pPr>
              <w:pStyle w:val="TableContents"/>
              <w:bidi w:val="0"/>
              <w:spacing w:before="0" w:after="283"/>
              <w:jc w:val="right"/>
              <w:rPr/>
            </w:pPr>
            <w:r>
              <w:rPr/>
              <w:t>​</w:t>
            </w:r>
          </w:p>
        </w:tc>
        <w:tc>
          <w:tcPr>
            <w:tcW w:w="738" w:type="dxa"/>
            <w:tcBorders>
              <w:bottom w:val="single" w:sz="2" w:space="0" w:color="4B5088"/>
            </w:tcBorders>
            <w:tcMar>
              <w:bottom w:w="70" w:type="dxa"/>
            </w:tcMar>
            <w:vAlign w:val="center"/>
          </w:tcPr>
          <w:p>
            <w:pPr>
              <w:pStyle w:val="TableContents"/>
              <w:bidi w:val="0"/>
              <w:spacing w:before="0" w:after="283"/>
              <w:jc w:val="right"/>
              <w:rPr/>
            </w:pPr>
            <w:r>
              <w:rPr/>
              <w:t>6.76</w:t>
            </w:r>
          </w:p>
        </w:tc>
        <w:tc>
          <w:tcPr>
            <w:tcW w:w="154"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95" w:type="dxa"/>
            <w:tcBorders>
              <w:bottom w:val="single" w:sz="2" w:space="0" w:color="1F2668"/>
            </w:tcBorders>
            <w:tcMar>
              <w:bottom w:w="70" w:type="dxa"/>
            </w:tcMar>
            <w:vAlign w:val="center"/>
          </w:tcPr>
          <w:p>
            <w:pPr>
              <w:pStyle w:val="TableContents"/>
              <w:bidi w:val="0"/>
              <w:spacing w:before="0" w:after="0"/>
              <w:jc w:val="left"/>
              <w:rPr>
                <w:b/>
                <w:color w:val="1F2668"/>
              </w:rPr>
            </w:pPr>
            <w:r>
              <w:rPr>
                <w:b/>
                <w:color w:val="1F2668"/>
                <w:spacing w:val="-2"/>
              </w:rPr>
              <w:t>2021</w:t>
            </w:r>
            <w:r>
              <w:rPr>
                <w:b/>
                <w:color w:val="1F2668"/>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70" w:type="dxa"/>
            </w:tcMar>
            <w:vAlign w:val="center"/>
          </w:tcPr>
          <w:p>
            <w:pPr>
              <w:pStyle w:val="TableContents"/>
              <w:bidi w:val="0"/>
              <w:spacing w:before="0" w:after="283"/>
              <w:jc w:val="right"/>
              <w:rPr/>
            </w:pPr>
            <w:r>
              <w:rPr/>
              <w:t>​</w:t>
            </w:r>
          </w:p>
        </w:tc>
        <w:tc>
          <w:tcPr>
            <w:tcW w:w="1186" w:type="dxa"/>
            <w:tcBorders>
              <w:bottom w:val="single" w:sz="2" w:space="0" w:color="1F2668"/>
            </w:tcBorders>
            <w:tcMar>
              <w:bottom w:w="70" w:type="dxa"/>
            </w:tcMar>
            <w:vAlign w:val="center"/>
          </w:tcPr>
          <w:p>
            <w:pPr>
              <w:pStyle w:val="TableContents"/>
              <w:bidi w:val="0"/>
              <w:spacing w:before="0" w:after="283"/>
              <w:jc w:val="right"/>
              <w:rPr/>
            </w:pPr>
            <w:r>
              <w:rPr/>
              <w:t>21,088,057</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70" w:type="dxa"/>
            </w:tcMar>
            <w:vAlign w:val="center"/>
          </w:tcPr>
          <w:p>
            <w:pPr>
              <w:pStyle w:val="TableContents"/>
              <w:bidi w:val="0"/>
              <w:spacing w:before="0" w:after="283"/>
              <w:jc w:val="right"/>
              <w:rPr/>
            </w:pPr>
            <w:r>
              <w:rPr/>
              <w:t>​</w:t>
            </w:r>
          </w:p>
        </w:tc>
        <w:tc>
          <w:tcPr>
            <w:tcW w:w="1261" w:type="dxa"/>
            <w:tcBorders>
              <w:bottom w:val="single" w:sz="2" w:space="0" w:color="1F2668"/>
            </w:tcBorders>
            <w:tcMar>
              <w:bottom w:w="70" w:type="dxa"/>
            </w:tcMar>
            <w:vAlign w:val="center"/>
          </w:tcPr>
          <w:p>
            <w:pPr>
              <w:pStyle w:val="TableContents"/>
              <w:bidi w:val="0"/>
              <w:spacing w:before="0" w:after="283"/>
              <w:jc w:val="right"/>
              <w:rPr/>
            </w:pPr>
            <w:r>
              <w:rPr/>
              <w:t>32,642,206</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70" w:type="dxa"/>
            </w:tcMar>
            <w:vAlign w:val="center"/>
          </w:tcPr>
          <w:p>
            <w:pPr>
              <w:pStyle w:val="TableContents"/>
              <w:bidi w:val="0"/>
              <w:spacing w:before="0" w:after="283"/>
              <w:jc w:val="right"/>
              <w:rPr/>
            </w:pPr>
            <w:r>
              <w:rPr/>
              <w:t>​</w:t>
            </w:r>
          </w:p>
        </w:tc>
        <w:tc>
          <w:tcPr>
            <w:tcW w:w="1122" w:type="dxa"/>
            <w:tcBorders>
              <w:bottom w:val="single" w:sz="2" w:space="0" w:color="1F2668"/>
            </w:tcBorders>
            <w:tcMar>
              <w:bottom w:w="70" w:type="dxa"/>
            </w:tcMar>
            <w:vAlign w:val="center"/>
          </w:tcPr>
          <w:p>
            <w:pPr>
              <w:pStyle w:val="TableContents"/>
              <w:bidi w:val="0"/>
              <w:spacing w:before="0" w:after="283"/>
              <w:jc w:val="right"/>
              <w:rPr/>
            </w:pPr>
            <w:r>
              <w:rPr/>
              <w:t>7,711,773</w:t>
            </w:r>
            <w:r>
              <w:rPr>
                <w:sz w:val="11"/>
              </w:rPr>
              <w:t>(6)</w:t>
            </w:r>
            <w:r>
              <w:rPr/>
              <w:t xml:space="preserve"> </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70" w:type="dxa"/>
            </w:tcMar>
            <w:vAlign w:val="center"/>
          </w:tcPr>
          <w:p>
            <w:pPr>
              <w:pStyle w:val="TableContents"/>
              <w:bidi w:val="0"/>
              <w:spacing w:before="0" w:after="283"/>
              <w:jc w:val="right"/>
              <w:rPr/>
            </w:pPr>
            <w:r>
              <w:rPr/>
              <w:t>​</w:t>
            </w:r>
          </w:p>
        </w:tc>
        <w:tc>
          <w:tcPr>
            <w:tcW w:w="1216" w:type="dxa"/>
            <w:tcBorders>
              <w:bottom w:val="single" w:sz="2" w:space="0" w:color="1F2668"/>
            </w:tcBorders>
            <w:tcMar>
              <w:bottom w:w="70" w:type="dxa"/>
            </w:tcMar>
            <w:vAlign w:val="center"/>
          </w:tcPr>
          <w:p>
            <w:pPr>
              <w:pStyle w:val="TableContents"/>
              <w:bidi w:val="0"/>
              <w:spacing w:before="0" w:after="283"/>
              <w:jc w:val="right"/>
              <w:rPr/>
            </w:pPr>
            <w:r>
              <w:rPr/>
              <w:t>11,565,039</w:t>
            </w:r>
            <w:r>
              <w:rPr>
                <w:sz w:val="11"/>
              </w:rPr>
              <w:t>(6)</w:t>
            </w:r>
            <w:r>
              <w:rPr/>
              <w:t xml:space="preserve"> </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8" w:type="dxa"/>
            <w:tcBorders>
              <w:bottom w:val="single" w:sz="2" w:space="0" w:color="1F2668"/>
            </w:tcBorders>
            <w:tcMar>
              <w:bottom w:w="28" w:type="dxa"/>
            </w:tcMar>
            <w:vAlign w:val="center"/>
          </w:tcPr>
          <w:p>
            <w:pPr>
              <w:pStyle w:val="TableContents"/>
              <w:bidi w:val="0"/>
              <w:spacing w:before="0" w:after="283"/>
              <w:jc w:val="left"/>
              <w:rPr/>
            </w:pPr>
            <w:r>
              <w:rPr/>
              <w:t>​</w:t>
            </w:r>
          </w:p>
        </w:tc>
        <w:tc>
          <w:tcPr>
            <w:tcW w:w="168" w:type="dxa"/>
            <w:tcBorders>
              <w:bottom w:val="single" w:sz="2" w:space="0" w:color="1F2668"/>
            </w:tcBorders>
            <w:tcMar>
              <w:bottom w:w="70" w:type="dxa"/>
            </w:tcMar>
            <w:vAlign w:val="center"/>
          </w:tcPr>
          <w:p>
            <w:pPr>
              <w:pStyle w:val="TableContents"/>
              <w:bidi w:val="0"/>
              <w:spacing w:before="0" w:after="283"/>
              <w:jc w:val="right"/>
              <w:rPr/>
            </w:pPr>
            <w:r>
              <w:rPr/>
              <w:t>​</w:t>
            </w:r>
          </w:p>
        </w:tc>
        <w:tc>
          <w:tcPr>
            <w:tcW w:w="720" w:type="dxa"/>
            <w:tcBorders>
              <w:bottom w:val="single" w:sz="2" w:space="0" w:color="1F2668"/>
            </w:tcBorders>
            <w:tcMar>
              <w:bottom w:w="70" w:type="dxa"/>
            </w:tcMar>
            <w:vAlign w:val="center"/>
          </w:tcPr>
          <w:p>
            <w:pPr>
              <w:pStyle w:val="TableContents"/>
              <w:bidi w:val="0"/>
              <w:spacing w:before="0" w:after="283"/>
              <w:jc w:val="right"/>
              <w:rPr/>
            </w:pPr>
            <w:r>
              <w:rPr/>
              <w:t>127</w:t>
            </w:r>
          </w:p>
        </w:tc>
        <w:tc>
          <w:tcPr>
            <w:tcW w:w="170"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8" w:type="dxa"/>
            <w:tcBorders>
              <w:bottom w:val="single" w:sz="2" w:space="0" w:color="1F2668"/>
            </w:tcBorders>
            <w:tcMar>
              <w:bottom w:w="28" w:type="dxa"/>
            </w:tcMar>
            <w:vAlign w:val="center"/>
          </w:tcPr>
          <w:p>
            <w:pPr>
              <w:pStyle w:val="TableContents"/>
              <w:bidi w:val="0"/>
              <w:spacing w:before="0" w:after="283"/>
              <w:jc w:val="left"/>
              <w:rPr/>
            </w:pPr>
            <w:r>
              <w:rPr/>
              <w:t>​</w:t>
            </w:r>
          </w:p>
        </w:tc>
        <w:tc>
          <w:tcPr>
            <w:tcW w:w="168" w:type="dxa"/>
            <w:tcBorders>
              <w:bottom w:val="single" w:sz="2" w:space="0" w:color="1F2668"/>
            </w:tcBorders>
            <w:tcMar>
              <w:bottom w:w="70" w:type="dxa"/>
            </w:tcMar>
            <w:vAlign w:val="center"/>
          </w:tcPr>
          <w:p>
            <w:pPr>
              <w:pStyle w:val="TableContents"/>
              <w:bidi w:val="0"/>
              <w:spacing w:before="0" w:after="283"/>
              <w:jc w:val="right"/>
              <w:rPr/>
            </w:pPr>
            <w:r>
              <w:rPr/>
              <w:t>​</w:t>
            </w:r>
          </w:p>
        </w:tc>
        <w:tc>
          <w:tcPr>
            <w:tcW w:w="720" w:type="dxa"/>
            <w:tcBorders>
              <w:bottom w:val="single" w:sz="2" w:space="0" w:color="1F2668"/>
            </w:tcBorders>
            <w:tcMar>
              <w:bottom w:w="70" w:type="dxa"/>
            </w:tcMar>
            <w:vAlign w:val="center"/>
          </w:tcPr>
          <w:p>
            <w:pPr>
              <w:pStyle w:val="TableContents"/>
              <w:bidi w:val="0"/>
              <w:spacing w:before="0" w:after="283"/>
              <w:jc w:val="right"/>
              <w:rPr/>
            </w:pPr>
            <w:r>
              <w:rPr/>
              <w:t>123</w:t>
            </w:r>
          </w:p>
        </w:tc>
        <w:tc>
          <w:tcPr>
            <w:tcW w:w="170"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70" w:type="dxa"/>
            </w:tcMar>
            <w:vAlign w:val="center"/>
          </w:tcPr>
          <w:p>
            <w:pPr>
              <w:pStyle w:val="TableContents"/>
              <w:bidi w:val="0"/>
              <w:spacing w:before="0" w:after="283"/>
              <w:jc w:val="right"/>
              <w:rPr/>
            </w:pPr>
            <w:r>
              <w:rPr/>
              <w:t>​</w:t>
            </w:r>
          </w:p>
        </w:tc>
        <w:tc>
          <w:tcPr>
            <w:tcW w:w="961" w:type="dxa"/>
            <w:tcBorders>
              <w:bottom w:val="single" w:sz="2" w:space="0" w:color="1F2668"/>
            </w:tcBorders>
            <w:tcMar>
              <w:bottom w:w="70" w:type="dxa"/>
            </w:tcMar>
            <w:vAlign w:val="center"/>
          </w:tcPr>
          <w:p>
            <w:pPr>
              <w:pStyle w:val="TableContents"/>
              <w:bidi w:val="0"/>
              <w:spacing w:before="0" w:after="283"/>
              <w:jc w:val="right"/>
              <w:rPr/>
            </w:pPr>
            <w:r>
              <w:rPr/>
              <w:t>480,632</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3" w:type="dxa"/>
            <w:tcBorders>
              <w:bottom w:val="single" w:sz="2" w:space="0" w:color="1F2668"/>
            </w:tcBorders>
            <w:tcMar>
              <w:bottom w:w="28" w:type="dxa"/>
            </w:tcMar>
            <w:vAlign w:val="center"/>
          </w:tcPr>
          <w:p>
            <w:pPr>
              <w:pStyle w:val="TableContents"/>
              <w:bidi w:val="0"/>
              <w:spacing w:before="0" w:after="283"/>
              <w:jc w:val="left"/>
              <w:rPr/>
            </w:pPr>
            <w:r>
              <w:rPr/>
              <w:t>​</w:t>
            </w:r>
          </w:p>
        </w:tc>
        <w:tc>
          <w:tcPr>
            <w:tcW w:w="153" w:type="dxa"/>
            <w:tcBorders>
              <w:bottom w:val="single" w:sz="2" w:space="0" w:color="1F2668"/>
            </w:tcBorders>
            <w:tcMar>
              <w:bottom w:w="70" w:type="dxa"/>
            </w:tcMar>
            <w:vAlign w:val="center"/>
          </w:tcPr>
          <w:p>
            <w:pPr>
              <w:pStyle w:val="TableContents"/>
              <w:bidi w:val="0"/>
              <w:spacing w:before="0" w:after="283"/>
              <w:jc w:val="right"/>
              <w:rPr/>
            </w:pPr>
            <w:r>
              <w:rPr/>
              <w:t>​</w:t>
            </w:r>
          </w:p>
        </w:tc>
        <w:tc>
          <w:tcPr>
            <w:tcW w:w="738" w:type="dxa"/>
            <w:tcBorders>
              <w:bottom w:val="single" w:sz="2" w:space="0" w:color="1F2668"/>
            </w:tcBorders>
            <w:tcMar>
              <w:bottom w:w="70" w:type="dxa"/>
            </w:tcMar>
            <w:vAlign w:val="center"/>
          </w:tcPr>
          <w:p>
            <w:pPr>
              <w:pStyle w:val="TableContents"/>
              <w:bidi w:val="0"/>
              <w:spacing w:before="0" w:after="283"/>
              <w:jc w:val="right"/>
              <w:rPr/>
            </w:pPr>
            <w:r>
              <w:rPr/>
              <w:t>6.58</w:t>
            </w:r>
          </w:p>
        </w:tc>
        <w:tc>
          <w:tcPr>
            <w:tcW w:w="154" w:type="dxa"/>
            <w:tcBorders>
              <w:bottom w:val="single" w:sz="2" w:space="0" w:color="1F266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254"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Represents amounts of “compensation actually paid” as computed in accordance with Item 402(v) of Regulation S-K, not the actual amount of compensation earned by or paid to Mr. Holliday during each year. The table below reflects the adjustments made from the amounts reported in the “Total” column of the Summary Compensation Table for each year to calculate the amounts set forth in “Compensation Actually Paid to PEO” column in the table above.</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61290" distB="0" distL="0" distR="0" simplePos="0" locked="0" layoutInCell="1" allowOverlap="1" relativeHeight="803">
                <wp:simplePos x="0" y="0"/>
                <wp:positionH relativeFrom="column">
                  <wp:align>left</wp:align>
                </wp:positionH>
                <wp:positionV relativeFrom="line">
                  <wp:align>top</wp:align>
                </wp:positionV>
                <wp:extent cx="254000" cy="350520"/>
                <wp:effectExtent l="0" t="0" r="0" b="0"/>
                <wp:wrapSquare wrapText="right"/>
                <wp:docPr id="903" name="Frame55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7pt;mso-wrap-distance-bottom:0pt;margin-top:12.7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(1)</w:t>
                      </w:r>
                      <w:r>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tbl>
      <w:tblPr>
        <w:tblW w:w="8188" w:type="dxa"/>
        <w:jc w:val="left"/>
        <w:tblInd w:w="900" w:type="dxa"/>
        <w:tblLayout w:type="fixed"/>
        <w:tblCellMar>
          <w:top w:w="0" w:type="dxa"/>
          <w:left w:w="0" w:type="dxa"/>
          <w:bottom w:w="73" w:type="dxa"/>
          <w:right w:w="0" w:type="dxa"/>
        </w:tblCellMar>
      </w:tblPr>
      <w:tblGrid>
        <w:gridCol w:w="655"/>
        <w:gridCol w:w="109"/>
        <w:gridCol w:w="109"/>
        <w:gridCol w:w="109"/>
        <w:gridCol w:w="109"/>
        <w:gridCol w:w="1191"/>
        <w:gridCol w:w="109"/>
        <w:gridCol w:w="109"/>
        <w:gridCol w:w="109"/>
        <w:gridCol w:w="109"/>
        <w:gridCol w:w="109"/>
        <w:gridCol w:w="1336"/>
        <w:gridCol w:w="109"/>
        <w:gridCol w:w="109"/>
        <w:gridCol w:w="109"/>
        <w:gridCol w:w="109"/>
        <w:gridCol w:w="109"/>
        <w:gridCol w:w="1336"/>
        <w:gridCol w:w="109"/>
        <w:gridCol w:w="109"/>
        <w:gridCol w:w="109"/>
        <w:gridCol w:w="109"/>
        <w:gridCol w:w="109"/>
        <w:gridCol w:w="1336"/>
        <w:gridCol w:w="109"/>
        <w:gridCol w:w="154"/>
      </w:tblGrid>
      <w:tr>
        <w:trPr/>
        <w:tc>
          <w:tcPr>
            <w:tcW w:w="655" w:type="dxa"/>
            <w:tcBorders>
              <w:bottom w:val="single" w:sz="2" w:space="0" w:color="1F2668"/>
            </w:tcBorders>
            <w:vAlign w:val="center"/>
          </w:tcPr>
          <w:p>
            <w:pPr>
              <w:pStyle w:val="TableContents"/>
              <w:bidi w:val="0"/>
              <w:spacing w:before="0" w:after="0"/>
              <w:jc w:val="left"/>
              <w:rPr>
                <w:spacing w:val="-1"/>
              </w:rPr>
            </w:pPr>
            <w:r>
              <w:rPr>
                <w:spacing w:val="-1"/>
              </w:rPr>
              <w:t xml:space="preserve">Year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8" w:type="dxa"/>
            <w:gridSpan w:val="4"/>
            <w:tcBorders>
              <w:bottom w:val="single" w:sz="2" w:space="0" w:color="1F2668"/>
            </w:tcBorders>
            <w:vAlign w:val="center"/>
          </w:tcPr>
          <w:p>
            <w:pPr>
              <w:pStyle w:val="TableContents"/>
              <w:bidi w:val="0"/>
              <w:spacing w:before="0" w:after="0"/>
              <w:jc w:val="right"/>
              <w:rPr/>
            </w:pPr>
            <w:r>
              <w:rPr>
                <w:spacing w:val="-1"/>
              </w:rPr>
              <w:t xml:space="preserve">Summary </w:t>
              <w:br/>
              <w:t xml:space="preserve">Compensation </w:t>
              <w:br/>
              <w:t xml:space="preserve">Table Total </w:t>
              <w:br/>
              <w:t xml:space="preserve">for PEO </w:t>
              <w:br/>
              <w:t>($)</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63" w:type="dxa"/>
            <w:gridSpan w:val="4"/>
            <w:tcBorders>
              <w:bottom w:val="single" w:sz="2" w:space="0" w:color="1F2668"/>
            </w:tcBorders>
            <w:vAlign w:val="center"/>
          </w:tcPr>
          <w:p>
            <w:pPr>
              <w:pStyle w:val="TableContents"/>
              <w:bidi w:val="0"/>
              <w:spacing w:lineRule="atLeast" w:line="142" w:before="0" w:after="0"/>
              <w:jc w:val="right"/>
              <w:rPr/>
            </w:pPr>
            <w:r>
              <w:rPr>
                <w:spacing w:val="-1"/>
              </w:rPr>
              <w:t xml:space="preserve">Less Summary </w:t>
              <w:br/>
              <w:t xml:space="preserve">Compensation </w:t>
              <w:br/>
              <w:t xml:space="preserve">Table Value of </w:t>
              <w:br/>
              <w:t xml:space="preserve">Equity Awards </w:t>
              <w:br/>
              <w:t>($)</w:t>
            </w:r>
            <w:r>
              <w:rPr>
                <w:spacing w:val="-1"/>
                <w:sz w:val="9"/>
              </w:rPr>
              <w:t>(a)</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63" w:type="dxa"/>
            <w:gridSpan w:val="4"/>
            <w:tcBorders>
              <w:bottom w:val="single" w:sz="2" w:space="0" w:color="1F2668"/>
            </w:tcBorders>
            <w:vAlign w:val="center"/>
          </w:tcPr>
          <w:p>
            <w:pPr>
              <w:pStyle w:val="TableContents"/>
              <w:bidi w:val="0"/>
              <w:spacing w:lineRule="atLeast" w:line="142" w:before="0" w:after="0"/>
              <w:jc w:val="right"/>
              <w:rPr/>
            </w:pPr>
            <w:r>
              <w:rPr>
                <w:spacing w:val="-1"/>
              </w:rPr>
              <w:t xml:space="preserve">Fair Value of </w:t>
              <w:br/>
              <w:t xml:space="preserve">Equity Award </w:t>
              <w:br/>
              <w:t xml:space="preserve">Adjustments </w:t>
              <w:br/>
              <w:t>($)</w:t>
            </w:r>
            <w:r>
              <w:rPr>
                <w:spacing w:val="-1"/>
                <w:sz w:val="9"/>
              </w:rPr>
              <w:t>(b)</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63" w:type="dxa"/>
            <w:gridSpan w:val="4"/>
            <w:tcBorders>
              <w:bottom w:val="single" w:sz="2" w:space="0" w:color="1F2668"/>
            </w:tcBorders>
            <w:vAlign w:val="center"/>
          </w:tcPr>
          <w:p>
            <w:pPr>
              <w:pStyle w:val="TableContents"/>
              <w:bidi w:val="0"/>
              <w:spacing w:before="0" w:after="0"/>
              <w:jc w:val="right"/>
              <w:rPr/>
            </w:pPr>
            <w:r>
              <w:rPr>
                <w:spacing w:val="-1"/>
              </w:rPr>
              <w:t xml:space="preserve">Compensation </w:t>
              <w:br/>
              <w:t xml:space="preserve">Actually Paid </w:t>
              <w:br/>
              <w:t xml:space="preserve">to PEO </w:t>
              <w:br/>
              <w:t>($)</w:t>
            </w:r>
            <w:r>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55" w:type="dxa"/>
            <w:tcBorders>
              <w:bottom w:val="single" w:sz="2" w:space="0" w:color="4B5088"/>
            </w:tcBorders>
            <w:tcMar>
              <w:bottom w:w="76" w:type="dxa"/>
            </w:tcMar>
            <w:vAlign w:val="center"/>
          </w:tcPr>
          <w:p>
            <w:pPr>
              <w:pStyle w:val="TableContents"/>
              <w:bidi w:val="0"/>
              <w:spacing w:before="0" w:after="0"/>
              <w:jc w:val="left"/>
              <w:rPr>
                <w:b/>
                <w:color w:val="1F2668"/>
              </w:rPr>
            </w:pPr>
            <w:r>
              <w:rPr>
                <w:b/>
                <w:color w:val="1F2668"/>
                <w:spacing w:val="-2"/>
              </w:rPr>
              <w:t>2025</w:t>
            </w:r>
            <w:r>
              <w:rPr>
                <w:b/>
                <w:color w:val="1F2668"/>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1191" w:type="dxa"/>
            <w:tcBorders>
              <w:bottom w:val="single" w:sz="2" w:space="0" w:color="4B5088"/>
            </w:tcBorders>
            <w:tcMar>
              <w:bottom w:w="76" w:type="dxa"/>
            </w:tcMar>
            <w:vAlign w:val="center"/>
          </w:tcPr>
          <w:p>
            <w:pPr>
              <w:pStyle w:val="TableContents"/>
              <w:bidi w:val="0"/>
              <w:spacing w:before="0" w:after="283"/>
              <w:jc w:val="right"/>
              <w:rPr/>
            </w:pPr>
            <w:r>
              <w:rPr/>
              <w:t>17,356,826</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1336" w:type="dxa"/>
            <w:tcBorders>
              <w:bottom w:val="single" w:sz="2" w:space="0" w:color="4B5088"/>
            </w:tcBorders>
            <w:tcMar>
              <w:bottom w:w="76" w:type="dxa"/>
            </w:tcMar>
            <w:vAlign w:val="center"/>
          </w:tcPr>
          <w:p>
            <w:pPr>
              <w:pStyle w:val="TableContents"/>
              <w:bidi w:val="0"/>
              <w:spacing w:before="0" w:after="283"/>
              <w:jc w:val="right"/>
              <w:rPr/>
            </w:pPr>
            <w:r>
              <w:rPr/>
              <w:t>(14,271,656)</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1336" w:type="dxa"/>
            <w:tcBorders>
              <w:bottom w:val="single" w:sz="2" w:space="0" w:color="4B5088"/>
            </w:tcBorders>
            <w:tcMar>
              <w:bottom w:w="76" w:type="dxa"/>
            </w:tcMar>
            <w:vAlign w:val="center"/>
          </w:tcPr>
          <w:p>
            <w:pPr>
              <w:pStyle w:val="TableContents"/>
              <w:bidi w:val="0"/>
              <w:spacing w:before="0" w:after="283"/>
              <w:jc w:val="right"/>
              <w:rPr/>
            </w:pPr>
            <w:r>
              <w:rPr/>
              <w:t>(2,126,059)</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1336" w:type="dxa"/>
            <w:tcBorders>
              <w:bottom w:val="single" w:sz="2" w:space="0" w:color="4B5088"/>
            </w:tcBorders>
            <w:tcMar>
              <w:bottom w:w="76" w:type="dxa"/>
            </w:tcMar>
            <w:vAlign w:val="center"/>
          </w:tcPr>
          <w:p>
            <w:pPr>
              <w:pStyle w:val="TableContents"/>
              <w:bidi w:val="0"/>
              <w:spacing w:before="0" w:after="283"/>
              <w:jc w:val="right"/>
              <w:rPr/>
            </w:pPr>
            <w:r>
              <w:rPr/>
              <w:t>959,111</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55" w:type="dxa"/>
            <w:tcBorders>
              <w:bottom w:val="single" w:sz="2" w:space="0" w:color="4B5088"/>
            </w:tcBorders>
            <w:tcMar>
              <w:bottom w:w="76" w:type="dxa"/>
            </w:tcMar>
            <w:vAlign w:val="center"/>
          </w:tcPr>
          <w:p>
            <w:pPr>
              <w:pStyle w:val="TableContents"/>
              <w:bidi w:val="0"/>
              <w:spacing w:before="0" w:after="0"/>
              <w:jc w:val="left"/>
              <w:rPr>
                <w:b/>
                <w:color w:val="1F2668"/>
              </w:rPr>
            </w:pPr>
            <w:r>
              <w:rPr>
                <w:b/>
                <w:color w:val="1F2668"/>
                <w:spacing w:val="-2"/>
              </w:rPr>
              <w:t>2024</w:t>
            </w:r>
            <w:r>
              <w:rPr>
                <w:b/>
                <w:color w:val="1F2668"/>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1191" w:type="dxa"/>
            <w:tcBorders>
              <w:bottom w:val="single" w:sz="2" w:space="0" w:color="4B5088"/>
            </w:tcBorders>
            <w:tcMar>
              <w:bottom w:w="76" w:type="dxa"/>
            </w:tcMar>
            <w:vAlign w:val="center"/>
          </w:tcPr>
          <w:p>
            <w:pPr>
              <w:pStyle w:val="TableContents"/>
              <w:bidi w:val="0"/>
              <w:spacing w:before="0" w:after="283"/>
              <w:jc w:val="right"/>
              <w:rPr/>
            </w:pPr>
            <w:r>
              <w:rPr/>
              <w:t>20,685,756</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1336" w:type="dxa"/>
            <w:tcBorders>
              <w:bottom w:val="single" w:sz="2" w:space="0" w:color="4B5088"/>
            </w:tcBorders>
            <w:tcMar>
              <w:bottom w:w="76" w:type="dxa"/>
            </w:tcMar>
            <w:vAlign w:val="center"/>
          </w:tcPr>
          <w:p>
            <w:pPr>
              <w:pStyle w:val="TableContents"/>
              <w:bidi w:val="0"/>
              <w:spacing w:before="0" w:after="283"/>
              <w:jc w:val="right"/>
              <w:rPr/>
            </w:pPr>
            <w:r>
              <w:rPr/>
              <w:t>(19,394,816)</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1336" w:type="dxa"/>
            <w:tcBorders>
              <w:bottom w:val="single" w:sz="2" w:space="0" w:color="4B5088"/>
            </w:tcBorders>
            <w:tcMar>
              <w:bottom w:w="76" w:type="dxa"/>
            </w:tcMar>
            <w:vAlign w:val="center"/>
          </w:tcPr>
          <w:p>
            <w:pPr>
              <w:pStyle w:val="TableContents"/>
              <w:bidi w:val="0"/>
              <w:spacing w:before="0" w:after="283"/>
              <w:jc w:val="right"/>
              <w:rPr/>
            </w:pPr>
            <w:r>
              <w:rPr/>
              <w:t>47,306,322</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1336" w:type="dxa"/>
            <w:tcBorders>
              <w:bottom w:val="single" w:sz="2" w:space="0" w:color="4B5088"/>
            </w:tcBorders>
            <w:tcMar>
              <w:bottom w:w="76" w:type="dxa"/>
            </w:tcMar>
            <w:vAlign w:val="center"/>
          </w:tcPr>
          <w:p>
            <w:pPr>
              <w:pStyle w:val="TableContents"/>
              <w:bidi w:val="0"/>
              <w:spacing w:before="0" w:after="283"/>
              <w:jc w:val="right"/>
              <w:rPr/>
            </w:pPr>
            <w:r>
              <w:rPr/>
              <w:t>48,597,262</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55" w:type="dxa"/>
            <w:tcBorders>
              <w:bottom w:val="single" w:sz="2" w:space="0" w:color="4B5088"/>
            </w:tcBorders>
            <w:tcMar>
              <w:bottom w:w="76" w:type="dxa"/>
            </w:tcMar>
            <w:vAlign w:val="center"/>
          </w:tcPr>
          <w:p>
            <w:pPr>
              <w:pStyle w:val="TableContents"/>
              <w:bidi w:val="0"/>
              <w:spacing w:before="0" w:after="0"/>
              <w:jc w:val="left"/>
              <w:rPr>
                <w:b/>
                <w:color w:val="1F2668"/>
              </w:rPr>
            </w:pPr>
            <w:r>
              <w:rPr>
                <w:b/>
                <w:color w:val="1F2668"/>
                <w:spacing w:val="-2"/>
              </w:rPr>
              <w:t>2023</w:t>
            </w:r>
            <w:r>
              <w:rPr>
                <w:b/>
                <w:color w:val="1F2668"/>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1191" w:type="dxa"/>
            <w:tcBorders>
              <w:bottom w:val="single" w:sz="2" w:space="0" w:color="4B5088"/>
            </w:tcBorders>
            <w:tcMar>
              <w:bottom w:w="76" w:type="dxa"/>
            </w:tcMar>
            <w:vAlign w:val="center"/>
          </w:tcPr>
          <w:p>
            <w:pPr>
              <w:pStyle w:val="TableContents"/>
              <w:bidi w:val="0"/>
              <w:spacing w:before="0" w:after="283"/>
              <w:jc w:val="right"/>
              <w:rPr/>
            </w:pPr>
            <w:r>
              <w:rPr/>
              <w:t>18,508,171</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1336" w:type="dxa"/>
            <w:tcBorders>
              <w:bottom w:val="single" w:sz="2" w:space="0" w:color="4B5088"/>
            </w:tcBorders>
            <w:tcMar>
              <w:bottom w:w="76" w:type="dxa"/>
            </w:tcMar>
            <w:vAlign w:val="center"/>
          </w:tcPr>
          <w:p>
            <w:pPr>
              <w:pStyle w:val="TableContents"/>
              <w:bidi w:val="0"/>
              <w:spacing w:before="0" w:after="283"/>
              <w:jc w:val="right"/>
              <w:rPr/>
            </w:pPr>
            <w:r>
              <w:rPr/>
              <w:t>(15,767,540)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1336" w:type="dxa"/>
            <w:tcBorders>
              <w:bottom w:val="single" w:sz="2" w:space="0" w:color="4B5088"/>
            </w:tcBorders>
            <w:tcMar>
              <w:bottom w:w="76" w:type="dxa"/>
            </w:tcMar>
            <w:vAlign w:val="center"/>
          </w:tcPr>
          <w:p>
            <w:pPr>
              <w:pStyle w:val="TableContents"/>
              <w:bidi w:val="0"/>
              <w:spacing w:before="0" w:after="283"/>
              <w:jc w:val="right"/>
              <w:rPr/>
            </w:pPr>
            <w:r>
              <w:rPr/>
              <w:t>28,055,437</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1336" w:type="dxa"/>
            <w:tcBorders>
              <w:bottom w:val="single" w:sz="2" w:space="0" w:color="4B5088"/>
            </w:tcBorders>
            <w:tcMar>
              <w:bottom w:w="76" w:type="dxa"/>
            </w:tcMar>
            <w:vAlign w:val="center"/>
          </w:tcPr>
          <w:p>
            <w:pPr>
              <w:pStyle w:val="TableContents"/>
              <w:bidi w:val="0"/>
              <w:spacing w:before="0" w:after="283"/>
              <w:jc w:val="right"/>
              <w:rPr/>
            </w:pPr>
            <w:r>
              <w:rPr/>
              <w:t>30,796,068</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55" w:type="dxa"/>
            <w:tcBorders>
              <w:bottom w:val="single" w:sz="2" w:space="0" w:color="4B5088"/>
            </w:tcBorders>
            <w:tcMar>
              <w:bottom w:w="76" w:type="dxa"/>
            </w:tcMar>
            <w:vAlign w:val="center"/>
          </w:tcPr>
          <w:p>
            <w:pPr>
              <w:pStyle w:val="TableContents"/>
              <w:bidi w:val="0"/>
              <w:spacing w:before="0" w:after="0"/>
              <w:jc w:val="left"/>
              <w:rPr>
                <w:b/>
                <w:color w:val="1F2668"/>
              </w:rPr>
            </w:pPr>
            <w:r>
              <w:rPr>
                <w:b/>
                <w:color w:val="1F2668"/>
                <w:spacing w:val="-2"/>
              </w:rPr>
              <w:t>2022</w:t>
            </w:r>
            <w:r>
              <w:rPr>
                <w:b/>
                <w:color w:val="1F2668"/>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1191" w:type="dxa"/>
            <w:tcBorders>
              <w:bottom w:val="single" w:sz="2" w:space="0" w:color="4B5088"/>
            </w:tcBorders>
            <w:tcMar>
              <w:bottom w:w="76" w:type="dxa"/>
            </w:tcMar>
            <w:vAlign w:val="center"/>
          </w:tcPr>
          <w:p>
            <w:pPr>
              <w:pStyle w:val="TableContents"/>
              <w:bidi w:val="0"/>
              <w:spacing w:before="0" w:after="283"/>
              <w:jc w:val="right"/>
              <w:rPr/>
            </w:pPr>
            <w:r>
              <w:rPr/>
              <w:t>16,660,855</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1336" w:type="dxa"/>
            <w:tcBorders>
              <w:bottom w:val="single" w:sz="2" w:space="0" w:color="4B5088"/>
            </w:tcBorders>
            <w:tcMar>
              <w:bottom w:w="76" w:type="dxa"/>
            </w:tcMar>
            <w:vAlign w:val="center"/>
          </w:tcPr>
          <w:p>
            <w:pPr>
              <w:pStyle w:val="TableContents"/>
              <w:bidi w:val="0"/>
              <w:spacing w:before="0" w:after="283"/>
              <w:jc w:val="right"/>
              <w:rPr/>
            </w:pPr>
            <w:r>
              <w:rPr/>
              <w:t>(14,284,701)</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1336" w:type="dxa"/>
            <w:tcBorders>
              <w:bottom w:val="single" w:sz="2" w:space="0" w:color="4B5088"/>
            </w:tcBorders>
            <w:tcMar>
              <w:bottom w:w="76" w:type="dxa"/>
            </w:tcMar>
            <w:vAlign w:val="center"/>
          </w:tcPr>
          <w:p>
            <w:pPr>
              <w:pStyle w:val="TableContents"/>
              <w:bidi w:val="0"/>
              <w:spacing w:before="0" w:after="283"/>
              <w:jc w:val="right"/>
              <w:rPr/>
            </w:pPr>
            <w:r>
              <w:rPr/>
              <w:t>(14,134,808)</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1336" w:type="dxa"/>
            <w:tcBorders>
              <w:bottom w:val="single" w:sz="2" w:space="0" w:color="4B5088"/>
            </w:tcBorders>
            <w:tcMar>
              <w:bottom w:w="76" w:type="dxa"/>
            </w:tcMar>
            <w:vAlign w:val="center"/>
          </w:tcPr>
          <w:p>
            <w:pPr>
              <w:pStyle w:val="TableContents"/>
              <w:bidi w:val="0"/>
              <w:spacing w:before="0" w:after="283"/>
              <w:jc w:val="right"/>
              <w:rPr/>
            </w:pPr>
            <w:r>
              <w:rPr/>
              <w:t>(11,758,654)</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55" w:type="dxa"/>
            <w:tcBorders>
              <w:bottom w:val="single" w:sz="2" w:space="0" w:color="4B5088"/>
            </w:tcBorders>
            <w:tcMar>
              <w:bottom w:w="76" w:type="dxa"/>
            </w:tcMar>
            <w:vAlign w:val="center"/>
          </w:tcPr>
          <w:p>
            <w:pPr>
              <w:pStyle w:val="TableContents"/>
              <w:bidi w:val="0"/>
              <w:spacing w:before="0" w:after="0"/>
              <w:jc w:val="left"/>
              <w:rPr>
                <w:b/>
                <w:color w:val="1F2668"/>
              </w:rPr>
            </w:pPr>
            <w:r>
              <w:rPr>
                <w:b/>
                <w:color w:val="1F2668"/>
                <w:spacing w:val="-2"/>
              </w:rPr>
              <w:t>2021</w:t>
            </w:r>
            <w:r>
              <w:rPr>
                <w:b/>
                <w:color w:val="1F2668"/>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1191" w:type="dxa"/>
            <w:tcBorders>
              <w:bottom w:val="single" w:sz="2" w:space="0" w:color="4B5088"/>
            </w:tcBorders>
            <w:tcMar>
              <w:bottom w:w="76" w:type="dxa"/>
            </w:tcMar>
            <w:vAlign w:val="center"/>
          </w:tcPr>
          <w:p>
            <w:pPr>
              <w:pStyle w:val="TableContents"/>
              <w:bidi w:val="0"/>
              <w:spacing w:before="0" w:after="283"/>
              <w:jc w:val="right"/>
              <w:rPr/>
            </w:pPr>
            <w:r>
              <w:rPr/>
              <w:t>21,088,057</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1336" w:type="dxa"/>
            <w:tcBorders>
              <w:bottom w:val="single" w:sz="2" w:space="0" w:color="4B5088"/>
            </w:tcBorders>
            <w:tcMar>
              <w:bottom w:w="76" w:type="dxa"/>
            </w:tcMar>
            <w:vAlign w:val="center"/>
          </w:tcPr>
          <w:p>
            <w:pPr>
              <w:pStyle w:val="TableContents"/>
              <w:bidi w:val="0"/>
              <w:spacing w:before="0" w:after="283"/>
              <w:jc w:val="right"/>
              <w:rPr/>
            </w:pPr>
            <w:r>
              <w:rPr/>
              <w:t>(18,099,677)</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1336" w:type="dxa"/>
            <w:tcBorders>
              <w:bottom w:val="single" w:sz="2" w:space="0" w:color="4B5088"/>
            </w:tcBorders>
            <w:tcMar>
              <w:bottom w:w="76" w:type="dxa"/>
            </w:tcMar>
            <w:vAlign w:val="center"/>
          </w:tcPr>
          <w:p>
            <w:pPr>
              <w:pStyle w:val="TableContents"/>
              <w:bidi w:val="0"/>
              <w:spacing w:before="0" w:after="283"/>
              <w:jc w:val="right"/>
              <w:rPr/>
            </w:pPr>
            <w:r>
              <w:rPr/>
              <w:t>29,653,826</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1336" w:type="dxa"/>
            <w:tcBorders>
              <w:bottom w:val="single" w:sz="2" w:space="0" w:color="4B5088"/>
            </w:tcBorders>
            <w:tcMar>
              <w:bottom w:w="76" w:type="dxa"/>
            </w:tcMar>
            <w:vAlign w:val="center"/>
          </w:tcPr>
          <w:p>
            <w:pPr>
              <w:pStyle w:val="TableContents"/>
              <w:bidi w:val="0"/>
              <w:spacing w:before="0" w:after="283"/>
              <w:jc w:val="right"/>
              <w:rPr/>
            </w:pPr>
            <w:r>
              <w:rPr/>
              <w:t>32,642,206</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254" w:after="0"/>
        <w:ind w:left="17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Represents the sum of the amounts reported in the “Stock Awards” column of the Summary Compensation Table for the applicable fiscal year.</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61290" distB="0" distL="254000" distR="0" simplePos="0" locked="0" layoutInCell="1" allowOverlap="1" relativeHeight="804">
                <wp:simplePos x="0" y="0"/>
                <wp:positionH relativeFrom="column">
                  <wp:align>left</wp:align>
                </wp:positionH>
                <wp:positionV relativeFrom="line">
                  <wp:align>top</wp:align>
                </wp:positionV>
                <wp:extent cx="254000" cy="350520"/>
                <wp:effectExtent l="0" t="0" r="0" b="0"/>
                <wp:wrapSquare wrapText="right"/>
                <wp:docPr id="904" name="Frame55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2"/>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12.7pt;mso-wrap-distance-bottom:0pt;margin-top:12.7pt;mso-position-vertical:top;mso-position-vertical-relative:text;margin-left:20pt;mso-position-horizontal:left;mso-position-horizontal-relative:text">
                <v:textbox>
                  <w:txbxContent>
                    <w:p>
                      <w:pPr>
                        <w:pStyle w:val="TextBody"/>
                        <w:bidi w:val="0"/>
                        <w:spacing w:lineRule="atLeast" w:line="200" w:before="0" w:after="283"/>
                        <w:jc w:val="left"/>
                        <w:rPr/>
                      </w:pPr>
                      <w:r>
                        <w:rPr>
                          <w:spacing w:val="-2"/>
                        </w:rPr>
                        <w:t>(a)</w:t>
                      </w:r>
                      <w:r>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104" w:after="0"/>
        <w:ind w:left="17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The equity award adjustments for each fiscal year include the following: (i) the addition of the year-end fair value of any equity awards granted in the year that are outstanding and unvested as of the end of the year; (ii) for any awards granted in prior years that are outstanding and unvested as of the end of the fiscal year, the addition (or subtraction, if applicable) of the change in fair value of between the end of the prior fiscal year the end of the applicable fiscal year; (iii) for awards that are granted and vest in the same fiscal year, the addition of the fair value of such awards as of the vesting date; (iv) for awards granted in prior years that vest during the fiscal year, the addition (or subtraction, if applicable) of the change in fair value between the end of the prior fiscal year and the vesting date of such awards; (v) for awards granted in prior years that fail to meet the applicable vesting conditions during the fiscal year, the subtraction of the fair value of such awards at the end of the prior fiscal year; and (vi) the dollar value of any dividends or other earnings paid on such awards in the applicable year prior to the vesting date. The amounts deducted or added in calculating the equity award adjustments are as follows: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66040" distB="0" distL="254000" distR="0" simplePos="0" locked="0" layoutInCell="1" allowOverlap="1" relativeHeight="805">
                <wp:simplePos x="0" y="0"/>
                <wp:positionH relativeFrom="column">
                  <wp:align>left</wp:align>
                </wp:positionH>
                <wp:positionV relativeFrom="line">
                  <wp:align>top</wp:align>
                </wp:positionV>
                <wp:extent cx="254000" cy="350520"/>
                <wp:effectExtent l="0" t="0" r="0" b="0"/>
                <wp:wrapSquare wrapText="right"/>
                <wp:docPr id="905" name="Frame55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2"/>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00" w:before="0" w:after="283"/>
                        <w:jc w:val="left"/>
                        <w:rPr/>
                      </w:pPr>
                      <w:r>
                        <w:rPr>
                          <w:spacing w:val="-2"/>
                        </w:rPr>
                        <w:t>(b)</w:t>
                      </w:r>
                      <w:r>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1F2668"/>
          <w:sz w:val="16"/>
        </w:rPr>
        <w:t xml:space="preserve"> </w:t>
      </w:r>
    </w:p>
    <w:tbl>
      <w:tblPr>
        <w:tblW w:w="4330" w:type="dxa"/>
        <w:jc w:val="left"/>
        <w:tblInd w:w="900" w:type="dxa"/>
        <w:tblLayout w:type="fixed"/>
        <w:tblCellMar>
          <w:top w:w="0" w:type="dxa"/>
          <w:left w:w="0" w:type="dxa"/>
          <w:bottom w:w="0" w:type="dxa"/>
          <w:right w:w="0" w:type="dxa"/>
        </w:tblCellMar>
      </w:tblPr>
      <w:tblGrid>
        <w:gridCol w:w="124"/>
        <w:gridCol w:w="3488"/>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3488" w:type="dxa"/>
            <w:tcBorders/>
            <w:vAlign w:val="center"/>
          </w:tcPr>
          <w:p>
            <w:pPr>
              <w:pStyle w:val="TableContents"/>
              <w:bidi w:val="0"/>
              <w:spacing w:lineRule="atLeast" w:line="200" w:before="0" w:after="0"/>
              <w:jc w:val="left"/>
              <w:rPr/>
            </w:pPr>
            <w:r>
              <w:rPr>
                <w:spacing w:val="-2"/>
              </w:rPr>
              <w:t>EXECUTIVE COMPENSATION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color w:val="1F2668"/>
                <w:sz w:val="24"/>
              </w:rPr>
            </w:pPr>
            <w:r>
              <w:rPr>
                <w:color w:val="1F2668"/>
                <w:sz w:val="24"/>
              </w:rPr>
              <w:t>79</w:t>
            </w:r>
          </w:p>
        </w:tc>
        <w:tc>
          <w:tcPr>
            <w:tcW w:w="154" w:type="dxa"/>
            <w:tcBorders/>
            <w:vAlign w:val="center"/>
          </w:tcPr>
          <w:p>
            <w:pPr>
              <w:pStyle w:val="TableContents"/>
              <w:bidi w:val="0"/>
              <w:spacing w:before="0" w:after="283"/>
              <w:jc w:val="left"/>
              <w:rPr/>
            </w:pPr>
            <w:r>
              <w:rPr/>
              <w:t>​</w:t>
            </w:r>
          </w:p>
        </w:tc>
      </w:tr>
    </w:tbl>
    <w:tbl>
      <w:tblPr>
        <w:tblW w:w="12686" w:type="dxa"/>
        <w:jc w:val="left"/>
        <w:tblInd w:w="900" w:type="dxa"/>
        <w:tblLayout w:type="fixed"/>
        <w:tblCellMar>
          <w:top w:w="0" w:type="dxa"/>
          <w:left w:w="0" w:type="dxa"/>
          <w:bottom w:w="73" w:type="dxa"/>
          <w:right w:w="0" w:type="dxa"/>
        </w:tblCellMar>
      </w:tblPr>
      <w:tblGrid>
        <w:gridCol w:w="595"/>
        <w:gridCol w:w="109"/>
        <w:gridCol w:w="109"/>
        <w:gridCol w:w="109"/>
        <w:gridCol w:w="109"/>
        <w:gridCol w:w="1186"/>
        <w:gridCol w:w="109"/>
        <w:gridCol w:w="109"/>
        <w:gridCol w:w="109"/>
        <w:gridCol w:w="109"/>
        <w:gridCol w:w="109"/>
        <w:gridCol w:w="1261"/>
        <w:gridCol w:w="109"/>
        <w:gridCol w:w="109"/>
        <w:gridCol w:w="109"/>
        <w:gridCol w:w="109"/>
        <w:gridCol w:w="109"/>
        <w:gridCol w:w="1066"/>
        <w:gridCol w:w="109"/>
        <w:gridCol w:w="109"/>
        <w:gridCol w:w="109"/>
        <w:gridCol w:w="109"/>
        <w:gridCol w:w="109"/>
        <w:gridCol w:w="1141"/>
        <w:gridCol w:w="109"/>
        <w:gridCol w:w="109"/>
        <w:gridCol w:w="109"/>
        <w:gridCol w:w="109"/>
        <w:gridCol w:w="109"/>
        <w:gridCol w:w="1141"/>
        <w:gridCol w:w="109"/>
        <w:gridCol w:w="109"/>
        <w:gridCol w:w="109"/>
        <w:gridCol w:w="109"/>
        <w:gridCol w:w="109"/>
        <w:gridCol w:w="1066"/>
        <w:gridCol w:w="109"/>
        <w:gridCol w:w="109"/>
        <w:gridCol w:w="109"/>
        <w:gridCol w:w="109"/>
        <w:gridCol w:w="109"/>
        <w:gridCol w:w="1261"/>
        <w:gridCol w:w="109"/>
        <w:gridCol w:w="154"/>
      </w:tblGrid>
      <w:tr>
        <w:trPr/>
        <w:tc>
          <w:tcPr>
            <w:tcW w:w="595" w:type="dxa"/>
            <w:tcBorders>
              <w:bottom w:val="single" w:sz="2" w:space="0" w:color="1F2668"/>
            </w:tcBorders>
            <w:vAlign w:val="center"/>
          </w:tcPr>
          <w:p>
            <w:pPr>
              <w:pStyle w:val="TableContents"/>
              <w:bidi w:val="0"/>
              <w:spacing w:before="0" w:after="0"/>
              <w:jc w:val="left"/>
              <w:rPr>
                <w:spacing w:val="-1"/>
              </w:rPr>
            </w:pPr>
            <w:r>
              <w:rPr>
                <w:spacing w:val="-1"/>
              </w:rPr>
              <w:t xml:space="preserve">Year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3" w:type="dxa"/>
            <w:gridSpan w:val="4"/>
            <w:tcBorders>
              <w:bottom w:val="single" w:sz="2" w:space="0" w:color="1F2668"/>
            </w:tcBorders>
            <w:vAlign w:val="center"/>
          </w:tcPr>
          <w:p>
            <w:pPr>
              <w:pStyle w:val="TableContents"/>
              <w:bidi w:val="0"/>
              <w:spacing w:before="0" w:after="0"/>
              <w:jc w:val="right"/>
              <w:rPr/>
            </w:pPr>
            <w:r>
              <w:rPr>
                <w:spacing w:val="-1"/>
              </w:rPr>
              <w:t xml:space="preserve">Year End Fair </w:t>
              <w:br/>
              <w:t xml:space="preserve">Value of Equity </w:t>
              <w:br/>
              <w:t xml:space="preserve">Awards Granted </w:t>
              <w:br/>
              <w:t xml:space="preserve">in the Year </w:t>
              <w:br/>
              <w:t xml:space="preserve">and Unvested </w:t>
              <w:br/>
              <w:t>($)</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88" w:type="dxa"/>
            <w:gridSpan w:val="4"/>
            <w:tcBorders>
              <w:bottom w:val="single" w:sz="2" w:space="0" w:color="1F2668"/>
            </w:tcBorders>
            <w:vAlign w:val="center"/>
          </w:tcPr>
          <w:p>
            <w:pPr>
              <w:pStyle w:val="TableContents"/>
              <w:bidi w:val="0"/>
              <w:spacing w:before="0" w:after="0"/>
              <w:jc w:val="right"/>
              <w:rPr/>
            </w:pPr>
            <w:r>
              <w:rPr>
                <w:spacing w:val="-1"/>
              </w:rPr>
              <w:t xml:space="preserve">Year over Year </w:t>
              <w:br/>
              <w:t xml:space="preserve">Change in </w:t>
              <w:br/>
              <w:t xml:space="preserve">Fair Value of </w:t>
              <w:br/>
              <w:t xml:space="preserve">Outstanding and </w:t>
              <w:br/>
              <w:t xml:space="preserve">Unvested Equity </w:t>
              <w:br/>
              <w:t xml:space="preserve">Awards </w:t>
              <w:br/>
              <w:t>($)</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1F2668"/>
            </w:tcBorders>
            <w:vAlign w:val="center"/>
          </w:tcPr>
          <w:p>
            <w:pPr>
              <w:pStyle w:val="TableContents"/>
              <w:bidi w:val="0"/>
              <w:spacing w:before="0" w:after="0"/>
              <w:jc w:val="right"/>
              <w:rPr/>
            </w:pPr>
            <w:r>
              <w:rPr>
                <w:spacing w:val="-1"/>
              </w:rPr>
              <w:t xml:space="preserve">Fair Value as of </w:t>
              <w:br/>
              <w:t xml:space="preserve">Vesting Date of </w:t>
              <w:br/>
              <w:t xml:space="preserve">Equity Awards </w:t>
              <w:br/>
              <w:t xml:space="preserve">Granted and </w:t>
              <w:br/>
              <w:t xml:space="preserve">Vested in </w:t>
              <w:br/>
              <w:t xml:space="preserve">the Year </w:t>
              <w:br/>
              <w:t>($)</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68" w:type="dxa"/>
            <w:gridSpan w:val="4"/>
            <w:tcBorders>
              <w:bottom w:val="single" w:sz="2" w:space="0" w:color="1F2668"/>
            </w:tcBorders>
            <w:vAlign w:val="center"/>
          </w:tcPr>
          <w:p>
            <w:pPr>
              <w:pStyle w:val="TableContents"/>
              <w:bidi w:val="0"/>
              <w:spacing w:before="0" w:after="0"/>
              <w:jc w:val="right"/>
              <w:rPr/>
            </w:pPr>
            <w:r>
              <w:rPr>
                <w:spacing w:val="-1"/>
              </w:rPr>
              <w:t xml:space="preserve">Year over Year </w:t>
              <w:br/>
              <w:t xml:space="preserve">Change in Fair Value </w:t>
              <w:br/>
              <w:t xml:space="preserve">of Equity Awards </w:t>
              <w:br/>
              <w:t xml:space="preserve">Granted in Prior </w:t>
              <w:br/>
              <w:t xml:space="preserve">Years that Vested in </w:t>
              <w:br/>
              <w:t xml:space="preserve">the Year </w:t>
              <w:br/>
              <w:t>($)</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68" w:type="dxa"/>
            <w:gridSpan w:val="4"/>
            <w:tcBorders>
              <w:bottom w:val="single" w:sz="2" w:space="0" w:color="1F2668"/>
            </w:tcBorders>
            <w:vAlign w:val="center"/>
          </w:tcPr>
          <w:p>
            <w:pPr>
              <w:pStyle w:val="TableContents"/>
              <w:bidi w:val="0"/>
              <w:spacing w:before="0" w:after="0"/>
              <w:jc w:val="right"/>
              <w:rPr/>
            </w:pPr>
            <w:r>
              <w:rPr>
                <w:spacing w:val="-1"/>
              </w:rPr>
              <w:t xml:space="preserve">Fair Value at </w:t>
              <w:br/>
              <w:t xml:space="preserve">the End of the </w:t>
              <w:br/>
              <w:t xml:space="preserve">Prior Year of </w:t>
              <w:br/>
              <w:t xml:space="preserve">Equity Awards </w:t>
              <w:br/>
              <w:t xml:space="preserve">that Failed to </w:t>
              <w:br/>
              <w:t xml:space="preserve">Meet Vesting </w:t>
              <w:br/>
              <w:t xml:space="preserve">Conditions in </w:t>
              <w:br/>
              <w:t xml:space="preserve">the Year </w:t>
              <w:br/>
              <w:t>($)</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1F2668"/>
            </w:tcBorders>
            <w:vAlign w:val="center"/>
          </w:tcPr>
          <w:p>
            <w:pPr>
              <w:pStyle w:val="TableContents"/>
              <w:bidi w:val="0"/>
              <w:spacing w:before="0" w:after="0"/>
              <w:jc w:val="right"/>
              <w:rPr/>
            </w:pPr>
            <w:r>
              <w:rPr>
                <w:spacing w:val="-1"/>
              </w:rPr>
              <w:t xml:space="preserve">Value of </w:t>
              <w:br/>
              <w:t xml:space="preserve">Dividends or </w:t>
              <w:br/>
              <w:t xml:space="preserve">other Earnings </w:t>
              <w:br/>
              <w:t xml:space="preserve">Paid on Awards </w:t>
              <w:br/>
              <w:t>($)</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88" w:type="dxa"/>
            <w:gridSpan w:val="4"/>
            <w:tcBorders>
              <w:bottom w:val="single" w:sz="2" w:space="0" w:color="1F2668"/>
            </w:tcBorders>
            <w:vAlign w:val="center"/>
          </w:tcPr>
          <w:p>
            <w:pPr>
              <w:pStyle w:val="TableContents"/>
              <w:bidi w:val="0"/>
              <w:spacing w:lineRule="atLeast" w:line="142" w:before="0" w:after="0"/>
              <w:jc w:val="right"/>
              <w:rPr/>
            </w:pPr>
            <w:r>
              <w:rPr>
                <w:spacing w:val="-1"/>
              </w:rPr>
              <w:t xml:space="preserve">Total Equity </w:t>
              <w:br/>
              <w:t xml:space="preserve">Award </w:t>
              <w:br/>
              <w:t xml:space="preserve">Adjustments </w:t>
              <w:br/>
              <w:t>($)</w:t>
            </w:r>
            <w:r>
              <w:rPr>
                <w:spacing w:val="-1"/>
                <w:sz w:val="9"/>
              </w:rPr>
              <w:t>(i)</w:t>
            </w:r>
            <w:r>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95" w:type="dxa"/>
            <w:tcBorders>
              <w:bottom w:val="single" w:sz="2" w:space="0" w:color="4B5088"/>
            </w:tcBorders>
            <w:tcMar>
              <w:bottom w:w="76" w:type="dxa"/>
            </w:tcMar>
            <w:vAlign w:val="center"/>
          </w:tcPr>
          <w:p>
            <w:pPr>
              <w:pStyle w:val="TableContents"/>
              <w:bidi w:val="0"/>
              <w:spacing w:before="0" w:after="0"/>
              <w:jc w:val="left"/>
              <w:rPr>
                <w:b/>
                <w:color w:val="1F2668"/>
              </w:rPr>
            </w:pPr>
            <w:r>
              <w:rPr>
                <w:b/>
                <w:color w:val="1F2668"/>
                <w:spacing w:val="-2"/>
              </w:rPr>
              <w:t>2025</w:t>
            </w:r>
            <w:r>
              <w:rPr>
                <w:b/>
                <w:color w:val="1F2668"/>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1186" w:type="dxa"/>
            <w:tcBorders>
              <w:bottom w:val="single" w:sz="2" w:space="0" w:color="4B5088"/>
            </w:tcBorders>
            <w:tcMar>
              <w:bottom w:w="76" w:type="dxa"/>
            </w:tcMar>
            <w:vAlign w:val="center"/>
          </w:tcPr>
          <w:p>
            <w:pPr>
              <w:pStyle w:val="TableContents"/>
              <w:bidi w:val="0"/>
              <w:spacing w:before="0" w:after="283"/>
              <w:jc w:val="right"/>
              <w:rPr/>
            </w:pPr>
            <w:r>
              <w:rPr/>
              <w:t>7,822,831</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1261" w:type="dxa"/>
            <w:tcBorders>
              <w:bottom w:val="single" w:sz="2" w:space="0" w:color="4B5088"/>
            </w:tcBorders>
            <w:tcMar>
              <w:bottom w:w="76" w:type="dxa"/>
            </w:tcMar>
            <w:vAlign w:val="center"/>
          </w:tcPr>
          <w:p>
            <w:pPr>
              <w:pStyle w:val="TableContents"/>
              <w:bidi w:val="0"/>
              <w:spacing w:before="0" w:after="283"/>
              <w:jc w:val="right"/>
              <w:rPr/>
            </w:pPr>
            <w:r>
              <w:rPr/>
              <w:t>(7,609,626)</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1066" w:type="dxa"/>
            <w:tcBorders>
              <w:bottom w:val="single" w:sz="2" w:space="0" w:color="4B5088"/>
            </w:tcBorders>
            <w:tcMar>
              <w:bottom w:w="76" w:type="dxa"/>
            </w:tcMar>
            <w:vAlign w:val="center"/>
          </w:tcPr>
          <w:p>
            <w:pPr>
              <w:pStyle w:val="TableContents"/>
              <w:bidi w:val="0"/>
              <w:spacing w:before="0" w:after="283"/>
              <w:jc w:val="right"/>
              <w:rPr/>
            </w:pPr>
            <w:r>
              <w:rPr/>
              <w:t>1,639,360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1141" w:type="dxa"/>
            <w:tcBorders>
              <w:bottom w:val="single" w:sz="2" w:space="0" w:color="4B5088"/>
            </w:tcBorders>
            <w:tcMar>
              <w:bottom w:w="76" w:type="dxa"/>
            </w:tcMar>
            <w:vAlign w:val="center"/>
          </w:tcPr>
          <w:p>
            <w:pPr>
              <w:pStyle w:val="TableContents"/>
              <w:bidi w:val="0"/>
              <w:spacing w:before="0" w:after="283"/>
              <w:jc w:val="right"/>
              <w:rPr/>
            </w:pPr>
            <w:r>
              <w:rPr/>
              <w:t>(6,876,470)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1141" w:type="dxa"/>
            <w:tcBorders>
              <w:bottom w:val="single" w:sz="2" w:space="0" w:color="4B5088"/>
            </w:tcBorders>
            <w:tcMar>
              <w:bottom w:w="76"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1066" w:type="dxa"/>
            <w:tcBorders>
              <w:bottom w:val="single" w:sz="2" w:space="0" w:color="4B5088"/>
            </w:tcBorders>
            <w:tcMar>
              <w:bottom w:w="76" w:type="dxa"/>
            </w:tcMar>
            <w:vAlign w:val="center"/>
          </w:tcPr>
          <w:p>
            <w:pPr>
              <w:pStyle w:val="TableContents"/>
              <w:bidi w:val="0"/>
              <w:spacing w:before="0" w:after="283"/>
              <w:jc w:val="right"/>
              <w:rPr/>
            </w:pPr>
            <w:r>
              <w:rPr/>
              <w:t>2,897,846</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1261" w:type="dxa"/>
            <w:tcBorders>
              <w:bottom w:val="single" w:sz="2" w:space="0" w:color="4B5088"/>
            </w:tcBorders>
            <w:tcMar>
              <w:bottom w:w="76" w:type="dxa"/>
            </w:tcMar>
            <w:vAlign w:val="center"/>
          </w:tcPr>
          <w:p>
            <w:pPr>
              <w:pStyle w:val="TableContents"/>
              <w:bidi w:val="0"/>
              <w:spacing w:before="0" w:after="283"/>
              <w:jc w:val="right"/>
              <w:rPr/>
            </w:pPr>
            <w:r>
              <w:rPr/>
              <w:t>(2,126,059)</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95" w:type="dxa"/>
            <w:tcBorders>
              <w:bottom w:val="single" w:sz="2" w:space="0" w:color="4B5088"/>
            </w:tcBorders>
            <w:tcMar>
              <w:bottom w:w="76" w:type="dxa"/>
            </w:tcMar>
            <w:vAlign w:val="center"/>
          </w:tcPr>
          <w:p>
            <w:pPr>
              <w:pStyle w:val="TableContents"/>
              <w:bidi w:val="0"/>
              <w:spacing w:before="0" w:after="0"/>
              <w:jc w:val="left"/>
              <w:rPr>
                <w:b/>
                <w:color w:val="1F2668"/>
              </w:rPr>
            </w:pPr>
            <w:r>
              <w:rPr>
                <w:b/>
                <w:color w:val="1F2668"/>
                <w:spacing w:val="-2"/>
              </w:rPr>
              <w:t>2024</w:t>
            </w:r>
            <w:r>
              <w:rPr>
                <w:b/>
                <w:color w:val="1F2668"/>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1186" w:type="dxa"/>
            <w:tcBorders>
              <w:bottom w:val="single" w:sz="2" w:space="0" w:color="4B5088"/>
            </w:tcBorders>
            <w:tcMar>
              <w:bottom w:w="76" w:type="dxa"/>
            </w:tcMar>
            <w:vAlign w:val="center"/>
          </w:tcPr>
          <w:p>
            <w:pPr>
              <w:pStyle w:val="TableContents"/>
              <w:bidi w:val="0"/>
              <w:spacing w:before="0" w:after="283"/>
              <w:jc w:val="right"/>
              <w:rPr/>
            </w:pPr>
            <w:r>
              <w:rPr/>
              <w:t>24,495,938</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1261" w:type="dxa"/>
            <w:tcBorders>
              <w:bottom w:val="single" w:sz="2" w:space="0" w:color="4B5088"/>
            </w:tcBorders>
            <w:tcMar>
              <w:bottom w:w="76" w:type="dxa"/>
            </w:tcMar>
            <w:vAlign w:val="center"/>
          </w:tcPr>
          <w:p>
            <w:pPr>
              <w:pStyle w:val="TableContents"/>
              <w:bidi w:val="0"/>
              <w:spacing w:before="0" w:after="283"/>
              <w:jc w:val="right"/>
              <w:rPr/>
            </w:pPr>
            <w:r>
              <w:rPr/>
              <w:t>13,307,651</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1066" w:type="dxa"/>
            <w:tcBorders>
              <w:bottom w:val="single" w:sz="2" w:space="0" w:color="4B5088"/>
            </w:tcBorders>
            <w:tcMar>
              <w:bottom w:w="76" w:type="dxa"/>
            </w:tcMar>
            <w:vAlign w:val="center"/>
          </w:tcPr>
          <w:p>
            <w:pPr>
              <w:pStyle w:val="TableContents"/>
              <w:bidi w:val="0"/>
              <w:spacing w:before="0" w:after="283"/>
              <w:jc w:val="right"/>
              <w:rPr/>
            </w:pPr>
            <w:r>
              <w:rPr/>
              <w:t>2,486,913</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1141" w:type="dxa"/>
            <w:tcBorders>
              <w:bottom w:val="single" w:sz="2" w:space="0" w:color="4B5088"/>
            </w:tcBorders>
            <w:tcMar>
              <w:bottom w:w="76" w:type="dxa"/>
            </w:tcMar>
            <w:vAlign w:val="center"/>
          </w:tcPr>
          <w:p>
            <w:pPr>
              <w:pStyle w:val="TableContents"/>
              <w:bidi w:val="0"/>
              <w:spacing w:before="0" w:after="283"/>
              <w:jc w:val="right"/>
              <w:rPr/>
            </w:pPr>
            <w:r>
              <w:rPr/>
              <w:t>4,685,715</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1141" w:type="dxa"/>
            <w:tcBorders>
              <w:bottom w:val="single" w:sz="2" w:space="0" w:color="4B5088"/>
            </w:tcBorders>
            <w:tcMar>
              <w:bottom w:w="76"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1066" w:type="dxa"/>
            <w:tcBorders>
              <w:bottom w:val="single" w:sz="2" w:space="0" w:color="4B5088"/>
            </w:tcBorders>
            <w:tcMar>
              <w:bottom w:w="76" w:type="dxa"/>
            </w:tcMar>
            <w:vAlign w:val="center"/>
          </w:tcPr>
          <w:p>
            <w:pPr>
              <w:pStyle w:val="TableContents"/>
              <w:bidi w:val="0"/>
              <w:spacing w:before="0" w:after="283"/>
              <w:jc w:val="right"/>
              <w:rPr/>
            </w:pPr>
            <w:r>
              <w:rPr/>
              <w:t>2,330,105</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1261" w:type="dxa"/>
            <w:tcBorders>
              <w:bottom w:val="single" w:sz="2" w:space="0" w:color="4B5088"/>
            </w:tcBorders>
            <w:tcMar>
              <w:bottom w:w="76" w:type="dxa"/>
            </w:tcMar>
            <w:vAlign w:val="center"/>
          </w:tcPr>
          <w:p>
            <w:pPr>
              <w:pStyle w:val="TableContents"/>
              <w:bidi w:val="0"/>
              <w:spacing w:before="0" w:after="283"/>
              <w:jc w:val="right"/>
              <w:rPr/>
            </w:pPr>
            <w:r>
              <w:rPr/>
              <w:t>47,306,322</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95" w:type="dxa"/>
            <w:tcBorders>
              <w:bottom w:val="single" w:sz="2" w:space="0" w:color="4B5088"/>
            </w:tcBorders>
            <w:tcMar>
              <w:bottom w:w="76" w:type="dxa"/>
            </w:tcMar>
            <w:vAlign w:val="center"/>
          </w:tcPr>
          <w:p>
            <w:pPr>
              <w:pStyle w:val="TableContents"/>
              <w:bidi w:val="0"/>
              <w:spacing w:before="0" w:after="0"/>
              <w:jc w:val="left"/>
              <w:rPr>
                <w:b/>
                <w:color w:val="1F2668"/>
              </w:rPr>
            </w:pPr>
            <w:r>
              <w:rPr>
                <w:b/>
                <w:color w:val="1F2668"/>
                <w:spacing w:val="-2"/>
              </w:rPr>
              <w:t>2023</w:t>
            </w:r>
            <w:r>
              <w:rPr>
                <w:b/>
                <w:color w:val="1F2668"/>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1186" w:type="dxa"/>
            <w:tcBorders>
              <w:bottom w:val="single" w:sz="2" w:space="0" w:color="4B5088"/>
            </w:tcBorders>
            <w:tcMar>
              <w:bottom w:w="76" w:type="dxa"/>
            </w:tcMar>
            <w:vAlign w:val="center"/>
          </w:tcPr>
          <w:p>
            <w:pPr>
              <w:pStyle w:val="TableContents"/>
              <w:bidi w:val="0"/>
              <w:spacing w:before="0" w:after="283"/>
              <w:jc w:val="right"/>
              <w:rPr/>
            </w:pPr>
            <w:r>
              <w:rPr/>
              <w:t>18,575,794</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1261" w:type="dxa"/>
            <w:tcBorders>
              <w:bottom w:val="single" w:sz="2" w:space="0" w:color="4B5088"/>
            </w:tcBorders>
            <w:tcMar>
              <w:bottom w:w="76" w:type="dxa"/>
            </w:tcMar>
            <w:vAlign w:val="center"/>
          </w:tcPr>
          <w:p>
            <w:pPr>
              <w:pStyle w:val="TableContents"/>
              <w:bidi w:val="0"/>
              <w:spacing w:before="0" w:after="283"/>
              <w:jc w:val="right"/>
              <w:rPr/>
            </w:pPr>
            <w:r>
              <w:rPr/>
              <w:t>4,556,883</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1066" w:type="dxa"/>
            <w:tcBorders>
              <w:bottom w:val="single" w:sz="2" w:space="0" w:color="4B5088"/>
            </w:tcBorders>
            <w:tcMar>
              <w:bottom w:w="76" w:type="dxa"/>
            </w:tcMar>
            <w:vAlign w:val="center"/>
          </w:tcPr>
          <w:p>
            <w:pPr>
              <w:pStyle w:val="TableContents"/>
              <w:bidi w:val="0"/>
              <w:spacing w:before="0" w:after="283"/>
              <w:jc w:val="right"/>
              <w:rPr/>
            </w:pPr>
            <w:r>
              <w:rPr/>
              <w:t>1,292,938</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1141" w:type="dxa"/>
            <w:tcBorders>
              <w:bottom w:val="single" w:sz="2" w:space="0" w:color="4B5088"/>
            </w:tcBorders>
            <w:tcMar>
              <w:bottom w:w="76" w:type="dxa"/>
            </w:tcMar>
            <w:vAlign w:val="center"/>
          </w:tcPr>
          <w:p>
            <w:pPr>
              <w:pStyle w:val="TableContents"/>
              <w:bidi w:val="0"/>
              <w:spacing w:before="0" w:after="283"/>
              <w:jc w:val="right"/>
              <w:rPr/>
            </w:pPr>
            <w:r>
              <w:rPr/>
              <w:t>2,027,376</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1141" w:type="dxa"/>
            <w:tcBorders>
              <w:bottom w:val="single" w:sz="2" w:space="0" w:color="4B5088"/>
            </w:tcBorders>
            <w:tcMar>
              <w:bottom w:w="76"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1066" w:type="dxa"/>
            <w:tcBorders>
              <w:bottom w:val="single" w:sz="2" w:space="0" w:color="4B5088"/>
            </w:tcBorders>
            <w:tcMar>
              <w:bottom w:w="76" w:type="dxa"/>
            </w:tcMar>
            <w:vAlign w:val="center"/>
          </w:tcPr>
          <w:p>
            <w:pPr>
              <w:pStyle w:val="TableContents"/>
              <w:bidi w:val="0"/>
              <w:spacing w:before="0" w:after="283"/>
              <w:jc w:val="right"/>
              <w:rPr/>
            </w:pPr>
            <w:r>
              <w:rPr/>
              <w:t>1,602,445</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1261" w:type="dxa"/>
            <w:tcBorders>
              <w:bottom w:val="single" w:sz="2" w:space="0" w:color="4B5088"/>
            </w:tcBorders>
            <w:tcMar>
              <w:bottom w:w="76" w:type="dxa"/>
            </w:tcMar>
            <w:vAlign w:val="center"/>
          </w:tcPr>
          <w:p>
            <w:pPr>
              <w:pStyle w:val="TableContents"/>
              <w:bidi w:val="0"/>
              <w:spacing w:before="0" w:after="283"/>
              <w:jc w:val="right"/>
              <w:rPr/>
            </w:pPr>
            <w:r>
              <w:rPr/>
              <w:t>28,055,437</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95" w:type="dxa"/>
            <w:tcBorders>
              <w:bottom w:val="single" w:sz="2" w:space="0" w:color="4B5088"/>
            </w:tcBorders>
            <w:tcMar>
              <w:bottom w:w="76" w:type="dxa"/>
            </w:tcMar>
            <w:vAlign w:val="center"/>
          </w:tcPr>
          <w:p>
            <w:pPr>
              <w:pStyle w:val="TableContents"/>
              <w:bidi w:val="0"/>
              <w:spacing w:before="0" w:after="0"/>
              <w:jc w:val="left"/>
              <w:rPr>
                <w:b/>
                <w:color w:val="1F2668"/>
              </w:rPr>
            </w:pPr>
            <w:r>
              <w:rPr>
                <w:b/>
                <w:color w:val="1F2668"/>
                <w:spacing w:val="-2"/>
              </w:rPr>
              <w:t>2022</w:t>
            </w:r>
            <w:r>
              <w:rPr>
                <w:b/>
                <w:color w:val="1F2668"/>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1186" w:type="dxa"/>
            <w:tcBorders>
              <w:bottom w:val="single" w:sz="2" w:space="0" w:color="4B5088"/>
            </w:tcBorders>
            <w:tcMar>
              <w:bottom w:w="76" w:type="dxa"/>
            </w:tcMar>
            <w:vAlign w:val="center"/>
          </w:tcPr>
          <w:p>
            <w:pPr>
              <w:pStyle w:val="TableContents"/>
              <w:bidi w:val="0"/>
              <w:spacing w:before="0" w:after="283"/>
              <w:jc w:val="right"/>
              <w:rPr/>
            </w:pPr>
            <w:r>
              <w:rPr/>
              <w:t>4,807,388</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1261" w:type="dxa"/>
            <w:tcBorders>
              <w:bottom w:val="single" w:sz="2" w:space="0" w:color="4B5088"/>
            </w:tcBorders>
            <w:tcMar>
              <w:bottom w:w="76" w:type="dxa"/>
            </w:tcMar>
            <w:vAlign w:val="center"/>
          </w:tcPr>
          <w:p>
            <w:pPr>
              <w:pStyle w:val="TableContents"/>
              <w:bidi w:val="0"/>
              <w:spacing w:before="0" w:after="283"/>
              <w:jc w:val="right"/>
              <w:rPr/>
            </w:pPr>
            <w:r>
              <w:rPr/>
              <w:t>(14,493,069)</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1066" w:type="dxa"/>
            <w:tcBorders>
              <w:bottom w:val="single" w:sz="2" w:space="0" w:color="4B5088"/>
            </w:tcBorders>
            <w:tcMar>
              <w:bottom w:w="76" w:type="dxa"/>
            </w:tcMar>
            <w:vAlign w:val="center"/>
          </w:tcPr>
          <w:p>
            <w:pPr>
              <w:pStyle w:val="TableContents"/>
              <w:bidi w:val="0"/>
              <w:spacing w:before="0" w:after="283"/>
              <w:jc w:val="right"/>
              <w:rPr/>
            </w:pPr>
            <w:r>
              <w:rPr/>
              <w:t>683,334</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1141" w:type="dxa"/>
            <w:tcBorders>
              <w:bottom w:val="single" w:sz="2" w:space="0" w:color="4B5088"/>
            </w:tcBorders>
            <w:tcMar>
              <w:bottom w:w="76" w:type="dxa"/>
            </w:tcMar>
            <w:vAlign w:val="center"/>
          </w:tcPr>
          <w:p>
            <w:pPr>
              <w:pStyle w:val="TableContents"/>
              <w:bidi w:val="0"/>
              <w:spacing w:before="0" w:after="283"/>
              <w:jc w:val="right"/>
              <w:rPr/>
            </w:pPr>
            <w:r>
              <w:rPr/>
              <w:t>(2,002,870)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1141" w:type="dxa"/>
            <w:tcBorders>
              <w:bottom w:val="single" w:sz="2" w:space="0" w:color="4B5088"/>
            </w:tcBorders>
            <w:tcMar>
              <w:bottom w:w="76" w:type="dxa"/>
            </w:tcMar>
            <w:vAlign w:val="center"/>
          </w:tcPr>
          <w:p>
            <w:pPr>
              <w:pStyle w:val="TableContents"/>
              <w:bidi w:val="0"/>
              <w:spacing w:before="0" w:after="283"/>
              <w:jc w:val="right"/>
              <w:rPr/>
            </w:pPr>
            <w:r>
              <w:rPr/>
              <w:t>(4,842,970)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1066" w:type="dxa"/>
            <w:tcBorders>
              <w:bottom w:val="single" w:sz="2" w:space="0" w:color="4B5088"/>
            </w:tcBorders>
            <w:tcMar>
              <w:bottom w:w="76" w:type="dxa"/>
            </w:tcMar>
            <w:vAlign w:val="center"/>
          </w:tcPr>
          <w:p>
            <w:pPr>
              <w:pStyle w:val="TableContents"/>
              <w:bidi w:val="0"/>
              <w:spacing w:before="0" w:after="283"/>
              <w:jc w:val="right"/>
              <w:rPr/>
            </w:pPr>
            <w:r>
              <w:rPr/>
              <w:t>1,713,380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1261" w:type="dxa"/>
            <w:tcBorders>
              <w:bottom w:val="single" w:sz="2" w:space="0" w:color="4B5088"/>
            </w:tcBorders>
            <w:tcMar>
              <w:bottom w:w="76" w:type="dxa"/>
            </w:tcMar>
            <w:vAlign w:val="center"/>
          </w:tcPr>
          <w:p>
            <w:pPr>
              <w:pStyle w:val="TableContents"/>
              <w:bidi w:val="0"/>
              <w:spacing w:before="0" w:after="283"/>
              <w:jc w:val="right"/>
              <w:rPr/>
            </w:pPr>
            <w:r>
              <w:rPr/>
              <w:t>(14,134,808)</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95" w:type="dxa"/>
            <w:tcBorders>
              <w:bottom w:val="single" w:sz="2" w:space="0" w:color="4B5088"/>
            </w:tcBorders>
            <w:tcMar>
              <w:bottom w:w="76" w:type="dxa"/>
            </w:tcMar>
            <w:vAlign w:val="center"/>
          </w:tcPr>
          <w:p>
            <w:pPr>
              <w:pStyle w:val="TableContents"/>
              <w:bidi w:val="0"/>
              <w:spacing w:before="0" w:after="0"/>
              <w:jc w:val="left"/>
              <w:rPr>
                <w:b/>
                <w:color w:val="1F2668"/>
              </w:rPr>
            </w:pPr>
            <w:r>
              <w:rPr>
                <w:b/>
                <w:color w:val="1F2668"/>
                <w:spacing w:val="-2"/>
              </w:rPr>
              <w:t>2021</w:t>
            </w:r>
            <w:r>
              <w:rPr>
                <w:b/>
                <w:color w:val="1F2668"/>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1186" w:type="dxa"/>
            <w:tcBorders>
              <w:bottom w:val="single" w:sz="2" w:space="0" w:color="4B5088"/>
            </w:tcBorders>
            <w:tcMar>
              <w:bottom w:w="76" w:type="dxa"/>
            </w:tcMar>
            <w:vAlign w:val="center"/>
          </w:tcPr>
          <w:p>
            <w:pPr>
              <w:pStyle w:val="TableContents"/>
              <w:bidi w:val="0"/>
              <w:spacing w:before="0" w:after="283"/>
              <w:jc w:val="right"/>
              <w:rPr/>
            </w:pPr>
            <w:r>
              <w:rPr/>
              <w:t>25,933,302</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1261" w:type="dxa"/>
            <w:tcBorders>
              <w:bottom w:val="single" w:sz="2" w:space="0" w:color="4B5088"/>
            </w:tcBorders>
            <w:tcMar>
              <w:bottom w:w="76" w:type="dxa"/>
            </w:tcMar>
            <w:vAlign w:val="center"/>
          </w:tcPr>
          <w:p>
            <w:pPr>
              <w:pStyle w:val="TableContents"/>
              <w:bidi w:val="0"/>
              <w:spacing w:before="0" w:after="283"/>
              <w:jc w:val="right"/>
              <w:rPr/>
            </w:pPr>
            <w:r>
              <w:rPr/>
              <w:t>2,631,512</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1066" w:type="dxa"/>
            <w:tcBorders>
              <w:bottom w:val="single" w:sz="2" w:space="0" w:color="4B5088"/>
            </w:tcBorders>
            <w:tcMar>
              <w:bottom w:w="76" w:type="dxa"/>
            </w:tcMar>
            <w:vAlign w:val="center"/>
          </w:tcPr>
          <w:p>
            <w:pPr>
              <w:pStyle w:val="TableContents"/>
              <w:bidi w:val="0"/>
              <w:spacing w:before="0" w:after="283"/>
              <w:jc w:val="right"/>
              <w:rPr/>
            </w:pPr>
            <w:r>
              <w:rPr/>
              <w:t>1,318,015</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1141" w:type="dxa"/>
            <w:tcBorders>
              <w:bottom w:val="single" w:sz="2" w:space="0" w:color="4B5088"/>
            </w:tcBorders>
            <w:tcMar>
              <w:bottom w:w="76" w:type="dxa"/>
            </w:tcMar>
            <w:vAlign w:val="center"/>
          </w:tcPr>
          <w:p>
            <w:pPr>
              <w:pStyle w:val="TableContents"/>
              <w:bidi w:val="0"/>
              <w:spacing w:before="0" w:after="283"/>
              <w:jc w:val="right"/>
              <w:rPr/>
            </w:pPr>
            <w:r>
              <w:rPr/>
              <w:t>(1,636,532)</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1141" w:type="dxa"/>
            <w:tcBorders>
              <w:bottom w:val="single" w:sz="2" w:space="0" w:color="4B5088"/>
            </w:tcBorders>
            <w:tcMar>
              <w:bottom w:w="76"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1066" w:type="dxa"/>
            <w:tcBorders>
              <w:bottom w:val="single" w:sz="2" w:space="0" w:color="4B5088"/>
            </w:tcBorders>
            <w:tcMar>
              <w:bottom w:w="76" w:type="dxa"/>
            </w:tcMar>
            <w:vAlign w:val="center"/>
          </w:tcPr>
          <w:p>
            <w:pPr>
              <w:pStyle w:val="TableContents"/>
              <w:bidi w:val="0"/>
              <w:spacing w:before="0" w:after="283"/>
              <w:jc w:val="right"/>
              <w:rPr/>
            </w:pPr>
            <w:r>
              <w:rPr/>
              <w:t>1,407,529</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1261" w:type="dxa"/>
            <w:tcBorders>
              <w:bottom w:val="single" w:sz="2" w:space="0" w:color="4B5088"/>
            </w:tcBorders>
            <w:tcMar>
              <w:bottom w:w="76" w:type="dxa"/>
            </w:tcMar>
            <w:vAlign w:val="center"/>
          </w:tcPr>
          <w:p>
            <w:pPr>
              <w:pStyle w:val="TableContents"/>
              <w:bidi w:val="0"/>
              <w:spacing w:before="0" w:after="283"/>
              <w:jc w:val="right"/>
              <w:rPr/>
            </w:pPr>
            <w:r>
              <w:rPr/>
              <w:t>29,653,826</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before="0" w:after="0"/>
        <w:ind w:left="900" w:right="0" w:hanging="0"/>
        <w:jc w:val="left"/>
        <w:rPr>
          <w:caps w:val="false"/>
          <w:smallCaps w:val="false"/>
          <w:color w:val="1F2668"/>
        </w:rPr>
      </w:pPr>
      <w:r>
        <w:rPr>
          <w:caps w:val="false"/>
          <w:smallCaps w:val="false"/>
          <w:color w:val="1F2668"/>
        </w:rPr>
        <w:t>​</w:t>
      </w:r>
    </w:p>
    <w:p>
      <w:pPr>
        <w:pStyle w:val="TextBody"/>
        <w:bidi w:val="0"/>
        <w:spacing w:lineRule="atLeast" w:line="200" w:before="240" w:after="0"/>
        <w:ind w:left="21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The fair values of time-based equity awards are based on the closing price of our shares of common stock as reported on the NYSE on the relevant valuation date. Performance-based restricted share units were valued on the relevant valuation date using a Monte Carlo simulation model in accordance with the provisions of ASC Topic 718.</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52400" distB="0" distL="508000" distR="0" simplePos="0" locked="0" layoutInCell="1" allowOverlap="1" relativeHeight="806">
                <wp:simplePos x="0" y="0"/>
                <wp:positionH relativeFrom="column">
                  <wp:align>left</wp:align>
                </wp:positionH>
                <wp:positionV relativeFrom="line">
                  <wp:align>top</wp:align>
                </wp:positionV>
                <wp:extent cx="254000" cy="254000"/>
                <wp:effectExtent l="0" t="0" r="0" b="0"/>
                <wp:wrapSquare wrapText="right"/>
                <wp:docPr id="906" name="Frame556"/>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b w:val="false"/>
                                <w:color w:val="000000"/>
                                <w:sz w:val="16"/>
                              </w:rPr>
                            </w:pPr>
                            <w:r>
                              <w:rPr>
                                <w:b w:val="false"/>
                                <w:color w:val="000000"/>
                                <w:spacing w:val="-2"/>
                                <w:sz w:val="16"/>
                              </w:rPr>
                              <w:t>(i)</w:t>
                            </w:r>
                            <w:r>
                              <w:rPr>
                                <w:b w:val="false"/>
                                <w:color w:val="000000"/>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40pt;mso-wrap-distance-right:0pt;mso-wrap-distance-top:12pt;mso-wrap-distance-bottom:0pt;margin-top:12pt;mso-position-vertical:top;mso-position-vertical-relative:text;margin-left:40pt;mso-position-horizontal:left;mso-position-horizontal-relative:text">
                <v:textbox>
                  <w:txbxContent>
                    <w:p>
                      <w:pPr>
                        <w:pStyle w:val="TextBody"/>
                        <w:bidi w:val="0"/>
                        <w:spacing w:lineRule="atLeast" w:line="200" w:before="0" w:after="283"/>
                        <w:jc w:val="left"/>
                        <w:rPr>
                          <w:b w:val="false"/>
                          <w:color w:val="000000"/>
                          <w:sz w:val="16"/>
                        </w:rPr>
                      </w:pPr>
                      <w:r>
                        <w:rPr>
                          <w:b w:val="false"/>
                          <w:color w:val="000000"/>
                          <w:spacing w:val="-2"/>
                          <w:sz w:val="16"/>
                        </w:rPr>
                        <w:t>(i)</w:t>
                      </w:r>
                      <w:r>
                        <w:rPr>
                          <w:b w:val="false"/>
                          <w:color w:val="000000"/>
                          <w:sz w:val="16"/>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1F2668"/>
        </w:rPr>
      </w:pPr>
      <w:r>
        <w:rPr>
          <w:caps w:val="false"/>
          <w:smallCaps w:val="false"/>
          <w:color w:val="1F2668"/>
        </w:rPr>
        <w:t>​</w:t>
      </w:r>
    </w:p>
    <w:p>
      <w:pPr>
        <w:pStyle w:val="TextBody"/>
        <w:bidi w:val="0"/>
        <w:spacing w:lineRule="atLeast" w:line="200" w:before="82"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Represents amounts of average “compensation actually paid” as computed in accordance with Item 402(v) of Regulation S-K, not the actual average amount of compensation earned by or paid to our named executive officers other than Mr. Holliday as a group. The table below reflects the adjustments made from the amounts reported in the “Total” column of the Summary Compensation Table for the named executive officers as a group (excluding Mr. Holliday) each year to calculate the amounts set forth in “Compensation Actually Paid to non-PEO NEOs” column in the table above, using the same methodology as set forth in footnote 1(b), above.</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2070" distB="0" distL="0" distR="0" simplePos="0" locked="0" layoutInCell="1" allowOverlap="1" relativeHeight="807">
                <wp:simplePos x="0" y="0"/>
                <wp:positionH relativeFrom="column">
                  <wp:align>left</wp:align>
                </wp:positionH>
                <wp:positionV relativeFrom="line">
                  <wp:align>top</wp:align>
                </wp:positionV>
                <wp:extent cx="254000" cy="254000"/>
                <wp:effectExtent l="0" t="0" r="0" b="0"/>
                <wp:wrapSquare wrapText="right"/>
                <wp:docPr id="907" name="Frame557"/>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b w:val="false"/>
                                <w:color w:val="000000"/>
                                <w:sz w:val="16"/>
                              </w:rPr>
                            </w:pPr>
                            <w:r>
                              <w:rPr>
                                <w:b w:val="false"/>
                                <w:color w:val="000000"/>
                                <w:spacing w:val="-2"/>
                                <w:sz w:val="16"/>
                              </w:rPr>
                              <w:t>(2)</w:t>
                            </w:r>
                            <w:r>
                              <w:rPr>
                                <w:b w:val="false"/>
                                <w:color w:val="000000"/>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bidi w:val="0"/>
                        <w:spacing w:lineRule="atLeast" w:line="200" w:before="0" w:after="283"/>
                        <w:jc w:val="left"/>
                        <w:rPr>
                          <w:b w:val="false"/>
                          <w:color w:val="000000"/>
                          <w:sz w:val="16"/>
                        </w:rPr>
                      </w:pPr>
                      <w:r>
                        <w:rPr>
                          <w:b w:val="false"/>
                          <w:color w:val="000000"/>
                          <w:spacing w:val="-2"/>
                          <w:sz w:val="16"/>
                        </w:rPr>
                        <w:t>(2)</w:t>
                      </w:r>
                      <w:r>
                        <w:rPr>
                          <w:b w:val="false"/>
                          <w:color w:val="000000"/>
                          <w:sz w:val="16"/>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1F2668"/>
        </w:rPr>
      </w:pPr>
      <w:r>
        <w:rPr>
          <w:caps w:val="false"/>
          <w:smallCaps w:val="false"/>
          <w:color w:val="1F2668"/>
        </w:rPr>
        <w:t>​</w:t>
      </w:r>
    </w:p>
    <w:tbl>
      <w:tblPr>
        <w:tblW w:w="8615" w:type="dxa"/>
        <w:jc w:val="left"/>
        <w:tblInd w:w="900" w:type="dxa"/>
        <w:tblLayout w:type="fixed"/>
        <w:tblCellMar>
          <w:top w:w="0" w:type="dxa"/>
          <w:left w:w="0" w:type="dxa"/>
          <w:bottom w:w="73" w:type="dxa"/>
          <w:right w:w="0" w:type="dxa"/>
        </w:tblCellMar>
      </w:tblPr>
      <w:tblGrid>
        <w:gridCol w:w="655"/>
        <w:gridCol w:w="109"/>
        <w:gridCol w:w="109"/>
        <w:gridCol w:w="165"/>
        <w:gridCol w:w="165"/>
        <w:gridCol w:w="1618"/>
        <w:gridCol w:w="166"/>
        <w:gridCol w:w="109"/>
        <w:gridCol w:w="109"/>
        <w:gridCol w:w="112"/>
        <w:gridCol w:w="112"/>
        <w:gridCol w:w="1257"/>
        <w:gridCol w:w="112"/>
        <w:gridCol w:w="109"/>
        <w:gridCol w:w="109"/>
        <w:gridCol w:w="109"/>
        <w:gridCol w:w="109"/>
        <w:gridCol w:w="1216"/>
        <w:gridCol w:w="109"/>
        <w:gridCol w:w="109"/>
        <w:gridCol w:w="109"/>
        <w:gridCol w:w="119"/>
        <w:gridCol w:w="119"/>
        <w:gridCol w:w="1327"/>
        <w:gridCol w:w="119"/>
        <w:gridCol w:w="154"/>
      </w:tblGrid>
      <w:tr>
        <w:trPr/>
        <w:tc>
          <w:tcPr>
            <w:tcW w:w="655" w:type="dxa"/>
            <w:tcBorders>
              <w:bottom w:val="single" w:sz="2" w:space="0" w:color="1F2668"/>
            </w:tcBorders>
            <w:vAlign w:val="center"/>
          </w:tcPr>
          <w:p>
            <w:pPr>
              <w:pStyle w:val="TableContents"/>
              <w:bidi w:val="0"/>
              <w:spacing w:before="0" w:after="0"/>
              <w:jc w:val="left"/>
              <w:rPr>
                <w:spacing w:val="-1"/>
              </w:rPr>
            </w:pPr>
            <w:r>
              <w:rPr>
                <w:spacing w:val="-1"/>
              </w:rPr>
              <w:t xml:space="preserve">Year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114" w:type="dxa"/>
            <w:gridSpan w:val="4"/>
            <w:tcBorders>
              <w:bottom w:val="single" w:sz="2" w:space="0" w:color="1F2668"/>
            </w:tcBorders>
            <w:vAlign w:val="center"/>
          </w:tcPr>
          <w:p>
            <w:pPr>
              <w:pStyle w:val="TableContents"/>
              <w:bidi w:val="0"/>
              <w:spacing w:before="0" w:after="0"/>
              <w:jc w:val="right"/>
              <w:rPr/>
            </w:pPr>
            <w:r>
              <w:rPr>
                <w:spacing w:val="-1"/>
              </w:rPr>
              <w:t xml:space="preserve">Average Reported </w:t>
              <w:br/>
              <w:t xml:space="preserve">Summary </w:t>
              <w:br/>
              <w:t xml:space="preserve">Compensation Table </w:t>
              <w:br/>
              <w:t xml:space="preserve">Total for Non-PEO </w:t>
              <w:br/>
              <w:t xml:space="preserve">NEOs </w:t>
              <w:br/>
              <w:t>($)</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93" w:type="dxa"/>
            <w:gridSpan w:val="4"/>
            <w:tcBorders>
              <w:bottom w:val="single" w:sz="2" w:space="0" w:color="1F2668"/>
            </w:tcBorders>
            <w:vAlign w:val="center"/>
          </w:tcPr>
          <w:p>
            <w:pPr>
              <w:pStyle w:val="TableContents"/>
              <w:bidi w:val="0"/>
              <w:spacing w:lineRule="atLeast" w:line="142" w:before="0" w:after="0"/>
              <w:jc w:val="right"/>
              <w:rPr/>
            </w:pPr>
            <w:r>
              <w:rPr>
                <w:spacing w:val="-1"/>
              </w:rPr>
              <w:t xml:space="preserve">Less Average </w:t>
              <w:br/>
              <w:t xml:space="preserve">Summary </w:t>
              <w:br/>
              <w:t xml:space="preserve">Compensation </w:t>
              <w:br/>
              <w:t xml:space="preserve">Table Value of </w:t>
              <w:br/>
              <w:t xml:space="preserve">Equity Awards </w:t>
              <w:br/>
              <w:t>($)</w:t>
            </w:r>
            <w:r>
              <w:rPr>
                <w:spacing w:val="-1"/>
                <w:sz w:val="9"/>
              </w:rPr>
              <w:t>(a)</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3" w:type="dxa"/>
            <w:gridSpan w:val="4"/>
            <w:tcBorders>
              <w:bottom w:val="single" w:sz="2" w:space="0" w:color="1F2668"/>
            </w:tcBorders>
            <w:vAlign w:val="center"/>
          </w:tcPr>
          <w:p>
            <w:pPr>
              <w:pStyle w:val="TableContents"/>
              <w:bidi w:val="0"/>
              <w:spacing w:lineRule="atLeast" w:line="142" w:before="0" w:after="0"/>
              <w:jc w:val="right"/>
              <w:rPr/>
            </w:pPr>
            <w:r>
              <w:rPr>
                <w:spacing w:val="-1"/>
              </w:rPr>
              <w:t xml:space="preserve">Average </w:t>
              <w:br/>
              <w:t xml:space="preserve">Fair Value of </w:t>
              <w:br/>
              <w:t xml:space="preserve">Equity Award </w:t>
              <w:br/>
              <w:t xml:space="preserve">Adjustments </w:t>
              <w:br/>
              <w:t>($)</w:t>
            </w:r>
            <w:r>
              <w:rPr>
                <w:spacing w:val="-1"/>
                <w:sz w:val="9"/>
              </w:rPr>
              <w:t>(b)</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84" w:type="dxa"/>
            <w:gridSpan w:val="4"/>
            <w:tcBorders>
              <w:bottom w:val="single" w:sz="2" w:space="0" w:color="1F2668"/>
            </w:tcBorders>
            <w:vAlign w:val="center"/>
          </w:tcPr>
          <w:p>
            <w:pPr>
              <w:pStyle w:val="TableContents"/>
              <w:bidi w:val="0"/>
              <w:spacing w:before="0" w:after="0"/>
              <w:jc w:val="right"/>
              <w:rPr/>
            </w:pPr>
            <w:r>
              <w:rPr>
                <w:spacing w:val="-1"/>
              </w:rPr>
              <w:t xml:space="preserve">Average </w:t>
              <w:br/>
              <w:t xml:space="preserve">Compensation </w:t>
              <w:br/>
              <w:t xml:space="preserve">Actually Paid to </w:t>
              <w:br/>
              <w:t xml:space="preserve">Non-PEO </w:t>
              <w:br/>
              <w:t xml:space="preserve">NEOs </w:t>
              <w:br/>
              <w:t>($)</w:t>
            </w:r>
            <w:r>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55" w:type="dxa"/>
            <w:tcBorders>
              <w:bottom w:val="single" w:sz="2" w:space="0" w:color="4B5088"/>
            </w:tcBorders>
            <w:tcMar>
              <w:bottom w:w="76" w:type="dxa"/>
            </w:tcMar>
            <w:vAlign w:val="center"/>
          </w:tcPr>
          <w:p>
            <w:pPr>
              <w:pStyle w:val="TableContents"/>
              <w:bidi w:val="0"/>
              <w:spacing w:before="0" w:after="0"/>
              <w:jc w:val="left"/>
              <w:rPr>
                <w:b/>
                <w:color w:val="1F2668"/>
              </w:rPr>
            </w:pPr>
            <w:r>
              <w:rPr>
                <w:b/>
                <w:color w:val="1F2668"/>
                <w:spacing w:val="-2"/>
              </w:rPr>
              <w:t>2025</w:t>
            </w:r>
            <w:r>
              <w:rPr>
                <w:b/>
                <w:color w:val="1F2668"/>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5" w:type="dxa"/>
            <w:tcBorders>
              <w:bottom w:val="single" w:sz="2" w:space="0" w:color="4B5088"/>
            </w:tcBorders>
            <w:tcMar>
              <w:bottom w:w="28" w:type="dxa"/>
            </w:tcMar>
            <w:vAlign w:val="center"/>
          </w:tcPr>
          <w:p>
            <w:pPr>
              <w:pStyle w:val="TableContents"/>
              <w:bidi w:val="0"/>
              <w:spacing w:before="0" w:after="283"/>
              <w:jc w:val="left"/>
              <w:rPr/>
            </w:pPr>
            <w:r>
              <w:rPr/>
              <w:t>​</w:t>
            </w:r>
          </w:p>
        </w:tc>
        <w:tc>
          <w:tcPr>
            <w:tcW w:w="165" w:type="dxa"/>
            <w:tcBorders>
              <w:bottom w:val="single" w:sz="2" w:space="0" w:color="4B5088"/>
            </w:tcBorders>
            <w:tcMar>
              <w:bottom w:w="76" w:type="dxa"/>
            </w:tcMar>
            <w:vAlign w:val="center"/>
          </w:tcPr>
          <w:p>
            <w:pPr>
              <w:pStyle w:val="TableContents"/>
              <w:bidi w:val="0"/>
              <w:spacing w:before="0" w:after="283"/>
              <w:jc w:val="right"/>
              <w:rPr/>
            </w:pPr>
            <w:r>
              <w:rPr/>
              <w:t>​</w:t>
            </w:r>
          </w:p>
        </w:tc>
        <w:tc>
          <w:tcPr>
            <w:tcW w:w="1618" w:type="dxa"/>
            <w:tcBorders>
              <w:bottom w:val="single" w:sz="2" w:space="0" w:color="4B5088"/>
            </w:tcBorders>
            <w:tcMar>
              <w:bottom w:w="76" w:type="dxa"/>
            </w:tcMar>
            <w:vAlign w:val="center"/>
          </w:tcPr>
          <w:p>
            <w:pPr>
              <w:pStyle w:val="TableContents"/>
              <w:bidi w:val="0"/>
              <w:spacing w:before="0" w:after="283"/>
              <w:jc w:val="right"/>
              <w:rPr/>
            </w:pPr>
            <w:r>
              <w:rPr/>
              <w:t>4,003,522</w:t>
            </w:r>
          </w:p>
        </w:tc>
        <w:tc>
          <w:tcPr>
            <w:tcW w:w="166"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 w:type="dxa"/>
            <w:tcBorders>
              <w:bottom w:val="single" w:sz="2" w:space="0" w:color="4B5088"/>
            </w:tcBorders>
            <w:tcMar>
              <w:bottom w:w="28" w:type="dxa"/>
            </w:tcMar>
            <w:vAlign w:val="center"/>
          </w:tcPr>
          <w:p>
            <w:pPr>
              <w:pStyle w:val="TableContents"/>
              <w:bidi w:val="0"/>
              <w:spacing w:before="0" w:after="283"/>
              <w:jc w:val="left"/>
              <w:rPr/>
            </w:pPr>
            <w:r>
              <w:rPr/>
              <w:t>​</w:t>
            </w:r>
          </w:p>
        </w:tc>
        <w:tc>
          <w:tcPr>
            <w:tcW w:w="112" w:type="dxa"/>
            <w:tcBorders>
              <w:bottom w:val="single" w:sz="2" w:space="0" w:color="4B5088"/>
            </w:tcBorders>
            <w:tcMar>
              <w:bottom w:w="76" w:type="dxa"/>
            </w:tcMar>
            <w:vAlign w:val="center"/>
          </w:tcPr>
          <w:p>
            <w:pPr>
              <w:pStyle w:val="TableContents"/>
              <w:bidi w:val="0"/>
              <w:spacing w:before="0" w:after="283"/>
              <w:jc w:val="right"/>
              <w:rPr/>
            </w:pPr>
            <w:r>
              <w:rPr/>
              <w:t>​</w:t>
            </w:r>
          </w:p>
        </w:tc>
        <w:tc>
          <w:tcPr>
            <w:tcW w:w="1257" w:type="dxa"/>
            <w:tcBorders>
              <w:bottom w:val="single" w:sz="2" w:space="0" w:color="4B5088"/>
            </w:tcBorders>
            <w:tcMar>
              <w:bottom w:w="76" w:type="dxa"/>
            </w:tcMar>
            <w:vAlign w:val="center"/>
          </w:tcPr>
          <w:p>
            <w:pPr>
              <w:pStyle w:val="TableContents"/>
              <w:bidi w:val="0"/>
              <w:spacing w:before="0" w:after="283"/>
              <w:jc w:val="right"/>
              <w:rPr/>
            </w:pPr>
            <w:r>
              <w:rPr/>
              <w:t>(3,389,522)</w:t>
            </w:r>
          </w:p>
        </w:tc>
        <w:tc>
          <w:tcPr>
            <w:tcW w:w="112"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1216" w:type="dxa"/>
            <w:tcBorders>
              <w:bottom w:val="single" w:sz="2" w:space="0" w:color="4B5088"/>
            </w:tcBorders>
            <w:tcMar>
              <w:bottom w:w="76" w:type="dxa"/>
            </w:tcMar>
            <w:vAlign w:val="center"/>
          </w:tcPr>
          <w:p>
            <w:pPr>
              <w:pStyle w:val="TableContents"/>
              <w:bidi w:val="0"/>
              <w:spacing w:before="0" w:after="283"/>
              <w:jc w:val="right"/>
              <w:rPr/>
            </w:pPr>
            <w:r>
              <w:rPr/>
              <w:t>2,348,659</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9" w:type="dxa"/>
            <w:tcBorders>
              <w:bottom w:val="single" w:sz="2" w:space="0" w:color="4B5088"/>
            </w:tcBorders>
            <w:tcMar>
              <w:bottom w:w="28" w:type="dxa"/>
            </w:tcMar>
            <w:vAlign w:val="center"/>
          </w:tcPr>
          <w:p>
            <w:pPr>
              <w:pStyle w:val="TableContents"/>
              <w:bidi w:val="0"/>
              <w:spacing w:before="0" w:after="283"/>
              <w:jc w:val="left"/>
              <w:rPr/>
            </w:pPr>
            <w:r>
              <w:rPr/>
              <w:t>​</w:t>
            </w:r>
          </w:p>
        </w:tc>
        <w:tc>
          <w:tcPr>
            <w:tcW w:w="119" w:type="dxa"/>
            <w:tcBorders>
              <w:bottom w:val="single" w:sz="2" w:space="0" w:color="4B5088"/>
            </w:tcBorders>
            <w:tcMar>
              <w:bottom w:w="76" w:type="dxa"/>
            </w:tcMar>
            <w:vAlign w:val="center"/>
          </w:tcPr>
          <w:p>
            <w:pPr>
              <w:pStyle w:val="TableContents"/>
              <w:bidi w:val="0"/>
              <w:spacing w:before="0" w:after="283"/>
              <w:jc w:val="right"/>
              <w:rPr/>
            </w:pPr>
            <w:r>
              <w:rPr/>
              <w:t>​</w:t>
            </w:r>
          </w:p>
        </w:tc>
        <w:tc>
          <w:tcPr>
            <w:tcW w:w="1327" w:type="dxa"/>
            <w:tcBorders>
              <w:bottom w:val="single" w:sz="2" w:space="0" w:color="4B5088"/>
            </w:tcBorders>
            <w:tcMar>
              <w:bottom w:w="76" w:type="dxa"/>
            </w:tcMar>
            <w:vAlign w:val="center"/>
          </w:tcPr>
          <w:p>
            <w:pPr>
              <w:pStyle w:val="TableContents"/>
              <w:bidi w:val="0"/>
              <w:spacing w:before="0" w:after="283"/>
              <w:jc w:val="right"/>
              <w:rPr/>
            </w:pPr>
            <w:r>
              <w:rPr/>
              <w:t>2,962,659</w:t>
            </w:r>
          </w:p>
        </w:tc>
        <w:tc>
          <w:tcPr>
            <w:tcW w:w="119"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55" w:type="dxa"/>
            <w:tcBorders>
              <w:bottom w:val="single" w:sz="2" w:space="0" w:color="4B5088"/>
            </w:tcBorders>
            <w:tcMar>
              <w:bottom w:w="76" w:type="dxa"/>
            </w:tcMar>
            <w:vAlign w:val="center"/>
          </w:tcPr>
          <w:p>
            <w:pPr>
              <w:pStyle w:val="TableContents"/>
              <w:bidi w:val="0"/>
              <w:spacing w:before="0" w:after="0"/>
              <w:jc w:val="left"/>
              <w:rPr>
                <w:b/>
                <w:color w:val="1F2668"/>
              </w:rPr>
            </w:pPr>
            <w:r>
              <w:rPr>
                <w:b/>
                <w:color w:val="1F2668"/>
                <w:spacing w:val="-2"/>
              </w:rPr>
              <w:t>2024</w:t>
            </w:r>
            <w:r>
              <w:rPr>
                <w:b/>
                <w:color w:val="1F2668"/>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5" w:type="dxa"/>
            <w:tcBorders>
              <w:bottom w:val="single" w:sz="2" w:space="0" w:color="4B5088"/>
            </w:tcBorders>
            <w:tcMar>
              <w:bottom w:w="28" w:type="dxa"/>
            </w:tcMar>
            <w:vAlign w:val="center"/>
          </w:tcPr>
          <w:p>
            <w:pPr>
              <w:pStyle w:val="TableContents"/>
              <w:bidi w:val="0"/>
              <w:spacing w:before="0" w:after="283"/>
              <w:jc w:val="left"/>
              <w:rPr/>
            </w:pPr>
            <w:r>
              <w:rPr/>
              <w:t>​</w:t>
            </w:r>
          </w:p>
        </w:tc>
        <w:tc>
          <w:tcPr>
            <w:tcW w:w="165" w:type="dxa"/>
            <w:tcBorders>
              <w:bottom w:val="single" w:sz="2" w:space="0" w:color="4B5088"/>
            </w:tcBorders>
            <w:tcMar>
              <w:bottom w:w="76" w:type="dxa"/>
            </w:tcMar>
            <w:vAlign w:val="center"/>
          </w:tcPr>
          <w:p>
            <w:pPr>
              <w:pStyle w:val="TableContents"/>
              <w:bidi w:val="0"/>
              <w:spacing w:before="0" w:after="283"/>
              <w:jc w:val="right"/>
              <w:rPr/>
            </w:pPr>
            <w:r>
              <w:rPr/>
              <w:t>​</w:t>
            </w:r>
          </w:p>
        </w:tc>
        <w:tc>
          <w:tcPr>
            <w:tcW w:w="1618" w:type="dxa"/>
            <w:tcBorders>
              <w:bottom w:val="single" w:sz="2" w:space="0" w:color="4B5088"/>
            </w:tcBorders>
            <w:tcMar>
              <w:bottom w:w="76" w:type="dxa"/>
            </w:tcMar>
            <w:vAlign w:val="center"/>
          </w:tcPr>
          <w:p>
            <w:pPr>
              <w:pStyle w:val="TableContents"/>
              <w:bidi w:val="0"/>
              <w:spacing w:before="0" w:after="283"/>
              <w:jc w:val="right"/>
              <w:rPr/>
            </w:pPr>
            <w:r>
              <w:rPr/>
              <w:t>3,550,244</w:t>
            </w:r>
          </w:p>
        </w:tc>
        <w:tc>
          <w:tcPr>
            <w:tcW w:w="166"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 w:type="dxa"/>
            <w:tcBorders>
              <w:bottom w:val="single" w:sz="2" w:space="0" w:color="4B5088"/>
            </w:tcBorders>
            <w:tcMar>
              <w:bottom w:w="28" w:type="dxa"/>
            </w:tcMar>
            <w:vAlign w:val="center"/>
          </w:tcPr>
          <w:p>
            <w:pPr>
              <w:pStyle w:val="TableContents"/>
              <w:bidi w:val="0"/>
              <w:spacing w:before="0" w:after="283"/>
              <w:jc w:val="left"/>
              <w:rPr/>
            </w:pPr>
            <w:r>
              <w:rPr/>
              <w:t>​</w:t>
            </w:r>
          </w:p>
        </w:tc>
        <w:tc>
          <w:tcPr>
            <w:tcW w:w="112" w:type="dxa"/>
            <w:tcBorders>
              <w:bottom w:val="single" w:sz="2" w:space="0" w:color="4B5088"/>
            </w:tcBorders>
            <w:tcMar>
              <w:bottom w:w="76" w:type="dxa"/>
            </w:tcMar>
            <w:vAlign w:val="center"/>
          </w:tcPr>
          <w:p>
            <w:pPr>
              <w:pStyle w:val="TableContents"/>
              <w:bidi w:val="0"/>
              <w:spacing w:before="0" w:after="283"/>
              <w:jc w:val="right"/>
              <w:rPr/>
            </w:pPr>
            <w:r>
              <w:rPr/>
              <w:t>​</w:t>
            </w:r>
          </w:p>
        </w:tc>
        <w:tc>
          <w:tcPr>
            <w:tcW w:w="1257" w:type="dxa"/>
            <w:tcBorders>
              <w:bottom w:val="single" w:sz="2" w:space="0" w:color="4B5088"/>
            </w:tcBorders>
            <w:tcMar>
              <w:bottom w:w="76" w:type="dxa"/>
            </w:tcMar>
            <w:vAlign w:val="center"/>
          </w:tcPr>
          <w:p>
            <w:pPr>
              <w:pStyle w:val="TableContents"/>
              <w:bidi w:val="0"/>
              <w:spacing w:before="0" w:after="283"/>
              <w:jc w:val="right"/>
              <w:rPr/>
            </w:pPr>
            <w:r>
              <w:rPr/>
              <w:t>(2,946,444)</w:t>
            </w:r>
          </w:p>
        </w:tc>
        <w:tc>
          <w:tcPr>
            <w:tcW w:w="112"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1216" w:type="dxa"/>
            <w:tcBorders>
              <w:bottom w:val="single" w:sz="2" w:space="0" w:color="4B5088"/>
            </w:tcBorders>
            <w:tcMar>
              <w:bottom w:w="76" w:type="dxa"/>
            </w:tcMar>
            <w:vAlign w:val="center"/>
          </w:tcPr>
          <w:p>
            <w:pPr>
              <w:pStyle w:val="TableContents"/>
              <w:bidi w:val="0"/>
              <w:spacing w:before="0" w:after="283"/>
              <w:jc w:val="right"/>
              <w:rPr/>
            </w:pPr>
            <w:r>
              <w:rPr/>
              <w:t>6,158,144</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9" w:type="dxa"/>
            <w:tcBorders>
              <w:bottom w:val="single" w:sz="2" w:space="0" w:color="4B5088"/>
            </w:tcBorders>
            <w:tcMar>
              <w:bottom w:w="28" w:type="dxa"/>
            </w:tcMar>
            <w:vAlign w:val="center"/>
          </w:tcPr>
          <w:p>
            <w:pPr>
              <w:pStyle w:val="TableContents"/>
              <w:bidi w:val="0"/>
              <w:spacing w:before="0" w:after="283"/>
              <w:jc w:val="left"/>
              <w:rPr/>
            </w:pPr>
            <w:r>
              <w:rPr/>
              <w:t>​</w:t>
            </w:r>
          </w:p>
        </w:tc>
        <w:tc>
          <w:tcPr>
            <w:tcW w:w="119" w:type="dxa"/>
            <w:tcBorders>
              <w:bottom w:val="single" w:sz="2" w:space="0" w:color="4B5088"/>
            </w:tcBorders>
            <w:tcMar>
              <w:bottom w:w="76" w:type="dxa"/>
            </w:tcMar>
            <w:vAlign w:val="center"/>
          </w:tcPr>
          <w:p>
            <w:pPr>
              <w:pStyle w:val="TableContents"/>
              <w:bidi w:val="0"/>
              <w:spacing w:before="0" w:after="283"/>
              <w:jc w:val="right"/>
              <w:rPr/>
            </w:pPr>
            <w:r>
              <w:rPr/>
              <w:t>​</w:t>
            </w:r>
          </w:p>
        </w:tc>
        <w:tc>
          <w:tcPr>
            <w:tcW w:w="1327" w:type="dxa"/>
            <w:tcBorders>
              <w:bottom w:val="single" w:sz="2" w:space="0" w:color="4B5088"/>
            </w:tcBorders>
            <w:tcMar>
              <w:bottom w:w="76" w:type="dxa"/>
            </w:tcMar>
            <w:vAlign w:val="center"/>
          </w:tcPr>
          <w:p>
            <w:pPr>
              <w:pStyle w:val="TableContents"/>
              <w:bidi w:val="0"/>
              <w:spacing w:before="0" w:after="283"/>
              <w:jc w:val="right"/>
              <w:rPr/>
            </w:pPr>
            <w:r>
              <w:rPr/>
              <w:t>6,761,944</w:t>
            </w:r>
          </w:p>
        </w:tc>
        <w:tc>
          <w:tcPr>
            <w:tcW w:w="119"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55" w:type="dxa"/>
            <w:tcBorders>
              <w:bottom w:val="single" w:sz="2" w:space="0" w:color="4B5088"/>
            </w:tcBorders>
            <w:tcMar>
              <w:bottom w:w="76" w:type="dxa"/>
            </w:tcMar>
            <w:vAlign w:val="center"/>
          </w:tcPr>
          <w:p>
            <w:pPr>
              <w:pStyle w:val="TableContents"/>
              <w:bidi w:val="0"/>
              <w:spacing w:before="0" w:after="0"/>
              <w:jc w:val="left"/>
              <w:rPr>
                <w:b/>
                <w:color w:val="1F2668"/>
              </w:rPr>
            </w:pPr>
            <w:r>
              <w:rPr>
                <w:b/>
                <w:color w:val="1F2668"/>
                <w:spacing w:val="-2"/>
              </w:rPr>
              <w:t>2023</w:t>
            </w:r>
            <w:r>
              <w:rPr>
                <w:b/>
                <w:color w:val="1F2668"/>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5" w:type="dxa"/>
            <w:tcBorders>
              <w:bottom w:val="single" w:sz="2" w:space="0" w:color="4B5088"/>
            </w:tcBorders>
            <w:tcMar>
              <w:bottom w:w="28" w:type="dxa"/>
            </w:tcMar>
            <w:vAlign w:val="center"/>
          </w:tcPr>
          <w:p>
            <w:pPr>
              <w:pStyle w:val="TableContents"/>
              <w:bidi w:val="0"/>
              <w:spacing w:before="0" w:after="283"/>
              <w:jc w:val="left"/>
              <w:rPr/>
            </w:pPr>
            <w:r>
              <w:rPr/>
              <w:t>​</w:t>
            </w:r>
          </w:p>
        </w:tc>
        <w:tc>
          <w:tcPr>
            <w:tcW w:w="165" w:type="dxa"/>
            <w:tcBorders>
              <w:bottom w:val="single" w:sz="2" w:space="0" w:color="4B5088"/>
            </w:tcBorders>
            <w:tcMar>
              <w:bottom w:w="76" w:type="dxa"/>
            </w:tcMar>
            <w:vAlign w:val="center"/>
          </w:tcPr>
          <w:p>
            <w:pPr>
              <w:pStyle w:val="TableContents"/>
              <w:bidi w:val="0"/>
              <w:spacing w:before="0" w:after="283"/>
              <w:jc w:val="right"/>
              <w:rPr/>
            </w:pPr>
            <w:r>
              <w:rPr/>
              <w:t>​</w:t>
            </w:r>
          </w:p>
        </w:tc>
        <w:tc>
          <w:tcPr>
            <w:tcW w:w="1618" w:type="dxa"/>
            <w:tcBorders>
              <w:bottom w:val="single" w:sz="2" w:space="0" w:color="4B5088"/>
            </w:tcBorders>
            <w:tcMar>
              <w:bottom w:w="76" w:type="dxa"/>
            </w:tcMar>
            <w:vAlign w:val="center"/>
          </w:tcPr>
          <w:p>
            <w:pPr>
              <w:pStyle w:val="TableContents"/>
              <w:bidi w:val="0"/>
              <w:spacing w:before="0" w:after="283"/>
              <w:jc w:val="right"/>
              <w:rPr/>
            </w:pPr>
            <w:r>
              <w:rPr/>
              <w:t>6,439,504</w:t>
            </w:r>
          </w:p>
        </w:tc>
        <w:tc>
          <w:tcPr>
            <w:tcW w:w="166"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 w:type="dxa"/>
            <w:tcBorders>
              <w:bottom w:val="single" w:sz="2" w:space="0" w:color="4B5088"/>
            </w:tcBorders>
            <w:tcMar>
              <w:bottom w:w="28" w:type="dxa"/>
            </w:tcMar>
            <w:vAlign w:val="center"/>
          </w:tcPr>
          <w:p>
            <w:pPr>
              <w:pStyle w:val="TableContents"/>
              <w:bidi w:val="0"/>
              <w:spacing w:before="0" w:after="283"/>
              <w:jc w:val="left"/>
              <w:rPr/>
            </w:pPr>
            <w:r>
              <w:rPr/>
              <w:t>​</w:t>
            </w:r>
          </w:p>
        </w:tc>
        <w:tc>
          <w:tcPr>
            <w:tcW w:w="112" w:type="dxa"/>
            <w:tcBorders>
              <w:bottom w:val="single" w:sz="2" w:space="0" w:color="4B5088"/>
            </w:tcBorders>
            <w:tcMar>
              <w:bottom w:w="76" w:type="dxa"/>
            </w:tcMar>
            <w:vAlign w:val="center"/>
          </w:tcPr>
          <w:p>
            <w:pPr>
              <w:pStyle w:val="TableContents"/>
              <w:bidi w:val="0"/>
              <w:spacing w:before="0" w:after="283"/>
              <w:jc w:val="right"/>
              <w:rPr/>
            </w:pPr>
            <w:r>
              <w:rPr/>
              <w:t>​</w:t>
            </w:r>
          </w:p>
        </w:tc>
        <w:tc>
          <w:tcPr>
            <w:tcW w:w="1257" w:type="dxa"/>
            <w:tcBorders>
              <w:bottom w:val="single" w:sz="2" w:space="0" w:color="4B5088"/>
            </w:tcBorders>
            <w:tcMar>
              <w:bottom w:w="76" w:type="dxa"/>
            </w:tcMar>
            <w:vAlign w:val="center"/>
          </w:tcPr>
          <w:p>
            <w:pPr>
              <w:pStyle w:val="TableContents"/>
              <w:bidi w:val="0"/>
              <w:spacing w:before="0" w:after="283"/>
              <w:jc w:val="right"/>
              <w:rPr/>
            </w:pPr>
            <w:r>
              <w:rPr/>
              <w:t>(5,716,304)</w:t>
            </w:r>
          </w:p>
        </w:tc>
        <w:tc>
          <w:tcPr>
            <w:tcW w:w="112"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1216" w:type="dxa"/>
            <w:tcBorders>
              <w:bottom w:val="single" w:sz="2" w:space="0" w:color="4B5088"/>
            </w:tcBorders>
            <w:tcMar>
              <w:bottom w:w="76" w:type="dxa"/>
            </w:tcMar>
            <w:vAlign w:val="center"/>
          </w:tcPr>
          <w:p>
            <w:pPr>
              <w:pStyle w:val="TableContents"/>
              <w:bidi w:val="0"/>
              <w:spacing w:before="0" w:after="283"/>
              <w:jc w:val="right"/>
              <w:rPr/>
            </w:pPr>
            <w:r>
              <w:rPr/>
              <w:t>9,907,397</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9" w:type="dxa"/>
            <w:tcBorders>
              <w:bottom w:val="single" w:sz="2" w:space="0" w:color="4B5088"/>
            </w:tcBorders>
            <w:tcMar>
              <w:bottom w:w="28" w:type="dxa"/>
            </w:tcMar>
            <w:vAlign w:val="center"/>
          </w:tcPr>
          <w:p>
            <w:pPr>
              <w:pStyle w:val="TableContents"/>
              <w:bidi w:val="0"/>
              <w:spacing w:before="0" w:after="283"/>
              <w:jc w:val="left"/>
              <w:rPr/>
            </w:pPr>
            <w:r>
              <w:rPr/>
              <w:t>​</w:t>
            </w:r>
          </w:p>
        </w:tc>
        <w:tc>
          <w:tcPr>
            <w:tcW w:w="119" w:type="dxa"/>
            <w:tcBorders>
              <w:bottom w:val="single" w:sz="2" w:space="0" w:color="4B5088"/>
            </w:tcBorders>
            <w:tcMar>
              <w:bottom w:w="76" w:type="dxa"/>
            </w:tcMar>
            <w:vAlign w:val="center"/>
          </w:tcPr>
          <w:p>
            <w:pPr>
              <w:pStyle w:val="TableContents"/>
              <w:bidi w:val="0"/>
              <w:spacing w:before="0" w:after="283"/>
              <w:jc w:val="right"/>
              <w:rPr/>
            </w:pPr>
            <w:r>
              <w:rPr/>
              <w:t>​</w:t>
            </w:r>
          </w:p>
        </w:tc>
        <w:tc>
          <w:tcPr>
            <w:tcW w:w="1327" w:type="dxa"/>
            <w:tcBorders>
              <w:bottom w:val="single" w:sz="2" w:space="0" w:color="4B5088"/>
            </w:tcBorders>
            <w:tcMar>
              <w:bottom w:w="76" w:type="dxa"/>
            </w:tcMar>
            <w:vAlign w:val="center"/>
          </w:tcPr>
          <w:p>
            <w:pPr>
              <w:pStyle w:val="TableContents"/>
              <w:bidi w:val="0"/>
              <w:spacing w:before="0" w:after="283"/>
              <w:jc w:val="right"/>
              <w:rPr/>
            </w:pPr>
            <w:r>
              <w:rPr/>
              <w:t>10,630,597</w:t>
            </w:r>
          </w:p>
        </w:tc>
        <w:tc>
          <w:tcPr>
            <w:tcW w:w="119"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55" w:type="dxa"/>
            <w:tcBorders>
              <w:bottom w:val="single" w:sz="2" w:space="0" w:color="4B5088"/>
            </w:tcBorders>
            <w:tcMar>
              <w:bottom w:w="76" w:type="dxa"/>
            </w:tcMar>
            <w:vAlign w:val="center"/>
          </w:tcPr>
          <w:p>
            <w:pPr>
              <w:pStyle w:val="TableContents"/>
              <w:bidi w:val="0"/>
              <w:spacing w:before="0" w:after="0"/>
              <w:jc w:val="left"/>
              <w:rPr>
                <w:b/>
                <w:color w:val="1F2668"/>
              </w:rPr>
            </w:pPr>
            <w:r>
              <w:rPr>
                <w:b/>
                <w:color w:val="1F2668"/>
                <w:spacing w:val="-2"/>
              </w:rPr>
              <w:t>2022</w:t>
            </w:r>
            <w:r>
              <w:rPr>
                <w:b/>
                <w:color w:val="1F2668"/>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5" w:type="dxa"/>
            <w:tcBorders>
              <w:bottom w:val="single" w:sz="2" w:space="0" w:color="4B5088"/>
            </w:tcBorders>
            <w:tcMar>
              <w:bottom w:w="28" w:type="dxa"/>
            </w:tcMar>
            <w:vAlign w:val="center"/>
          </w:tcPr>
          <w:p>
            <w:pPr>
              <w:pStyle w:val="TableContents"/>
              <w:bidi w:val="0"/>
              <w:spacing w:before="0" w:after="283"/>
              <w:jc w:val="left"/>
              <w:rPr/>
            </w:pPr>
            <w:r>
              <w:rPr/>
              <w:t>​</w:t>
            </w:r>
          </w:p>
        </w:tc>
        <w:tc>
          <w:tcPr>
            <w:tcW w:w="165" w:type="dxa"/>
            <w:tcBorders>
              <w:bottom w:val="single" w:sz="2" w:space="0" w:color="4B5088"/>
            </w:tcBorders>
            <w:tcMar>
              <w:bottom w:w="76" w:type="dxa"/>
            </w:tcMar>
            <w:vAlign w:val="center"/>
          </w:tcPr>
          <w:p>
            <w:pPr>
              <w:pStyle w:val="TableContents"/>
              <w:bidi w:val="0"/>
              <w:spacing w:before="0" w:after="283"/>
              <w:jc w:val="right"/>
              <w:rPr/>
            </w:pPr>
            <w:r>
              <w:rPr/>
              <w:t>​</w:t>
            </w:r>
          </w:p>
        </w:tc>
        <w:tc>
          <w:tcPr>
            <w:tcW w:w="1618" w:type="dxa"/>
            <w:tcBorders>
              <w:bottom w:val="single" w:sz="2" w:space="0" w:color="4B5088"/>
            </w:tcBorders>
            <w:tcMar>
              <w:bottom w:w="76" w:type="dxa"/>
            </w:tcMar>
            <w:vAlign w:val="center"/>
          </w:tcPr>
          <w:p>
            <w:pPr>
              <w:pStyle w:val="TableContents"/>
              <w:bidi w:val="0"/>
              <w:spacing w:before="0" w:after="283"/>
              <w:jc w:val="right"/>
              <w:rPr/>
            </w:pPr>
            <w:r>
              <w:rPr/>
              <w:t>7,006,710</w:t>
            </w:r>
          </w:p>
        </w:tc>
        <w:tc>
          <w:tcPr>
            <w:tcW w:w="166"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 w:type="dxa"/>
            <w:tcBorders>
              <w:bottom w:val="single" w:sz="2" w:space="0" w:color="4B5088"/>
            </w:tcBorders>
            <w:tcMar>
              <w:bottom w:w="28" w:type="dxa"/>
            </w:tcMar>
            <w:vAlign w:val="center"/>
          </w:tcPr>
          <w:p>
            <w:pPr>
              <w:pStyle w:val="TableContents"/>
              <w:bidi w:val="0"/>
              <w:spacing w:before="0" w:after="283"/>
              <w:jc w:val="left"/>
              <w:rPr/>
            </w:pPr>
            <w:r>
              <w:rPr/>
              <w:t>​</w:t>
            </w:r>
          </w:p>
        </w:tc>
        <w:tc>
          <w:tcPr>
            <w:tcW w:w="112" w:type="dxa"/>
            <w:tcBorders>
              <w:bottom w:val="single" w:sz="2" w:space="0" w:color="4B5088"/>
            </w:tcBorders>
            <w:tcMar>
              <w:bottom w:w="76" w:type="dxa"/>
            </w:tcMar>
            <w:vAlign w:val="center"/>
          </w:tcPr>
          <w:p>
            <w:pPr>
              <w:pStyle w:val="TableContents"/>
              <w:bidi w:val="0"/>
              <w:spacing w:before="0" w:after="283"/>
              <w:jc w:val="right"/>
              <w:rPr/>
            </w:pPr>
            <w:r>
              <w:rPr/>
              <w:t>​</w:t>
            </w:r>
          </w:p>
        </w:tc>
        <w:tc>
          <w:tcPr>
            <w:tcW w:w="1257" w:type="dxa"/>
            <w:tcBorders>
              <w:bottom w:val="single" w:sz="2" w:space="0" w:color="4B5088"/>
            </w:tcBorders>
            <w:tcMar>
              <w:bottom w:w="76" w:type="dxa"/>
            </w:tcMar>
            <w:vAlign w:val="center"/>
          </w:tcPr>
          <w:p>
            <w:pPr>
              <w:pStyle w:val="TableContents"/>
              <w:bidi w:val="0"/>
              <w:spacing w:before="0" w:after="283"/>
              <w:jc w:val="right"/>
              <w:rPr/>
            </w:pPr>
            <w:r>
              <w:rPr/>
              <w:t>(6,036,720)</w:t>
            </w:r>
          </w:p>
        </w:tc>
        <w:tc>
          <w:tcPr>
            <w:tcW w:w="112"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1216" w:type="dxa"/>
            <w:tcBorders>
              <w:bottom w:val="single" w:sz="2" w:space="0" w:color="4B5088"/>
            </w:tcBorders>
            <w:tcMar>
              <w:bottom w:w="76" w:type="dxa"/>
            </w:tcMar>
            <w:vAlign w:val="center"/>
          </w:tcPr>
          <w:p>
            <w:pPr>
              <w:pStyle w:val="TableContents"/>
              <w:bidi w:val="0"/>
              <w:spacing w:before="0" w:after="283"/>
              <w:jc w:val="right"/>
              <w:rPr/>
            </w:pPr>
            <w:r>
              <w:rPr/>
              <w:t>(3,359,296)</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9" w:type="dxa"/>
            <w:tcBorders>
              <w:bottom w:val="single" w:sz="2" w:space="0" w:color="4B5088"/>
            </w:tcBorders>
            <w:tcMar>
              <w:bottom w:w="28" w:type="dxa"/>
            </w:tcMar>
            <w:vAlign w:val="center"/>
          </w:tcPr>
          <w:p>
            <w:pPr>
              <w:pStyle w:val="TableContents"/>
              <w:bidi w:val="0"/>
              <w:spacing w:before="0" w:after="283"/>
              <w:jc w:val="left"/>
              <w:rPr/>
            </w:pPr>
            <w:r>
              <w:rPr/>
              <w:t>​</w:t>
            </w:r>
          </w:p>
        </w:tc>
        <w:tc>
          <w:tcPr>
            <w:tcW w:w="119" w:type="dxa"/>
            <w:tcBorders>
              <w:bottom w:val="single" w:sz="2" w:space="0" w:color="4B5088"/>
            </w:tcBorders>
            <w:tcMar>
              <w:bottom w:w="76" w:type="dxa"/>
            </w:tcMar>
            <w:vAlign w:val="center"/>
          </w:tcPr>
          <w:p>
            <w:pPr>
              <w:pStyle w:val="TableContents"/>
              <w:bidi w:val="0"/>
              <w:spacing w:before="0" w:after="283"/>
              <w:jc w:val="right"/>
              <w:rPr/>
            </w:pPr>
            <w:r>
              <w:rPr/>
              <w:t>​</w:t>
            </w:r>
          </w:p>
        </w:tc>
        <w:tc>
          <w:tcPr>
            <w:tcW w:w="1327" w:type="dxa"/>
            <w:tcBorders>
              <w:bottom w:val="single" w:sz="2" w:space="0" w:color="4B5088"/>
            </w:tcBorders>
            <w:tcMar>
              <w:bottom w:w="76" w:type="dxa"/>
            </w:tcMar>
            <w:vAlign w:val="center"/>
          </w:tcPr>
          <w:p>
            <w:pPr>
              <w:pStyle w:val="TableContents"/>
              <w:bidi w:val="0"/>
              <w:spacing w:before="0" w:after="283"/>
              <w:jc w:val="right"/>
              <w:rPr/>
            </w:pPr>
            <w:r>
              <w:rPr/>
              <w:t>(2,389,306)</w:t>
            </w:r>
          </w:p>
        </w:tc>
        <w:tc>
          <w:tcPr>
            <w:tcW w:w="119"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55" w:type="dxa"/>
            <w:tcBorders>
              <w:bottom w:val="single" w:sz="2" w:space="0" w:color="1F2668"/>
            </w:tcBorders>
            <w:tcMar>
              <w:bottom w:w="76" w:type="dxa"/>
            </w:tcMar>
            <w:vAlign w:val="center"/>
          </w:tcPr>
          <w:p>
            <w:pPr>
              <w:pStyle w:val="TableContents"/>
              <w:bidi w:val="0"/>
              <w:spacing w:before="0" w:after="0"/>
              <w:jc w:val="left"/>
              <w:rPr>
                <w:b/>
                <w:color w:val="1F2668"/>
              </w:rPr>
            </w:pPr>
            <w:r>
              <w:rPr>
                <w:b/>
                <w:color w:val="1F2668"/>
                <w:spacing w:val="-2"/>
              </w:rPr>
              <w:t>2021</w:t>
            </w:r>
            <w:r>
              <w:rPr>
                <w:b/>
                <w:color w:val="1F2668"/>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5" w:type="dxa"/>
            <w:tcBorders>
              <w:bottom w:val="single" w:sz="2" w:space="0" w:color="1F2668"/>
            </w:tcBorders>
            <w:tcMar>
              <w:bottom w:w="28" w:type="dxa"/>
            </w:tcMar>
            <w:vAlign w:val="center"/>
          </w:tcPr>
          <w:p>
            <w:pPr>
              <w:pStyle w:val="TableContents"/>
              <w:bidi w:val="0"/>
              <w:spacing w:before="0" w:after="283"/>
              <w:jc w:val="left"/>
              <w:rPr/>
            </w:pPr>
            <w:r>
              <w:rPr/>
              <w:t>​</w:t>
            </w:r>
          </w:p>
        </w:tc>
        <w:tc>
          <w:tcPr>
            <w:tcW w:w="165" w:type="dxa"/>
            <w:tcBorders>
              <w:bottom w:val="single" w:sz="2" w:space="0" w:color="1F2668"/>
            </w:tcBorders>
            <w:tcMar>
              <w:bottom w:w="76" w:type="dxa"/>
            </w:tcMar>
            <w:vAlign w:val="center"/>
          </w:tcPr>
          <w:p>
            <w:pPr>
              <w:pStyle w:val="TableContents"/>
              <w:bidi w:val="0"/>
              <w:spacing w:before="0" w:after="283"/>
              <w:jc w:val="right"/>
              <w:rPr/>
            </w:pPr>
            <w:r>
              <w:rPr/>
              <w:t>​</w:t>
            </w:r>
          </w:p>
        </w:tc>
        <w:tc>
          <w:tcPr>
            <w:tcW w:w="1618" w:type="dxa"/>
            <w:tcBorders>
              <w:bottom w:val="single" w:sz="2" w:space="0" w:color="1F2668"/>
            </w:tcBorders>
            <w:tcMar>
              <w:bottom w:w="76" w:type="dxa"/>
            </w:tcMar>
            <w:vAlign w:val="center"/>
          </w:tcPr>
          <w:p>
            <w:pPr>
              <w:pStyle w:val="TableContents"/>
              <w:bidi w:val="0"/>
              <w:spacing w:before="0" w:after="283"/>
              <w:jc w:val="right"/>
              <w:rPr/>
            </w:pPr>
            <w:r>
              <w:rPr/>
              <w:t>7,711,773</w:t>
            </w:r>
          </w:p>
        </w:tc>
        <w:tc>
          <w:tcPr>
            <w:tcW w:w="166"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 w:type="dxa"/>
            <w:tcBorders>
              <w:bottom w:val="single" w:sz="2" w:space="0" w:color="1F2668"/>
            </w:tcBorders>
            <w:tcMar>
              <w:bottom w:w="28" w:type="dxa"/>
            </w:tcMar>
            <w:vAlign w:val="center"/>
          </w:tcPr>
          <w:p>
            <w:pPr>
              <w:pStyle w:val="TableContents"/>
              <w:bidi w:val="0"/>
              <w:spacing w:before="0" w:after="283"/>
              <w:jc w:val="left"/>
              <w:rPr/>
            </w:pPr>
            <w:r>
              <w:rPr/>
              <w:t>​</w:t>
            </w:r>
          </w:p>
        </w:tc>
        <w:tc>
          <w:tcPr>
            <w:tcW w:w="112" w:type="dxa"/>
            <w:tcBorders>
              <w:bottom w:val="single" w:sz="2" w:space="0" w:color="1F2668"/>
            </w:tcBorders>
            <w:tcMar>
              <w:bottom w:w="76" w:type="dxa"/>
            </w:tcMar>
            <w:vAlign w:val="center"/>
          </w:tcPr>
          <w:p>
            <w:pPr>
              <w:pStyle w:val="TableContents"/>
              <w:bidi w:val="0"/>
              <w:spacing w:before="0" w:after="283"/>
              <w:jc w:val="right"/>
              <w:rPr/>
            </w:pPr>
            <w:r>
              <w:rPr/>
              <w:t>​</w:t>
            </w:r>
          </w:p>
        </w:tc>
        <w:tc>
          <w:tcPr>
            <w:tcW w:w="1257" w:type="dxa"/>
            <w:tcBorders>
              <w:bottom w:val="single" w:sz="2" w:space="0" w:color="1F2668"/>
            </w:tcBorders>
            <w:tcMar>
              <w:bottom w:w="76" w:type="dxa"/>
            </w:tcMar>
            <w:vAlign w:val="center"/>
          </w:tcPr>
          <w:p>
            <w:pPr>
              <w:pStyle w:val="TableContents"/>
              <w:bidi w:val="0"/>
              <w:spacing w:before="0" w:after="283"/>
              <w:jc w:val="right"/>
              <w:rPr/>
            </w:pPr>
            <w:r>
              <w:rPr/>
              <w:t>(6,677,199)</w:t>
            </w:r>
          </w:p>
        </w:tc>
        <w:tc>
          <w:tcPr>
            <w:tcW w:w="112"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76" w:type="dxa"/>
            </w:tcMar>
            <w:vAlign w:val="center"/>
          </w:tcPr>
          <w:p>
            <w:pPr>
              <w:pStyle w:val="TableContents"/>
              <w:bidi w:val="0"/>
              <w:spacing w:before="0" w:after="283"/>
              <w:jc w:val="right"/>
              <w:rPr/>
            </w:pPr>
            <w:r>
              <w:rPr/>
              <w:t>​</w:t>
            </w:r>
          </w:p>
        </w:tc>
        <w:tc>
          <w:tcPr>
            <w:tcW w:w="1216" w:type="dxa"/>
            <w:tcBorders>
              <w:bottom w:val="single" w:sz="2" w:space="0" w:color="1F2668"/>
            </w:tcBorders>
            <w:tcMar>
              <w:bottom w:w="76" w:type="dxa"/>
            </w:tcMar>
            <w:vAlign w:val="center"/>
          </w:tcPr>
          <w:p>
            <w:pPr>
              <w:pStyle w:val="TableContents"/>
              <w:bidi w:val="0"/>
              <w:spacing w:before="0" w:after="283"/>
              <w:jc w:val="right"/>
              <w:rPr/>
            </w:pPr>
            <w:r>
              <w:rPr/>
              <w:t>10,530,465</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9" w:type="dxa"/>
            <w:tcBorders>
              <w:bottom w:val="single" w:sz="2" w:space="0" w:color="1F2668"/>
            </w:tcBorders>
            <w:tcMar>
              <w:bottom w:w="28" w:type="dxa"/>
            </w:tcMar>
            <w:vAlign w:val="center"/>
          </w:tcPr>
          <w:p>
            <w:pPr>
              <w:pStyle w:val="TableContents"/>
              <w:bidi w:val="0"/>
              <w:spacing w:before="0" w:after="283"/>
              <w:jc w:val="left"/>
              <w:rPr/>
            </w:pPr>
            <w:r>
              <w:rPr/>
              <w:t>​</w:t>
            </w:r>
          </w:p>
        </w:tc>
        <w:tc>
          <w:tcPr>
            <w:tcW w:w="119" w:type="dxa"/>
            <w:tcBorders>
              <w:bottom w:val="single" w:sz="2" w:space="0" w:color="1F2668"/>
            </w:tcBorders>
            <w:tcMar>
              <w:bottom w:w="76" w:type="dxa"/>
            </w:tcMar>
            <w:vAlign w:val="center"/>
          </w:tcPr>
          <w:p>
            <w:pPr>
              <w:pStyle w:val="TableContents"/>
              <w:bidi w:val="0"/>
              <w:spacing w:before="0" w:after="283"/>
              <w:jc w:val="right"/>
              <w:rPr/>
            </w:pPr>
            <w:r>
              <w:rPr/>
              <w:t>​</w:t>
            </w:r>
          </w:p>
        </w:tc>
        <w:tc>
          <w:tcPr>
            <w:tcW w:w="1327" w:type="dxa"/>
            <w:tcBorders>
              <w:bottom w:val="single" w:sz="2" w:space="0" w:color="1F2668"/>
            </w:tcBorders>
            <w:tcMar>
              <w:bottom w:w="76" w:type="dxa"/>
            </w:tcMar>
            <w:vAlign w:val="center"/>
          </w:tcPr>
          <w:p>
            <w:pPr>
              <w:pStyle w:val="TableContents"/>
              <w:bidi w:val="0"/>
              <w:spacing w:before="0" w:after="283"/>
              <w:jc w:val="right"/>
              <w:rPr/>
            </w:pPr>
            <w:r>
              <w:rPr/>
              <w:t>11,565,039</w:t>
            </w:r>
          </w:p>
        </w:tc>
        <w:tc>
          <w:tcPr>
            <w:tcW w:w="119" w:type="dxa"/>
            <w:tcBorders>
              <w:bottom w:val="single" w:sz="2" w:space="0" w:color="1F266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before="0" w:after="0"/>
        <w:ind w:left="900" w:right="0" w:hanging="0"/>
        <w:jc w:val="left"/>
        <w:rPr>
          <w:caps w:val="false"/>
          <w:smallCaps w:val="false"/>
          <w:color w:val="1F2668"/>
        </w:rPr>
      </w:pPr>
      <w:r>
        <w:rPr>
          <w:caps w:val="false"/>
          <w:smallCaps w:val="false"/>
          <w:color w:val="1F2668"/>
        </w:rPr>
        <w:t>​</w:t>
      </w:r>
    </w:p>
    <w:p>
      <w:pPr>
        <w:pStyle w:val="TextBody"/>
        <w:bidi w:val="0"/>
        <w:spacing w:lineRule="atLeast" w:line="200" w:before="240" w:after="0"/>
        <w:ind w:left="17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Represents the sum of the amounts reported in the “Stock Awards” column of the Summary Compensation Table for the applicable fiscal year.</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52400" distB="0" distL="254000" distR="0" simplePos="0" locked="0" layoutInCell="1" allowOverlap="1" relativeHeight="808">
                <wp:simplePos x="0" y="0"/>
                <wp:positionH relativeFrom="column">
                  <wp:align>left</wp:align>
                </wp:positionH>
                <wp:positionV relativeFrom="line">
                  <wp:align>top</wp:align>
                </wp:positionV>
                <wp:extent cx="254000" cy="254000"/>
                <wp:effectExtent l="0" t="0" r="0" b="0"/>
                <wp:wrapSquare wrapText="right"/>
                <wp:docPr id="908" name="Frame558"/>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b w:val="false"/>
                                <w:color w:val="000000"/>
                                <w:sz w:val="16"/>
                              </w:rPr>
                            </w:pPr>
                            <w:r>
                              <w:rPr>
                                <w:b w:val="false"/>
                                <w:color w:val="000000"/>
                                <w:spacing w:val="-2"/>
                                <w:sz w:val="16"/>
                              </w:rPr>
                              <w:t>(a)</w:t>
                            </w:r>
                            <w:r>
                              <w:rPr>
                                <w:b w:val="false"/>
                                <w:color w:val="000000"/>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20pt;mso-wrap-distance-right:0pt;mso-wrap-distance-top:12pt;mso-wrap-distance-bottom:0pt;margin-top:12pt;mso-position-vertical:top;mso-position-vertical-relative:text;margin-left:20pt;mso-position-horizontal:left;mso-position-horizontal-relative:text">
                <v:textbox>
                  <w:txbxContent>
                    <w:p>
                      <w:pPr>
                        <w:pStyle w:val="TextBody"/>
                        <w:bidi w:val="0"/>
                        <w:spacing w:lineRule="atLeast" w:line="200" w:before="0" w:after="283"/>
                        <w:jc w:val="left"/>
                        <w:rPr>
                          <w:b w:val="false"/>
                          <w:color w:val="000000"/>
                          <w:sz w:val="16"/>
                        </w:rPr>
                      </w:pPr>
                      <w:r>
                        <w:rPr>
                          <w:b w:val="false"/>
                          <w:color w:val="000000"/>
                          <w:spacing w:val="-2"/>
                          <w:sz w:val="16"/>
                        </w:rPr>
                        <w:t>(a)</w:t>
                      </w:r>
                      <w:r>
                        <w:rPr>
                          <w:b w:val="false"/>
                          <w:color w:val="000000"/>
                          <w:sz w:val="16"/>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1F2668"/>
        </w:rPr>
      </w:pPr>
      <w:r>
        <w:rPr>
          <w:caps w:val="false"/>
          <w:smallCaps w:val="false"/>
          <w:color w:val="1F2668"/>
        </w:rPr>
        <w:t>​</w:t>
      </w:r>
    </w:p>
    <w:p>
      <w:pPr>
        <w:pStyle w:val="TextBody"/>
        <w:bidi w:val="0"/>
        <w:spacing w:lineRule="atLeast" w:line="200" w:before="82" w:after="0"/>
        <w:ind w:left="17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The equity award adjustments for each fiscal year reflect the same methodology set forth in footnote 1, above. The amounts deducted or added in calculating the equity award adjustments are as follows: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2070" distB="0" distL="254000" distR="0" simplePos="0" locked="0" layoutInCell="1" allowOverlap="1" relativeHeight="809">
                <wp:simplePos x="0" y="0"/>
                <wp:positionH relativeFrom="column">
                  <wp:align>left</wp:align>
                </wp:positionH>
                <wp:positionV relativeFrom="line">
                  <wp:align>top</wp:align>
                </wp:positionV>
                <wp:extent cx="254000" cy="254000"/>
                <wp:effectExtent l="0" t="0" r="0" b="0"/>
                <wp:wrapSquare wrapText="right"/>
                <wp:docPr id="909" name="Frame559"/>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b w:val="false"/>
                                <w:color w:val="000000"/>
                                <w:sz w:val="16"/>
                              </w:rPr>
                            </w:pPr>
                            <w:r>
                              <w:rPr>
                                <w:b w:val="false"/>
                                <w:color w:val="000000"/>
                                <w:spacing w:val="-2"/>
                                <w:sz w:val="16"/>
                              </w:rPr>
                              <w:t>(b)</w:t>
                            </w:r>
                            <w:r>
                              <w:rPr>
                                <w:b w:val="false"/>
                                <w:color w:val="000000"/>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20pt;mso-wrap-distance-right:0pt;mso-wrap-distance-top:4.1pt;mso-wrap-distance-bottom:0pt;margin-top:4.1pt;mso-position-vertical:top;mso-position-vertical-relative:text;margin-left:20pt;mso-position-horizontal:left;mso-position-horizontal-relative:text">
                <v:textbox>
                  <w:txbxContent>
                    <w:p>
                      <w:pPr>
                        <w:pStyle w:val="TextBody"/>
                        <w:bidi w:val="0"/>
                        <w:spacing w:lineRule="atLeast" w:line="200" w:before="0" w:after="283"/>
                        <w:jc w:val="left"/>
                        <w:rPr>
                          <w:b w:val="false"/>
                          <w:color w:val="000000"/>
                          <w:sz w:val="16"/>
                        </w:rPr>
                      </w:pPr>
                      <w:r>
                        <w:rPr>
                          <w:b w:val="false"/>
                          <w:color w:val="000000"/>
                          <w:spacing w:val="-2"/>
                          <w:sz w:val="16"/>
                        </w:rPr>
                        <w:t>(b)</w:t>
                      </w:r>
                      <w:r>
                        <w:rPr>
                          <w:b w:val="false"/>
                          <w:color w:val="000000"/>
                          <w:sz w:val="16"/>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1F2668"/>
        </w:rPr>
      </w:pPr>
      <w:r>
        <w:rPr>
          <w:caps w:val="false"/>
          <w:smallCaps w:val="false"/>
          <w:color w:val="1F2668"/>
        </w:rPr>
        <w:t>​</w:t>
      </w:r>
    </w:p>
    <w:tbl>
      <w:tblPr>
        <w:tblW w:w="12029" w:type="dxa"/>
        <w:jc w:val="left"/>
        <w:tblInd w:w="900" w:type="dxa"/>
        <w:tblLayout w:type="fixed"/>
        <w:tblCellMar>
          <w:top w:w="0" w:type="dxa"/>
          <w:left w:w="0" w:type="dxa"/>
          <w:bottom w:w="73" w:type="dxa"/>
          <w:right w:w="0" w:type="dxa"/>
        </w:tblCellMar>
      </w:tblPr>
      <w:tblGrid>
        <w:gridCol w:w="613"/>
        <w:gridCol w:w="109"/>
        <w:gridCol w:w="109"/>
        <w:gridCol w:w="109"/>
        <w:gridCol w:w="109"/>
        <w:gridCol w:w="1066"/>
        <w:gridCol w:w="109"/>
        <w:gridCol w:w="109"/>
        <w:gridCol w:w="109"/>
        <w:gridCol w:w="109"/>
        <w:gridCol w:w="109"/>
        <w:gridCol w:w="1141"/>
        <w:gridCol w:w="109"/>
        <w:gridCol w:w="109"/>
        <w:gridCol w:w="109"/>
        <w:gridCol w:w="109"/>
        <w:gridCol w:w="109"/>
        <w:gridCol w:w="1066"/>
        <w:gridCol w:w="109"/>
        <w:gridCol w:w="109"/>
        <w:gridCol w:w="109"/>
        <w:gridCol w:w="109"/>
        <w:gridCol w:w="109"/>
        <w:gridCol w:w="961"/>
        <w:gridCol w:w="109"/>
        <w:gridCol w:w="109"/>
        <w:gridCol w:w="109"/>
        <w:gridCol w:w="109"/>
        <w:gridCol w:w="109"/>
        <w:gridCol w:w="1141"/>
        <w:gridCol w:w="109"/>
        <w:gridCol w:w="109"/>
        <w:gridCol w:w="109"/>
        <w:gridCol w:w="109"/>
        <w:gridCol w:w="109"/>
        <w:gridCol w:w="886"/>
        <w:gridCol w:w="109"/>
        <w:gridCol w:w="109"/>
        <w:gridCol w:w="109"/>
        <w:gridCol w:w="109"/>
        <w:gridCol w:w="109"/>
        <w:gridCol w:w="1186"/>
        <w:gridCol w:w="109"/>
        <w:gridCol w:w="154"/>
      </w:tblGrid>
      <w:tr>
        <w:trPr/>
        <w:tc>
          <w:tcPr>
            <w:tcW w:w="613" w:type="dxa"/>
            <w:tcBorders>
              <w:bottom w:val="single" w:sz="2" w:space="0" w:color="1F2668"/>
            </w:tcBorders>
            <w:vAlign w:val="center"/>
          </w:tcPr>
          <w:p>
            <w:pPr>
              <w:pStyle w:val="TableContents"/>
              <w:bidi w:val="0"/>
              <w:spacing w:lineRule="atLeast" w:line="142" w:before="0" w:after="0"/>
              <w:jc w:val="left"/>
              <w:rPr/>
            </w:pPr>
            <w:r>
              <w:rPr>
                <w:spacing w:val="-1"/>
              </w:rPr>
              <w:t>Year</w:t>
            </w:r>
            <w:r>
              <w:rPr>
                <w:spacing w:val="-1"/>
                <w:sz w:val="9"/>
              </w:rPr>
              <w:t>(i)</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1F2668"/>
            </w:tcBorders>
            <w:vAlign w:val="center"/>
          </w:tcPr>
          <w:p>
            <w:pPr>
              <w:pStyle w:val="TableContents"/>
              <w:bidi w:val="0"/>
              <w:spacing w:before="0" w:after="0"/>
              <w:jc w:val="right"/>
              <w:rPr/>
            </w:pPr>
            <w:r>
              <w:rPr>
                <w:spacing w:val="-1"/>
              </w:rPr>
              <w:t xml:space="preserve">Average </w:t>
              <w:br/>
              <w:t xml:space="preserve">Year End </w:t>
              <w:br/>
              <w:t xml:space="preserve">Fair Value of </w:t>
              <w:br/>
              <w:t xml:space="preserve">Equity Awards </w:t>
              <w:br/>
              <w:t xml:space="preserve">Granted in </w:t>
              <w:br/>
              <w:t xml:space="preserve">the Year and </w:t>
              <w:br/>
              <w:t xml:space="preserve">Unvested </w:t>
              <w:br/>
              <w:t>($)</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68" w:type="dxa"/>
            <w:gridSpan w:val="4"/>
            <w:tcBorders>
              <w:bottom w:val="single" w:sz="2" w:space="0" w:color="1F2668"/>
            </w:tcBorders>
            <w:vAlign w:val="center"/>
          </w:tcPr>
          <w:p>
            <w:pPr>
              <w:pStyle w:val="TableContents"/>
              <w:bidi w:val="0"/>
              <w:spacing w:before="0" w:after="0"/>
              <w:jc w:val="right"/>
              <w:rPr/>
            </w:pPr>
            <w:r>
              <w:rPr>
                <w:spacing w:val="-1"/>
              </w:rPr>
              <w:t xml:space="preserve">Year over </w:t>
              <w:br/>
              <w:t xml:space="preserve">Year Average </w:t>
              <w:br/>
              <w:t xml:space="preserve">Change in Fair </w:t>
              <w:br/>
              <w:t xml:space="preserve">Value of </w:t>
              <w:br/>
              <w:t xml:space="preserve">Outstanding and </w:t>
              <w:br/>
              <w:t xml:space="preserve">Unvested Equity </w:t>
              <w:br/>
              <w:t>Awards ($)</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1F2668"/>
            </w:tcBorders>
            <w:vAlign w:val="center"/>
          </w:tcPr>
          <w:p>
            <w:pPr>
              <w:pStyle w:val="TableContents"/>
              <w:bidi w:val="0"/>
              <w:spacing w:before="0" w:after="0"/>
              <w:jc w:val="right"/>
              <w:rPr/>
            </w:pPr>
            <w:r>
              <w:rPr>
                <w:spacing w:val="-1"/>
              </w:rPr>
              <w:t xml:space="preserve">Average Fair </w:t>
              <w:br/>
              <w:t xml:space="preserve">Value as of </w:t>
              <w:br/>
              <w:t xml:space="preserve">Vesting Date </w:t>
              <w:br/>
              <w:t xml:space="preserve">of Equity </w:t>
              <w:br/>
              <w:t xml:space="preserve">Awards </w:t>
              <w:br/>
              <w:t xml:space="preserve">Granted and </w:t>
              <w:br/>
              <w:t xml:space="preserve">Vested in </w:t>
              <w:br/>
              <w:t xml:space="preserve">the Year </w:t>
              <w:br/>
              <w:t>($)</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88" w:type="dxa"/>
            <w:gridSpan w:val="4"/>
            <w:tcBorders>
              <w:bottom w:val="single" w:sz="2" w:space="0" w:color="1F2668"/>
            </w:tcBorders>
            <w:vAlign w:val="center"/>
          </w:tcPr>
          <w:p>
            <w:pPr>
              <w:pStyle w:val="TableContents"/>
              <w:bidi w:val="0"/>
              <w:spacing w:before="0" w:after="0"/>
              <w:jc w:val="right"/>
              <w:rPr/>
            </w:pPr>
            <w:r>
              <w:rPr>
                <w:spacing w:val="-1"/>
              </w:rPr>
              <w:t xml:space="preserve">Year over </w:t>
              <w:br/>
              <w:t xml:space="preserve">Year Average </w:t>
              <w:br/>
              <w:t xml:space="preserve">Change in Fair </w:t>
              <w:br/>
              <w:t xml:space="preserve">Value of Equity </w:t>
              <w:br/>
              <w:t xml:space="preserve">Awards Granted </w:t>
              <w:br/>
              <w:t xml:space="preserve">in Prior Years </w:t>
              <w:br/>
              <w:t xml:space="preserve">that Vested in </w:t>
              <w:br/>
              <w:t xml:space="preserve">the Year </w:t>
              <w:br/>
              <w:t>($)</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68" w:type="dxa"/>
            <w:gridSpan w:val="4"/>
            <w:tcBorders>
              <w:bottom w:val="single" w:sz="2" w:space="0" w:color="1F2668"/>
            </w:tcBorders>
            <w:vAlign w:val="center"/>
          </w:tcPr>
          <w:p>
            <w:pPr>
              <w:pStyle w:val="TableContents"/>
              <w:bidi w:val="0"/>
              <w:spacing w:before="0" w:after="0"/>
              <w:jc w:val="right"/>
              <w:rPr/>
            </w:pPr>
            <w:r>
              <w:rPr>
                <w:spacing w:val="-1"/>
              </w:rPr>
              <w:t xml:space="preserve">Average Fair </w:t>
              <w:br/>
              <w:t xml:space="preserve">Value at the End </w:t>
              <w:br/>
              <w:t xml:space="preserve">of the Prior Year </w:t>
              <w:br/>
              <w:t xml:space="preserve">of Equity Awards </w:t>
              <w:br/>
              <w:t xml:space="preserve">that Failed to </w:t>
              <w:br/>
              <w:t xml:space="preserve">Meet Vesting </w:t>
              <w:br/>
              <w:t xml:space="preserve">Conditions in </w:t>
              <w:br/>
              <w:t xml:space="preserve">the Year </w:t>
              <w:br/>
              <w:t>($)</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1F2668"/>
            </w:tcBorders>
            <w:vAlign w:val="center"/>
          </w:tcPr>
          <w:p>
            <w:pPr>
              <w:pStyle w:val="TableContents"/>
              <w:bidi w:val="0"/>
              <w:spacing w:before="0" w:after="0"/>
              <w:jc w:val="right"/>
              <w:rPr/>
            </w:pPr>
            <w:r>
              <w:rPr>
                <w:spacing w:val="-1"/>
              </w:rPr>
              <w:t xml:space="preserve">Average </w:t>
              <w:br/>
              <w:t xml:space="preserve">Value of </w:t>
              <w:br/>
              <w:t xml:space="preserve">Dividends </w:t>
              <w:br/>
              <w:t xml:space="preserve">or other </w:t>
              <w:br/>
              <w:t xml:space="preserve">Earnings </w:t>
              <w:br/>
              <w:t xml:space="preserve">Paid on </w:t>
              <w:br/>
              <w:t xml:space="preserve">Awards </w:t>
              <w:br/>
              <w:t>($)</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3" w:type="dxa"/>
            <w:gridSpan w:val="4"/>
            <w:tcBorders>
              <w:bottom w:val="single" w:sz="2" w:space="0" w:color="1F2668"/>
            </w:tcBorders>
            <w:vAlign w:val="center"/>
          </w:tcPr>
          <w:p>
            <w:pPr>
              <w:pStyle w:val="TableContents"/>
              <w:bidi w:val="0"/>
              <w:spacing w:before="0" w:after="0"/>
              <w:jc w:val="right"/>
              <w:rPr/>
            </w:pPr>
            <w:r>
              <w:rPr>
                <w:spacing w:val="-1"/>
              </w:rPr>
              <w:t xml:space="preserve">Total Equity </w:t>
              <w:br/>
              <w:t xml:space="preserve">Award </w:t>
              <w:br/>
              <w:t xml:space="preserve">Adjustments </w:t>
              <w:br/>
              <w:t>($)</w:t>
            </w:r>
            <w:r>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13" w:type="dxa"/>
            <w:tcBorders>
              <w:bottom w:val="single" w:sz="2" w:space="0" w:color="4B5088"/>
            </w:tcBorders>
            <w:tcMar>
              <w:bottom w:w="76" w:type="dxa"/>
            </w:tcMar>
            <w:vAlign w:val="center"/>
          </w:tcPr>
          <w:p>
            <w:pPr>
              <w:pStyle w:val="TableContents"/>
              <w:bidi w:val="0"/>
              <w:spacing w:before="0" w:after="0"/>
              <w:jc w:val="left"/>
              <w:rPr>
                <w:b/>
                <w:color w:val="1F2668"/>
              </w:rPr>
            </w:pPr>
            <w:r>
              <w:rPr>
                <w:b/>
                <w:color w:val="1F2668"/>
                <w:spacing w:val="-2"/>
              </w:rPr>
              <w:t>2025</w:t>
            </w:r>
            <w:r>
              <w:rPr>
                <w:b/>
                <w:color w:val="1F2668"/>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1066" w:type="dxa"/>
            <w:tcBorders>
              <w:bottom w:val="single" w:sz="2" w:space="0" w:color="4B5088"/>
            </w:tcBorders>
            <w:tcMar>
              <w:bottom w:w="76" w:type="dxa"/>
            </w:tcMar>
            <w:vAlign w:val="center"/>
          </w:tcPr>
          <w:p>
            <w:pPr>
              <w:pStyle w:val="TableContents"/>
              <w:bidi w:val="0"/>
              <w:spacing w:before="0" w:after="283"/>
              <w:jc w:val="right"/>
              <w:rPr/>
            </w:pPr>
            <w:r>
              <w:rPr/>
              <w:t>1,620,848</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1141" w:type="dxa"/>
            <w:tcBorders>
              <w:bottom w:val="single" w:sz="2" w:space="0" w:color="4B5088"/>
            </w:tcBorders>
            <w:tcMar>
              <w:bottom w:w="76" w:type="dxa"/>
            </w:tcMar>
            <w:vAlign w:val="center"/>
          </w:tcPr>
          <w:p>
            <w:pPr>
              <w:pStyle w:val="TableContents"/>
              <w:bidi w:val="0"/>
              <w:spacing w:before="0" w:after="283"/>
              <w:jc w:val="right"/>
              <w:rPr/>
            </w:pPr>
            <w:r>
              <w:rPr/>
              <w:t>(605,654)</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1066" w:type="dxa"/>
            <w:tcBorders>
              <w:bottom w:val="single" w:sz="2" w:space="0" w:color="4B5088"/>
            </w:tcBorders>
            <w:tcMar>
              <w:bottom w:w="76" w:type="dxa"/>
            </w:tcMar>
            <w:vAlign w:val="center"/>
          </w:tcPr>
          <w:p>
            <w:pPr>
              <w:pStyle w:val="TableContents"/>
              <w:bidi w:val="0"/>
              <w:spacing w:before="0" w:after="283"/>
              <w:jc w:val="right"/>
              <w:rPr/>
            </w:pPr>
            <w:r>
              <w:rPr/>
              <w:t>1,494,361</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961" w:type="dxa"/>
            <w:tcBorders>
              <w:bottom w:val="single" w:sz="2" w:space="0" w:color="4B5088"/>
            </w:tcBorders>
            <w:tcMar>
              <w:bottom w:w="76" w:type="dxa"/>
            </w:tcMar>
            <w:vAlign w:val="center"/>
          </w:tcPr>
          <w:p>
            <w:pPr>
              <w:pStyle w:val="TableContents"/>
              <w:bidi w:val="0"/>
              <w:spacing w:before="0" w:after="283"/>
              <w:jc w:val="right"/>
              <w:rPr/>
            </w:pPr>
            <w:r>
              <w:rPr/>
              <w:t>(496,766)</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1141" w:type="dxa"/>
            <w:tcBorders>
              <w:bottom w:val="single" w:sz="2" w:space="0" w:color="4B5088"/>
            </w:tcBorders>
            <w:tcMar>
              <w:bottom w:w="76"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886" w:type="dxa"/>
            <w:tcBorders>
              <w:bottom w:val="single" w:sz="2" w:space="0" w:color="4B5088"/>
            </w:tcBorders>
            <w:tcMar>
              <w:bottom w:w="76" w:type="dxa"/>
            </w:tcMar>
            <w:vAlign w:val="center"/>
          </w:tcPr>
          <w:p>
            <w:pPr>
              <w:pStyle w:val="TableContents"/>
              <w:bidi w:val="0"/>
              <w:spacing w:before="0" w:after="283"/>
              <w:jc w:val="right"/>
              <w:rPr/>
            </w:pPr>
            <w:r>
              <w:rPr/>
              <w:t>335,870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1186" w:type="dxa"/>
            <w:tcBorders>
              <w:bottom w:val="single" w:sz="2" w:space="0" w:color="4B5088"/>
            </w:tcBorders>
            <w:tcMar>
              <w:bottom w:w="76" w:type="dxa"/>
            </w:tcMar>
            <w:vAlign w:val="center"/>
          </w:tcPr>
          <w:p>
            <w:pPr>
              <w:pStyle w:val="TableContents"/>
              <w:bidi w:val="0"/>
              <w:spacing w:before="0" w:after="283"/>
              <w:jc w:val="right"/>
              <w:rPr/>
            </w:pPr>
            <w:r>
              <w:rPr/>
              <w:t>2,348,659</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13" w:type="dxa"/>
            <w:tcBorders>
              <w:bottom w:val="single" w:sz="2" w:space="0" w:color="4B5088"/>
            </w:tcBorders>
            <w:tcMar>
              <w:bottom w:w="76" w:type="dxa"/>
            </w:tcMar>
            <w:vAlign w:val="center"/>
          </w:tcPr>
          <w:p>
            <w:pPr>
              <w:pStyle w:val="TableContents"/>
              <w:bidi w:val="0"/>
              <w:spacing w:before="0" w:after="0"/>
              <w:jc w:val="left"/>
              <w:rPr>
                <w:b/>
                <w:color w:val="1F2668"/>
              </w:rPr>
            </w:pPr>
            <w:r>
              <w:rPr>
                <w:b/>
                <w:color w:val="1F2668"/>
                <w:spacing w:val="-2"/>
              </w:rPr>
              <w:t>2024</w:t>
            </w:r>
            <w:r>
              <w:rPr>
                <w:b/>
                <w:color w:val="1F2668"/>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1066" w:type="dxa"/>
            <w:tcBorders>
              <w:bottom w:val="single" w:sz="2" w:space="0" w:color="4B5088"/>
            </w:tcBorders>
            <w:tcMar>
              <w:bottom w:w="76" w:type="dxa"/>
            </w:tcMar>
            <w:vAlign w:val="center"/>
          </w:tcPr>
          <w:p>
            <w:pPr>
              <w:pStyle w:val="TableContents"/>
              <w:bidi w:val="0"/>
              <w:spacing w:before="0" w:after="283"/>
              <w:jc w:val="right"/>
              <w:rPr/>
            </w:pPr>
            <w:r>
              <w:rPr/>
              <w:t>2,926,178</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1141" w:type="dxa"/>
            <w:tcBorders>
              <w:bottom w:val="single" w:sz="2" w:space="0" w:color="4B5088"/>
            </w:tcBorders>
            <w:tcMar>
              <w:bottom w:w="76" w:type="dxa"/>
            </w:tcMar>
            <w:vAlign w:val="center"/>
          </w:tcPr>
          <w:p>
            <w:pPr>
              <w:pStyle w:val="TableContents"/>
              <w:bidi w:val="0"/>
              <w:spacing w:before="0" w:after="283"/>
              <w:jc w:val="right"/>
              <w:rPr/>
            </w:pPr>
            <w:r>
              <w:rPr/>
              <w:t>1,441,913</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1066" w:type="dxa"/>
            <w:tcBorders>
              <w:bottom w:val="single" w:sz="2" w:space="0" w:color="4B5088"/>
            </w:tcBorders>
            <w:tcMar>
              <w:bottom w:w="76" w:type="dxa"/>
            </w:tcMar>
            <w:vAlign w:val="center"/>
          </w:tcPr>
          <w:p>
            <w:pPr>
              <w:pStyle w:val="TableContents"/>
              <w:bidi w:val="0"/>
              <w:spacing w:before="0" w:after="283"/>
              <w:jc w:val="right"/>
              <w:rPr/>
            </w:pPr>
            <w:r>
              <w:rPr/>
              <w:t>1,167,638</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961" w:type="dxa"/>
            <w:tcBorders>
              <w:bottom w:val="single" w:sz="2" w:space="0" w:color="4B5088"/>
            </w:tcBorders>
            <w:tcMar>
              <w:bottom w:w="76" w:type="dxa"/>
            </w:tcMar>
            <w:vAlign w:val="center"/>
          </w:tcPr>
          <w:p>
            <w:pPr>
              <w:pStyle w:val="TableContents"/>
              <w:bidi w:val="0"/>
              <w:spacing w:before="0" w:after="283"/>
              <w:jc w:val="right"/>
              <w:rPr/>
            </w:pPr>
            <w:r>
              <w:rPr/>
              <w:t>294,451</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1141" w:type="dxa"/>
            <w:tcBorders>
              <w:bottom w:val="single" w:sz="2" w:space="0" w:color="4B5088"/>
            </w:tcBorders>
            <w:tcMar>
              <w:bottom w:w="76"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886" w:type="dxa"/>
            <w:tcBorders>
              <w:bottom w:val="single" w:sz="2" w:space="0" w:color="4B5088"/>
            </w:tcBorders>
            <w:tcMar>
              <w:bottom w:w="76" w:type="dxa"/>
            </w:tcMar>
            <w:vAlign w:val="center"/>
          </w:tcPr>
          <w:p>
            <w:pPr>
              <w:pStyle w:val="TableContents"/>
              <w:bidi w:val="0"/>
              <w:spacing w:before="0" w:after="283"/>
              <w:jc w:val="right"/>
              <w:rPr/>
            </w:pPr>
            <w:r>
              <w:rPr/>
              <w:t>327,964</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1186" w:type="dxa"/>
            <w:tcBorders>
              <w:bottom w:val="single" w:sz="2" w:space="0" w:color="4B5088"/>
            </w:tcBorders>
            <w:tcMar>
              <w:bottom w:w="76" w:type="dxa"/>
            </w:tcMar>
            <w:vAlign w:val="center"/>
          </w:tcPr>
          <w:p>
            <w:pPr>
              <w:pStyle w:val="TableContents"/>
              <w:bidi w:val="0"/>
              <w:spacing w:before="0" w:after="283"/>
              <w:jc w:val="right"/>
              <w:rPr/>
            </w:pPr>
            <w:r>
              <w:rPr/>
              <w:t>6,158,144</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13" w:type="dxa"/>
            <w:tcBorders>
              <w:bottom w:val="single" w:sz="2" w:space="0" w:color="4B5088"/>
            </w:tcBorders>
            <w:tcMar>
              <w:bottom w:w="76" w:type="dxa"/>
            </w:tcMar>
            <w:vAlign w:val="center"/>
          </w:tcPr>
          <w:p>
            <w:pPr>
              <w:pStyle w:val="TableContents"/>
              <w:bidi w:val="0"/>
              <w:spacing w:before="0" w:after="0"/>
              <w:jc w:val="left"/>
              <w:rPr>
                <w:b/>
                <w:color w:val="1F2668"/>
              </w:rPr>
            </w:pPr>
            <w:r>
              <w:rPr>
                <w:b/>
                <w:color w:val="1F2668"/>
                <w:spacing w:val="-2"/>
              </w:rPr>
              <w:t>2023</w:t>
            </w:r>
            <w:r>
              <w:rPr>
                <w:b/>
                <w:color w:val="1F2668"/>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1066" w:type="dxa"/>
            <w:tcBorders>
              <w:bottom w:val="single" w:sz="2" w:space="0" w:color="4B5088"/>
            </w:tcBorders>
            <w:tcMar>
              <w:bottom w:w="76" w:type="dxa"/>
            </w:tcMar>
            <w:vAlign w:val="center"/>
          </w:tcPr>
          <w:p>
            <w:pPr>
              <w:pStyle w:val="TableContents"/>
              <w:bidi w:val="0"/>
              <w:spacing w:before="0" w:after="283"/>
              <w:jc w:val="right"/>
              <w:rPr/>
            </w:pPr>
            <w:r>
              <w:rPr/>
              <w:t>6,660,330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1141" w:type="dxa"/>
            <w:tcBorders>
              <w:bottom w:val="single" w:sz="2" w:space="0" w:color="4B5088"/>
            </w:tcBorders>
            <w:tcMar>
              <w:bottom w:w="76" w:type="dxa"/>
            </w:tcMar>
            <w:vAlign w:val="center"/>
          </w:tcPr>
          <w:p>
            <w:pPr>
              <w:pStyle w:val="TableContents"/>
              <w:bidi w:val="0"/>
              <w:spacing w:before="0" w:after="283"/>
              <w:jc w:val="right"/>
              <w:rPr/>
            </w:pPr>
            <w:r>
              <w:rPr/>
              <w:t>1,494,511</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1066" w:type="dxa"/>
            <w:tcBorders>
              <w:bottom w:val="single" w:sz="2" w:space="0" w:color="4B5088"/>
            </w:tcBorders>
            <w:tcMar>
              <w:bottom w:w="76" w:type="dxa"/>
            </w:tcMar>
            <w:vAlign w:val="center"/>
          </w:tcPr>
          <w:p>
            <w:pPr>
              <w:pStyle w:val="TableContents"/>
              <w:bidi w:val="0"/>
              <w:spacing w:before="0" w:after="283"/>
              <w:jc w:val="right"/>
              <w:rPr/>
            </w:pPr>
            <w:r>
              <w:rPr/>
              <w:t>538,835</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961" w:type="dxa"/>
            <w:tcBorders>
              <w:bottom w:val="single" w:sz="2" w:space="0" w:color="4B5088"/>
            </w:tcBorders>
            <w:tcMar>
              <w:bottom w:w="76" w:type="dxa"/>
            </w:tcMar>
            <w:vAlign w:val="center"/>
          </w:tcPr>
          <w:p>
            <w:pPr>
              <w:pStyle w:val="TableContents"/>
              <w:bidi w:val="0"/>
              <w:spacing w:before="0" w:after="283"/>
              <w:jc w:val="right"/>
              <w:rPr/>
            </w:pPr>
            <w:r>
              <w:rPr/>
              <w:t>635,195</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1141" w:type="dxa"/>
            <w:tcBorders>
              <w:bottom w:val="single" w:sz="2" w:space="0" w:color="4B5088"/>
            </w:tcBorders>
            <w:tcMar>
              <w:bottom w:w="76"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886" w:type="dxa"/>
            <w:tcBorders>
              <w:bottom w:val="single" w:sz="2" w:space="0" w:color="4B5088"/>
            </w:tcBorders>
            <w:tcMar>
              <w:bottom w:w="76" w:type="dxa"/>
            </w:tcMar>
            <w:vAlign w:val="center"/>
          </w:tcPr>
          <w:p>
            <w:pPr>
              <w:pStyle w:val="TableContents"/>
              <w:bidi w:val="0"/>
              <w:spacing w:before="0" w:after="283"/>
              <w:jc w:val="right"/>
              <w:rPr/>
            </w:pPr>
            <w:r>
              <w:rPr/>
              <w:t>578,527</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1186" w:type="dxa"/>
            <w:tcBorders>
              <w:bottom w:val="single" w:sz="2" w:space="0" w:color="4B5088"/>
            </w:tcBorders>
            <w:tcMar>
              <w:bottom w:w="76" w:type="dxa"/>
            </w:tcMar>
            <w:vAlign w:val="center"/>
          </w:tcPr>
          <w:p>
            <w:pPr>
              <w:pStyle w:val="TableContents"/>
              <w:bidi w:val="0"/>
              <w:spacing w:before="0" w:after="283"/>
              <w:jc w:val="right"/>
              <w:rPr/>
            </w:pPr>
            <w:r>
              <w:rPr/>
              <w:t>9,907,397</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13" w:type="dxa"/>
            <w:tcBorders>
              <w:bottom w:val="single" w:sz="2" w:space="0" w:color="4B5088"/>
            </w:tcBorders>
            <w:tcMar>
              <w:bottom w:w="76" w:type="dxa"/>
            </w:tcMar>
            <w:vAlign w:val="center"/>
          </w:tcPr>
          <w:p>
            <w:pPr>
              <w:pStyle w:val="TableContents"/>
              <w:bidi w:val="0"/>
              <w:spacing w:before="0" w:after="0"/>
              <w:jc w:val="left"/>
              <w:rPr>
                <w:b/>
                <w:color w:val="1F2668"/>
              </w:rPr>
            </w:pPr>
            <w:r>
              <w:rPr>
                <w:b/>
                <w:color w:val="1F2668"/>
                <w:spacing w:val="-2"/>
              </w:rPr>
              <w:t>2022</w:t>
            </w:r>
            <w:r>
              <w:rPr>
                <w:b/>
                <w:color w:val="1F2668"/>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1066" w:type="dxa"/>
            <w:tcBorders>
              <w:bottom w:val="single" w:sz="2" w:space="0" w:color="4B5088"/>
            </w:tcBorders>
            <w:tcMar>
              <w:bottom w:w="76" w:type="dxa"/>
            </w:tcMar>
            <w:vAlign w:val="center"/>
          </w:tcPr>
          <w:p>
            <w:pPr>
              <w:pStyle w:val="TableContents"/>
              <w:bidi w:val="0"/>
              <w:spacing w:before="0" w:after="283"/>
              <w:jc w:val="right"/>
              <w:rPr/>
            </w:pPr>
            <w:r>
              <w:rPr/>
              <w:t>1,882,454</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1141" w:type="dxa"/>
            <w:tcBorders>
              <w:bottom w:val="single" w:sz="2" w:space="0" w:color="4B5088"/>
            </w:tcBorders>
            <w:tcMar>
              <w:bottom w:w="76" w:type="dxa"/>
            </w:tcMar>
            <w:vAlign w:val="center"/>
          </w:tcPr>
          <w:p>
            <w:pPr>
              <w:pStyle w:val="TableContents"/>
              <w:bidi w:val="0"/>
              <w:spacing w:before="0" w:after="283"/>
              <w:jc w:val="right"/>
              <w:rPr/>
            </w:pPr>
            <w:r>
              <w:rPr/>
              <w:t>(4,551,556)</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1066" w:type="dxa"/>
            <w:tcBorders>
              <w:bottom w:val="single" w:sz="2" w:space="0" w:color="4B5088"/>
            </w:tcBorders>
            <w:tcMar>
              <w:bottom w:w="76" w:type="dxa"/>
            </w:tcMar>
            <w:vAlign w:val="center"/>
          </w:tcPr>
          <w:p>
            <w:pPr>
              <w:pStyle w:val="TableContents"/>
              <w:bidi w:val="0"/>
              <w:spacing w:before="0" w:after="283"/>
              <w:jc w:val="right"/>
              <w:rPr/>
            </w:pPr>
            <w:r>
              <w:rPr/>
              <w:t>905,033</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961" w:type="dxa"/>
            <w:tcBorders>
              <w:bottom w:val="single" w:sz="2" w:space="0" w:color="4B5088"/>
            </w:tcBorders>
            <w:tcMar>
              <w:bottom w:w="76" w:type="dxa"/>
            </w:tcMar>
            <w:vAlign w:val="center"/>
          </w:tcPr>
          <w:p>
            <w:pPr>
              <w:pStyle w:val="TableContents"/>
              <w:bidi w:val="0"/>
              <w:spacing w:before="0" w:after="283"/>
              <w:jc w:val="right"/>
              <w:rPr/>
            </w:pPr>
            <w:r>
              <w:rPr/>
              <w:t>(638,835)</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1141" w:type="dxa"/>
            <w:tcBorders>
              <w:bottom w:val="single" w:sz="2" w:space="0" w:color="4B5088"/>
            </w:tcBorders>
            <w:tcMar>
              <w:bottom w:w="76" w:type="dxa"/>
            </w:tcMar>
            <w:vAlign w:val="center"/>
          </w:tcPr>
          <w:p>
            <w:pPr>
              <w:pStyle w:val="TableContents"/>
              <w:bidi w:val="0"/>
              <w:spacing w:before="0" w:after="283"/>
              <w:jc w:val="right"/>
              <w:rPr/>
            </w:pPr>
            <w:r>
              <w:rPr/>
              <w:t>(1,544,649)</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886" w:type="dxa"/>
            <w:tcBorders>
              <w:bottom w:val="single" w:sz="2" w:space="0" w:color="4B5088"/>
            </w:tcBorders>
            <w:tcMar>
              <w:bottom w:w="76" w:type="dxa"/>
            </w:tcMar>
            <w:vAlign w:val="center"/>
          </w:tcPr>
          <w:p>
            <w:pPr>
              <w:pStyle w:val="TableContents"/>
              <w:bidi w:val="0"/>
              <w:spacing w:before="0" w:after="283"/>
              <w:jc w:val="right"/>
              <w:rPr/>
            </w:pPr>
            <w:r>
              <w:rPr/>
              <w:t>588,257</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1186" w:type="dxa"/>
            <w:tcBorders>
              <w:bottom w:val="single" w:sz="2" w:space="0" w:color="4B5088"/>
            </w:tcBorders>
            <w:tcMar>
              <w:bottom w:w="76" w:type="dxa"/>
            </w:tcMar>
            <w:vAlign w:val="center"/>
          </w:tcPr>
          <w:p>
            <w:pPr>
              <w:pStyle w:val="TableContents"/>
              <w:bidi w:val="0"/>
              <w:spacing w:before="0" w:after="283"/>
              <w:jc w:val="right"/>
              <w:rPr/>
            </w:pPr>
            <w:r>
              <w:rPr/>
              <w:t>(3,359,296)</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13" w:type="dxa"/>
            <w:tcBorders>
              <w:bottom w:val="single" w:sz="2" w:space="0" w:color="1F2668"/>
            </w:tcBorders>
            <w:tcMar>
              <w:bottom w:w="76" w:type="dxa"/>
            </w:tcMar>
            <w:vAlign w:val="center"/>
          </w:tcPr>
          <w:p>
            <w:pPr>
              <w:pStyle w:val="TableContents"/>
              <w:bidi w:val="0"/>
              <w:spacing w:before="0" w:after="0"/>
              <w:jc w:val="left"/>
              <w:rPr>
                <w:b/>
                <w:color w:val="1F2668"/>
              </w:rPr>
            </w:pPr>
            <w:r>
              <w:rPr>
                <w:b/>
                <w:color w:val="1F2668"/>
                <w:spacing w:val="-2"/>
              </w:rPr>
              <w:t>2021</w:t>
            </w:r>
            <w:r>
              <w:rPr>
                <w:b/>
                <w:color w:val="1F2668"/>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76" w:type="dxa"/>
            </w:tcMar>
            <w:vAlign w:val="center"/>
          </w:tcPr>
          <w:p>
            <w:pPr>
              <w:pStyle w:val="TableContents"/>
              <w:bidi w:val="0"/>
              <w:spacing w:before="0" w:after="283"/>
              <w:jc w:val="right"/>
              <w:rPr/>
            </w:pPr>
            <w:r>
              <w:rPr/>
              <w:t>​</w:t>
            </w:r>
          </w:p>
        </w:tc>
        <w:tc>
          <w:tcPr>
            <w:tcW w:w="1066" w:type="dxa"/>
            <w:tcBorders>
              <w:bottom w:val="single" w:sz="2" w:space="0" w:color="1F2668"/>
            </w:tcBorders>
            <w:tcMar>
              <w:bottom w:w="76" w:type="dxa"/>
            </w:tcMar>
            <w:vAlign w:val="center"/>
          </w:tcPr>
          <w:p>
            <w:pPr>
              <w:pStyle w:val="TableContents"/>
              <w:bidi w:val="0"/>
              <w:spacing w:before="0" w:after="283"/>
              <w:jc w:val="right"/>
              <w:rPr/>
            </w:pPr>
            <w:r>
              <w:rPr/>
              <w:t>8,850,588</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76" w:type="dxa"/>
            </w:tcMar>
            <w:vAlign w:val="center"/>
          </w:tcPr>
          <w:p>
            <w:pPr>
              <w:pStyle w:val="TableContents"/>
              <w:bidi w:val="0"/>
              <w:spacing w:before="0" w:after="283"/>
              <w:jc w:val="right"/>
              <w:rPr/>
            </w:pPr>
            <w:r>
              <w:rPr/>
              <w:t>​</w:t>
            </w:r>
          </w:p>
        </w:tc>
        <w:tc>
          <w:tcPr>
            <w:tcW w:w="1141" w:type="dxa"/>
            <w:tcBorders>
              <w:bottom w:val="single" w:sz="2" w:space="0" w:color="1F2668"/>
            </w:tcBorders>
            <w:tcMar>
              <w:bottom w:w="76" w:type="dxa"/>
            </w:tcMar>
            <w:vAlign w:val="center"/>
          </w:tcPr>
          <w:p>
            <w:pPr>
              <w:pStyle w:val="TableContents"/>
              <w:bidi w:val="0"/>
              <w:spacing w:before="0" w:after="283"/>
              <w:jc w:val="right"/>
              <w:rPr/>
            </w:pPr>
            <w:r>
              <w:rPr/>
              <w:t>884,588</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76" w:type="dxa"/>
            </w:tcMar>
            <w:vAlign w:val="center"/>
          </w:tcPr>
          <w:p>
            <w:pPr>
              <w:pStyle w:val="TableContents"/>
              <w:bidi w:val="0"/>
              <w:spacing w:before="0" w:after="283"/>
              <w:jc w:val="right"/>
              <w:rPr/>
            </w:pPr>
            <w:r>
              <w:rPr/>
              <w:t>​</w:t>
            </w:r>
          </w:p>
        </w:tc>
        <w:tc>
          <w:tcPr>
            <w:tcW w:w="1066" w:type="dxa"/>
            <w:tcBorders>
              <w:bottom w:val="single" w:sz="2" w:space="0" w:color="1F2668"/>
            </w:tcBorders>
            <w:tcMar>
              <w:bottom w:w="76" w:type="dxa"/>
            </w:tcMar>
            <w:vAlign w:val="center"/>
          </w:tcPr>
          <w:p>
            <w:pPr>
              <w:pStyle w:val="TableContents"/>
              <w:bidi w:val="0"/>
              <w:spacing w:before="0" w:after="283"/>
              <w:jc w:val="right"/>
              <w:rPr/>
            </w:pPr>
            <w:r>
              <w:rPr/>
              <w:t>853,696</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76" w:type="dxa"/>
            </w:tcMar>
            <w:vAlign w:val="center"/>
          </w:tcPr>
          <w:p>
            <w:pPr>
              <w:pStyle w:val="TableContents"/>
              <w:bidi w:val="0"/>
              <w:spacing w:before="0" w:after="283"/>
              <w:jc w:val="right"/>
              <w:rPr/>
            </w:pPr>
            <w:r>
              <w:rPr/>
              <w:t>​</w:t>
            </w:r>
          </w:p>
        </w:tc>
        <w:tc>
          <w:tcPr>
            <w:tcW w:w="961" w:type="dxa"/>
            <w:tcBorders>
              <w:bottom w:val="single" w:sz="2" w:space="0" w:color="1F2668"/>
            </w:tcBorders>
            <w:tcMar>
              <w:bottom w:w="76" w:type="dxa"/>
            </w:tcMar>
            <w:vAlign w:val="center"/>
          </w:tcPr>
          <w:p>
            <w:pPr>
              <w:pStyle w:val="TableContents"/>
              <w:bidi w:val="0"/>
              <w:spacing w:before="0" w:after="283"/>
              <w:jc w:val="right"/>
              <w:rPr/>
            </w:pPr>
            <w:r>
              <w:rPr/>
              <w:t>(543,494)</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76" w:type="dxa"/>
            </w:tcMar>
            <w:vAlign w:val="center"/>
          </w:tcPr>
          <w:p>
            <w:pPr>
              <w:pStyle w:val="TableContents"/>
              <w:bidi w:val="0"/>
              <w:spacing w:before="0" w:after="283"/>
              <w:jc w:val="right"/>
              <w:rPr/>
            </w:pPr>
            <w:r>
              <w:rPr/>
              <w:t>​</w:t>
            </w:r>
          </w:p>
        </w:tc>
        <w:tc>
          <w:tcPr>
            <w:tcW w:w="1141" w:type="dxa"/>
            <w:tcBorders>
              <w:bottom w:val="single" w:sz="2" w:space="0" w:color="1F2668"/>
            </w:tcBorders>
            <w:tcMar>
              <w:bottom w:w="76" w:type="dxa"/>
            </w:tcMar>
            <w:vAlign w:val="center"/>
          </w:tcPr>
          <w:p>
            <w:pPr>
              <w:pStyle w:val="TableContents"/>
              <w:bidi w:val="0"/>
              <w:spacing w:before="0" w:after="283"/>
              <w:jc w:val="righ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76" w:type="dxa"/>
            </w:tcMar>
            <w:vAlign w:val="center"/>
          </w:tcPr>
          <w:p>
            <w:pPr>
              <w:pStyle w:val="TableContents"/>
              <w:bidi w:val="0"/>
              <w:spacing w:before="0" w:after="283"/>
              <w:jc w:val="right"/>
              <w:rPr/>
            </w:pPr>
            <w:r>
              <w:rPr/>
              <w:t>​</w:t>
            </w:r>
          </w:p>
        </w:tc>
        <w:tc>
          <w:tcPr>
            <w:tcW w:w="886" w:type="dxa"/>
            <w:tcBorders>
              <w:bottom w:val="single" w:sz="2" w:space="0" w:color="1F2668"/>
            </w:tcBorders>
            <w:tcMar>
              <w:bottom w:w="76" w:type="dxa"/>
            </w:tcMar>
            <w:vAlign w:val="center"/>
          </w:tcPr>
          <w:p>
            <w:pPr>
              <w:pStyle w:val="TableContents"/>
              <w:bidi w:val="0"/>
              <w:spacing w:before="0" w:after="283"/>
              <w:jc w:val="right"/>
              <w:rPr/>
            </w:pPr>
            <w:r>
              <w:rPr/>
              <w:t>485,088</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76" w:type="dxa"/>
            </w:tcMar>
            <w:vAlign w:val="center"/>
          </w:tcPr>
          <w:p>
            <w:pPr>
              <w:pStyle w:val="TableContents"/>
              <w:bidi w:val="0"/>
              <w:spacing w:before="0" w:after="283"/>
              <w:jc w:val="right"/>
              <w:rPr/>
            </w:pPr>
            <w:r>
              <w:rPr/>
              <w:t>​</w:t>
            </w:r>
          </w:p>
        </w:tc>
        <w:tc>
          <w:tcPr>
            <w:tcW w:w="1186" w:type="dxa"/>
            <w:tcBorders>
              <w:bottom w:val="single" w:sz="2" w:space="0" w:color="1F2668"/>
            </w:tcBorders>
            <w:tcMar>
              <w:bottom w:w="76" w:type="dxa"/>
            </w:tcMar>
            <w:vAlign w:val="center"/>
          </w:tcPr>
          <w:p>
            <w:pPr>
              <w:pStyle w:val="TableContents"/>
              <w:bidi w:val="0"/>
              <w:spacing w:before="0" w:after="283"/>
              <w:jc w:val="right"/>
              <w:rPr/>
            </w:pPr>
            <w:r>
              <w:rPr/>
              <w:t>10,530,465</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before="0" w:after="0"/>
        <w:ind w:left="900" w:right="0" w:hanging="0"/>
        <w:jc w:val="left"/>
        <w:rPr>
          <w:caps w:val="false"/>
          <w:smallCaps w:val="false"/>
          <w:color w:val="1F2668"/>
        </w:rPr>
      </w:pPr>
      <w:r>
        <w:rPr>
          <w:caps w:val="false"/>
          <w:smallCaps w:val="false"/>
          <w:color w:val="1F2668"/>
        </w:rPr>
        <w:t>​</w:t>
      </w:r>
    </w:p>
    <w:p>
      <w:pPr>
        <w:pStyle w:val="TextBody"/>
        <w:bidi w:val="0"/>
        <w:spacing w:lineRule="atLeast" w:line="200" w:before="240" w:after="0"/>
        <w:ind w:left="21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The fair values of time-based equity awards are based on the closing price of our shares of common stock as reported on the NYSE on the relevant valuation date. Performance-based restricted share units were valued on the relevant valuation date using a Monte Carlo simulation model in accordance with the provisions of ASC Topic 718.</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52400" distB="0" distL="508000" distR="0" simplePos="0" locked="0" layoutInCell="1" allowOverlap="1" relativeHeight="810">
                <wp:simplePos x="0" y="0"/>
                <wp:positionH relativeFrom="column">
                  <wp:align>left</wp:align>
                </wp:positionH>
                <wp:positionV relativeFrom="line">
                  <wp:align>top</wp:align>
                </wp:positionV>
                <wp:extent cx="254000" cy="254000"/>
                <wp:effectExtent l="0" t="0" r="0" b="0"/>
                <wp:wrapSquare wrapText="right"/>
                <wp:docPr id="910" name="Frame560"/>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b w:val="false"/>
                                <w:color w:val="000000"/>
                                <w:sz w:val="16"/>
                              </w:rPr>
                            </w:pPr>
                            <w:r>
                              <w:rPr>
                                <w:b w:val="false"/>
                                <w:color w:val="000000"/>
                                <w:spacing w:val="-2"/>
                                <w:sz w:val="16"/>
                              </w:rPr>
                              <w:t>(i)</w:t>
                            </w:r>
                            <w:r>
                              <w:rPr>
                                <w:b w:val="false"/>
                                <w:color w:val="000000"/>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40pt;mso-wrap-distance-right:0pt;mso-wrap-distance-top:12pt;mso-wrap-distance-bottom:0pt;margin-top:12pt;mso-position-vertical:top;mso-position-vertical-relative:text;margin-left:40pt;mso-position-horizontal:left;mso-position-horizontal-relative:text">
                <v:textbox>
                  <w:txbxContent>
                    <w:p>
                      <w:pPr>
                        <w:pStyle w:val="TextBody"/>
                        <w:bidi w:val="0"/>
                        <w:spacing w:lineRule="atLeast" w:line="200" w:before="0" w:after="283"/>
                        <w:jc w:val="left"/>
                        <w:rPr>
                          <w:b w:val="false"/>
                          <w:color w:val="000000"/>
                          <w:sz w:val="16"/>
                        </w:rPr>
                      </w:pPr>
                      <w:r>
                        <w:rPr>
                          <w:b w:val="false"/>
                          <w:color w:val="000000"/>
                          <w:spacing w:val="-2"/>
                          <w:sz w:val="16"/>
                        </w:rPr>
                        <w:t>(i)</w:t>
                      </w:r>
                      <w:r>
                        <w:rPr>
                          <w:b w:val="false"/>
                          <w:color w:val="000000"/>
                          <w:sz w:val="16"/>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1F2668"/>
        </w:rPr>
      </w:pPr>
      <w:r>
        <w:rPr>
          <w:caps w:val="false"/>
          <w:smallCaps w:val="false"/>
          <w:color w:val="1F2668"/>
        </w:rPr>
        <w:t>​</w:t>
      </w:r>
    </w:p>
    <w:p>
      <w:pPr>
        <w:pStyle w:val="TextBody"/>
        <w:bidi w:val="0"/>
        <w:spacing w:lineRule="atLeast" w:line="200" w:before="82"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TSR is calculated assuming a $100 investment in the Company and the peer group on December 31, 2020, and assuming the reinvestment of any dividends during the applicable measurement period, calculated through the end of the year shown based on share prices.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2070" distB="0" distL="0" distR="0" simplePos="0" locked="0" layoutInCell="1" allowOverlap="1" relativeHeight="811">
                <wp:simplePos x="0" y="0"/>
                <wp:positionH relativeFrom="column">
                  <wp:align>left</wp:align>
                </wp:positionH>
                <wp:positionV relativeFrom="line">
                  <wp:align>top</wp:align>
                </wp:positionV>
                <wp:extent cx="254000" cy="254000"/>
                <wp:effectExtent l="0" t="0" r="0" b="0"/>
                <wp:wrapSquare wrapText="right"/>
                <wp:docPr id="911" name="Frame561"/>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b w:val="false"/>
                                <w:color w:val="000000"/>
                                <w:sz w:val="16"/>
                              </w:rPr>
                            </w:pPr>
                            <w:r>
                              <w:rPr>
                                <w:b w:val="false"/>
                                <w:color w:val="000000"/>
                                <w:spacing w:val="-2"/>
                                <w:sz w:val="16"/>
                              </w:rPr>
                              <w:t>(3)</w:t>
                            </w:r>
                            <w:r>
                              <w:rPr>
                                <w:b w:val="false"/>
                                <w:color w:val="000000"/>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bidi w:val="0"/>
                        <w:spacing w:lineRule="atLeast" w:line="200" w:before="0" w:after="283"/>
                        <w:jc w:val="left"/>
                        <w:rPr>
                          <w:b w:val="false"/>
                          <w:color w:val="000000"/>
                          <w:sz w:val="16"/>
                        </w:rPr>
                      </w:pPr>
                      <w:r>
                        <w:rPr>
                          <w:b w:val="false"/>
                          <w:color w:val="000000"/>
                          <w:spacing w:val="-2"/>
                          <w:sz w:val="16"/>
                        </w:rPr>
                        <w:t>(3)</w:t>
                      </w:r>
                      <w:r>
                        <w:rPr>
                          <w:b w:val="false"/>
                          <w:color w:val="000000"/>
                          <w:sz w:val="16"/>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1F2668"/>
        </w:rPr>
      </w:pPr>
      <w:r>
        <w:rPr>
          <w:caps w:val="false"/>
          <w:smallCaps w:val="false"/>
          <w:color w:val="1F2668"/>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225" w:type="dxa"/>
        <w:jc w:val="left"/>
        <w:tblInd w:w="900" w:type="dxa"/>
        <w:tblLayout w:type="fixed"/>
        <w:tblCellMar>
          <w:top w:w="0" w:type="dxa"/>
          <w:left w:w="0" w:type="dxa"/>
          <w:bottom w:w="0" w:type="dxa"/>
          <w:right w:w="0" w:type="dxa"/>
        </w:tblCellMar>
      </w:tblPr>
      <w:tblGrid>
        <w:gridCol w:w="124"/>
        <w:gridCol w:w="346"/>
        <w:gridCol w:w="109"/>
        <w:gridCol w:w="109"/>
        <w:gridCol w:w="4383"/>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80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383" w:type="dxa"/>
            <w:tcBorders/>
            <w:vAlign w:val="center"/>
          </w:tcPr>
          <w:p>
            <w:pPr>
              <w:pStyle w:val="TableContents"/>
              <w:bidi w:val="0"/>
              <w:spacing w:lineRule="atLeast" w:line="200" w:before="0" w:after="0"/>
              <w:jc w:val="left"/>
              <w:rPr/>
            </w:pPr>
            <w:r>
              <w:rPr>
                <w:spacing w:val="-2"/>
              </w:rPr>
              <w:t>    </w:t>
            </w:r>
            <w:r>
              <w:rPr>
                <w:spacing w:val="-2"/>
                <w:sz w:val="16"/>
              </w:rPr>
              <w:t>SL GREEN REALTY CORP. 2026 PROXY STATEMENT</w:t>
            </w:r>
            <w:r>
              <w:rPr>
                <w:sz w:val="16"/>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00" w:before="560" w:after="154"/>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Represents the TSR for the benchmarking peer group described in “Compensation Discussion and Analysis,” which includes the following peer companies: Alexandria Real Estate Equities, Inc., Boston Properties, Inc., Douglas Emmett, Inc., Empire State Realty Trust, Inc., Hudson Pacific Properties, Inc., Kennedy-Wilson Holdings, Inc., Kilroy Realty Corporation, Ladder Capital Corp and Vornado Realty Trust. Paramount Group, Inc. was previously included in the Company’s peer group, however, on December 19, 2025, it was acquired by Rithm Capital Corp. and ceased to be a publicly traded company.</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0" distB="0" distL="0" distR="0" simplePos="0" locked="0" layoutInCell="1" allowOverlap="1" relativeHeight="812">
                <wp:simplePos x="0" y="0"/>
                <wp:positionH relativeFrom="column">
                  <wp:align>left</wp:align>
                </wp:positionH>
                <wp:positionV relativeFrom="line">
                  <wp:posOffset>635</wp:posOffset>
                </wp:positionV>
                <wp:extent cx="254000" cy="350520"/>
                <wp:effectExtent l="0" t="0" r="0" b="0"/>
                <wp:wrapSquare wrapText="right"/>
                <wp:docPr id="912" name="Frame56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2"/>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(4)</w:t>
                      </w:r>
                      <w:r>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104"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Normalized FFO per share represents reported FFO per share as adjusted for non-cash fair value adjustments, gains or losses on the early extinguishment of debt and other adjustments for comparability between periods. For 2025, includes Gain on Discounted Debt Extinguishment of $20.0M consistent with the calculation of the FFO goal under our 2025 formulaic cash bonus program. Gains on Discounted Debt Extinguishment in excess of $20.0M were excluded from the final calculation.</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66040" distB="0" distL="0" distR="0" simplePos="0" locked="0" layoutInCell="1" allowOverlap="1" relativeHeight="813">
                <wp:simplePos x="0" y="0"/>
                <wp:positionH relativeFrom="column">
                  <wp:align>left</wp:align>
                </wp:positionH>
                <wp:positionV relativeFrom="line">
                  <wp:align>top</wp:align>
                </wp:positionV>
                <wp:extent cx="254000" cy="350520"/>
                <wp:effectExtent l="0" t="0" r="0" b="0"/>
                <wp:wrapSquare wrapText="right"/>
                <wp:docPr id="913" name="Frame56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2"/>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(5)</w:t>
                      </w:r>
                      <w:r>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104"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Non-PEO named executive officers for 2025 and 2024 includes Mr. DiLiberto and Mr. Levine and for 2023, 2022 and 2021 includes Mr. DiLiberto, Mr. Levine and Mr. Mathias, our former President.</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66040" distB="0" distL="0" distR="0" simplePos="0" locked="0" layoutInCell="1" allowOverlap="1" relativeHeight="814">
                <wp:simplePos x="0" y="0"/>
                <wp:positionH relativeFrom="column">
                  <wp:align>left</wp:align>
                </wp:positionH>
                <wp:positionV relativeFrom="line">
                  <wp:align>top</wp:align>
                </wp:positionV>
                <wp:extent cx="254000" cy="350520"/>
                <wp:effectExtent l="0" t="0" r="0" b="0"/>
                <wp:wrapSquare wrapText="right"/>
                <wp:docPr id="914" name="Frame56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2"/>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(6)</w:t>
                      </w:r>
                      <w:r>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60" w:before="240" w:after="283"/>
        <w:jc w:val="left"/>
        <w:rPr>
          <w:rFonts w:ascii="Arial;Helvetica;sans-serif" w:hAnsi="Arial;Helvetica;sans-serif"/>
          <w:b/>
          <w:i w:val="false"/>
          <w:caps w:val="false"/>
          <w:smallCaps w:val="false"/>
          <w:color w:val="83AD40"/>
          <w:sz w:val="22"/>
        </w:rPr>
      </w:pPr>
      <w:r>
        <w:rPr>
          <w:rFonts w:ascii="Arial;Helvetica;sans-serif" w:hAnsi="Arial;Helvetica;sans-serif"/>
          <w:b/>
          <w:i w:val="false"/>
          <w:caps w:val="false"/>
          <w:smallCaps w:val="false"/>
          <w:color w:val="83AD40"/>
          <w:spacing w:val="-2"/>
          <w:sz w:val="22"/>
        </w:rPr>
        <w:t>Relationship Between Compensation Actually Paid and Financial Performance</w:t>
      </w:r>
      <w:r>
        <w:rPr>
          <w:rFonts w:ascii="Arial;Helvetica;sans-serif" w:hAnsi="Arial;Helvetica;sans-serif"/>
          <w:b/>
          <w:i w:val="false"/>
          <w:caps w:val="false"/>
          <w:smallCaps w:val="false"/>
          <w:color w:val="000000"/>
          <w:spacing w:val="4"/>
          <w:sz w:val="22"/>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pacing w:val="-2"/>
          <w:sz w:val="18"/>
        </w:rPr>
      </w:pPr>
      <w:r>
        <w:rPr>
          <w:rFonts w:ascii="Arial;Helvetica;sans-serif" w:hAnsi="Arial;Helvetica;sans-serif"/>
          <w:b w:val="false"/>
          <w:i w:val="false"/>
          <w:caps w:val="false"/>
          <w:smallCaps w:val="false"/>
          <w:color w:val="000000"/>
          <w:spacing w:val="-2"/>
          <w:sz w:val="18"/>
        </w:rPr>
        <w:t xml:space="preserve">The following graphs illustrate the relationship across our last five completed fiscal years between the amounts disclosed in the Pay Versus Performance Table, above, as “Compensation Actually Paid” to our PEO and the “Average Compensation Actually Paid” to our non-PEO named executive officers and TSR, Peer Group TSR, Net Income and Normalized FFO per share. </w:t>
      </w:r>
    </w:p>
    <w:p>
      <w:pPr>
        <w:pStyle w:val="TextBody"/>
        <w:bidi w:val="0"/>
        <w:spacing w:lineRule="atLeast" w:line="220" w:before="240" w:after="283"/>
        <w:jc w:val="center"/>
        <w:rPr>
          <w:rFonts w:ascii="Arial;Helvetica;sans-serif" w:hAnsi="Arial;Helvetica;sans-serif"/>
          <w:b/>
          <w:i w:val="false"/>
          <w:caps w:val="false"/>
          <w:smallCaps w:val="false"/>
          <w:color w:val="1F2668"/>
          <w:sz w:val="18"/>
        </w:rPr>
      </w:pPr>
      <w:r>
        <w:rPr>
          <w:rFonts w:ascii="Arial;Helvetica;sans-serif" w:hAnsi="Arial;Helvetica;sans-serif"/>
          <w:b/>
          <w:i w:val="false"/>
          <w:caps w:val="false"/>
          <w:smallCaps w:val="false"/>
          <w:color w:val="1F2668"/>
          <w:spacing w:val="-2"/>
          <w:sz w:val="18"/>
        </w:rPr>
        <w:t>COMPENSATION ACTUALLY PAID VS. TSR</w:t>
      </w:r>
      <w:r>
        <w:rPr>
          <w:rFonts w:ascii="Arial;Helvetica;sans-serif" w:hAnsi="Arial;Helvetica;sans-serif"/>
          <w:b/>
          <w:i w:val="false"/>
          <w:caps w:val="false"/>
          <w:smallCaps w:val="false"/>
          <w:color w:val="000000"/>
          <w:spacing w:val="4"/>
          <w:sz w:val="18"/>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4676775" cy="2752725"/>
            <wp:effectExtent l="0" t="0" r="0" b="0"/>
            <wp:docPr id="915" name="Image2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5" name="Image253" descr=""/>
                    <pic:cNvPicPr>
                      <a:picLocks noChangeAspect="1" noChangeArrowheads="1"/>
                    </pic:cNvPicPr>
                  </pic:nvPicPr>
                  <pic:blipFill>
                    <a:blip r:embed="rId358"/>
                    <a:stretch>
                      <a:fillRect/>
                    </a:stretch>
                  </pic:blipFill>
                  <pic:spPr bwMode="auto">
                    <a:xfrm>
                      <a:off x="0" y="0"/>
                      <a:ext cx="4676775" cy="2752725"/>
                    </a:xfrm>
                    <a:prstGeom prst="rect">
                      <a:avLst/>
                    </a:prstGeom>
                  </pic:spPr>
                </pic:pic>
              </a:graphicData>
            </a:graphic>
          </wp:inline>
        </w:drawing>
      </w:r>
      <w:r>
        <w:rPr>
          <w:caps w:val="false"/>
          <w:smallCaps w:val="false"/>
          <w:color w:val="000000"/>
        </w:rPr>
        <w:t xml:space="preserve"> </w:t>
      </w:r>
    </w:p>
    <w:p>
      <w:pPr>
        <w:pStyle w:val="TextBody"/>
        <w:bidi w:val="0"/>
        <w:spacing w:lineRule="atLeast" w:line="220" w:before="394" w:after="283"/>
        <w:jc w:val="center"/>
        <w:rPr>
          <w:rFonts w:ascii="Arial;Helvetica;sans-serif" w:hAnsi="Arial;Helvetica;sans-serif"/>
          <w:b/>
          <w:i w:val="false"/>
          <w:caps w:val="false"/>
          <w:smallCaps w:val="false"/>
          <w:color w:val="1F2668"/>
          <w:sz w:val="18"/>
        </w:rPr>
      </w:pPr>
      <w:r>
        <w:rPr>
          <w:rFonts w:ascii="Arial;Helvetica;sans-serif" w:hAnsi="Arial;Helvetica;sans-serif"/>
          <w:b/>
          <w:i w:val="false"/>
          <w:caps w:val="false"/>
          <w:smallCaps w:val="false"/>
          <w:color w:val="1F2668"/>
          <w:spacing w:val="-2"/>
          <w:sz w:val="18"/>
        </w:rPr>
        <w:t>COMPENSATION ACTUALLY PAID VS. NET (LOSS) INCOME</w:t>
      </w:r>
      <w:r>
        <w:rPr>
          <w:rFonts w:ascii="Arial;Helvetica;sans-serif" w:hAnsi="Arial;Helvetica;sans-serif"/>
          <w:b/>
          <w:i w:val="false"/>
          <w:caps w:val="false"/>
          <w:smallCaps w:val="false"/>
          <w:color w:val="000000"/>
          <w:spacing w:val="4"/>
          <w:sz w:val="18"/>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4676775" cy="2524125"/>
            <wp:effectExtent l="0" t="0" r="0" b="0"/>
            <wp:docPr id="916" name="Image2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6" name="Image254" descr=""/>
                    <pic:cNvPicPr>
                      <a:picLocks noChangeAspect="1" noChangeArrowheads="1"/>
                    </pic:cNvPicPr>
                  </pic:nvPicPr>
                  <pic:blipFill>
                    <a:blip r:embed="rId359"/>
                    <a:stretch>
                      <a:fillRect/>
                    </a:stretch>
                  </pic:blipFill>
                  <pic:spPr bwMode="auto">
                    <a:xfrm>
                      <a:off x="0" y="0"/>
                      <a:ext cx="4676775" cy="2524125"/>
                    </a:xfrm>
                    <a:prstGeom prst="rect">
                      <a:avLst/>
                    </a:prstGeom>
                  </pic:spPr>
                </pic:pic>
              </a:graphicData>
            </a:graphic>
          </wp:inline>
        </w:drawing>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4330" w:type="dxa"/>
        <w:jc w:val="left"/>
        <w:tblInd w:w="900" w:type="dxa"/>
        <w:tblLayout w:type="fixed"/>
        <w:tblCellMar>
          <w:top w:w="0" w:type="dxa"/>
          <w:left w:w="0" w:type="dxa"/>
          <w:bottom w:w="0" w:type="dxa"/>
          <w:right w:w="0" w:type="dxa"/>
        </w:tblCellMar>
      </w:tblPr>
      <w:tblGrid>
        <w:gridCol w:w="124"/>
        <w:gridCol w:w="3488"/>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3488" w:type="dxa"/>
            <w:tcBorders/>
            <w:vAlign w:val="center"/>
          </w:tcPr>
          <w:p>
            <w:pPr>
              <w:pStyle w:val="TableContents"/>
              <w:bidi w:val="0"/>
              <w:spacing w:lineRule="atLeast" w:line="200" w:before="0" w:after="0"/>
              <w:jc w:val="left"/>
              <w:rPr/>
            </w:pPr>
            <w:r>
              <w:rPr>
                <w:spacing w:val="-2"/>
              </w:rPr>
              <w:t>EXECUTIVE COMPENSATION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color w:val="1F2668"/>
                <w:sz w:val="24"/>
              </w:rPr>
            </w:pPr>
            <w:r>
              <w:rPr>
                <w:color w:val="1F2668"/>
                <w:sz w:val="24"/>
              </w:rPr>
              <w:t>81</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20" w:before="560" w:after="154"/>
        <w:ind w:left="900" w:right="0" w:hanging="0"/>
        <w:jc w:val="center"/>
        <w:rPr>
          <w:rFonts w:ascii="Arial;Helvetica;sans-serif" w:hAnsi="Arial;Helvetica;sans-serif"/>
          <w:b/>
          <w:i w:val="false"/>
          <w:caps w:val="false"/>
          <w:smallCaps w:val="false"/>
          <w:color w:val="1F2668"/>
          <w:sz w:val="18"/>
        </w:rPr>
      </w:pPr>
      <w:r>
        <w:rPr>
          <w:rFonts w:ascii="Arial;Helvetica;sans-serif" w:hAnsi="Arial;Helvetica;sans-serif"/>
          <w:b/>
          <w:i w:val="false"/>
          <w:caps w:val="false"/>
          <w:smallCaps w:val="false"/>
          <w:color w:val="1F2668"/>
          <w:spacing w:val="-2"/>
          <w:sz w:val="18"/>
        </w:rPr>
        <w:t>COMPENSATION ACTUALLY PAID VS. NORMALIZED FFO PER SHARE</w:t>
      </w:r>
      <w:r>
        <w:rPr>
          <w:rFonts w:ascii="Arial;Helvetica;sans-serif" w:hAnsi="Arial;Helvetica;sans-serif"/>
          <w:b/>
          <w:i w:val="false"/>
          <w:caps w:val="false"/>
          <w:smallCaps w:val="false"/>
          <w:color w:val="000000"/>
          <w:spacing w:val="4"/>
          <w:sz w:val="18"/>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4676775" cy="2524125"/>
            <wp:effectExtent l="0" t="0" r="0" b="0"/>
            <wp:docPr id="917" name="Image2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7" name="Image255" descr=""/>
                    <pic:cNvPicPr>
                      <a:picLocks noChangeAspect="1" noChangeArrowheads="1"/>
                    </pic:cNvPicPr>
                  </pic:nvPicPr>
                  <pic:blipFill>
                    <a:blip r:embed="rId360"/>
                    <a:stretch>
                      <a:fillRect/>
                    </a:stretch>
                  </pic:blipFill>
                  <pic:spPr bwMode="auto">
                    <a:xfrm>
                      <a:off x="0" y="0"/>
                      <a:ext cx="4676775" cy="2524125"/>
                    </a:xfrm>
                    <a:prstGeom prst="rect">
                      <a:avLst/>
                    </a:prstGeom>
                  </pic:spPr>
                </pic:pic>
              </a:graphicData>
            </a:graphic>
          </wp:inline>
        </w:drawing>
      </w:r>
      <w:r>
        <w:rPr>
          <w:caps w:val="false"/>
          <w:smallCaps w:val="false"/>
          <w:color w:val="000000"/>
        </w:rPr>
        <w:t xml:space="preserve"> </w:t>
      </w:r>
    </w:p>
    <w:p>
      <w:pPr>
        <w:pStyle w:val="TextBody"/>
        <w:bidi w:val="0"/>
        <w:spacing w:lineRule="atLeast" w:line="260" w:before="360" w:after="283"/>
        <w:jc w:val="left"/>
        <w:rPr>
          <w:rFonts w:ascii="Arial;Helvetica;sans-serif" w:hAnsi="Arial;Helvetica;sans-serif"/>
          <w:b/>
          <w:i w:val="false"/>
          <w:caps w:val="false"/>
          <w:smallCaps w:val="false"/>
          <w:color w:val="83AD40"/>
          <w:sz w:val="22"/>
        </w:rPr>
      </w:pPr>
      <w:r>
        <w:rPr>
          <w:rFonts w:ascii="Arial;Helvetica;sans-serif" w:hAnsi="Arial;Helvetica;sans-serif"/>
          <w:b/>
          <w:i w:val="false"/>
          <w:caps w:val="false"/>
          <w:smallCaps w:val="false"/>
          <w:color w:val="83AD40"/>
          <w:spacing w:val="-2"/>
          <w:sz w:val="22"/>
        </w:rPr>
        <w:t>Tabular List of Performance Measures</w:t>
      </w:r>
      <w:r>
        <w:rPr>
          <w:rFonts w:ascii="Arial;Helvetica;sans-serif" w:hAnsi="Arial;Helvetica;sans-serif"/>
          <w:b/>
          <w:i w:val="false"/>
          <w:caps w:val="false"/>
          <w:smallCaps w:val="false"/>
          <w:color w:val="000000"/>
          <w:spacing w:val="4"/>
          <w:sz w:val="22"/>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The following table lists the performance measures that we consider to be the most important performance measures we use to link compensation actually paid to its named executive officers for the most recently completed fiscal year to our performance.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240" w:after="283"/>
        <w:jc w:val="left"/>
        <w:rPr>
          <w:rFonts w:ascii="Arial;Helvetica;sans-serif" w:hAnsi="Arial;Helvetica;sans-serif"/>
          <w:b/>
          <w:i w:val="false"/>
          <w:caps w:val="false"/>
          <w:smallCaps w:val="false"/>
          <w:color w:val="1F2668"/>
          <w:sz w:val="18"/>
        </w:rPr>
      </w:pPr>
      <w:r>
        <w:rPr>
          <w:rFonts w:ascii="Arial;Helvetica;sans-serif" w:hAnsi="Arial;Helvetica;sans-serif"/>
          <w:b/>
          <w:i w:val="false"/>
          <w:caps w:val="false"/>
          <w:smallCaps w:val="false"/>
          <w:color w:val="1F2668"/>
          <w:spacing w:val="-2"/>
          <w:sz w:val="18"/>
        </w:rPr>
        <w:t>Performance Measure</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220" w:before="60" w:after="0"/>
        <w:ind w:left="11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Normalized FFO per Share</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38100" distB="0" distL="0" distR="0" simplePos="0" locked="0" layoutInCell="1" allowOverlap="1" relativeHeight="815">
                <wp:simplePos x="0" y="0"/>
                <wp:positionH relativeFrom="column">
                  <wp:align>left</wp:align>
                </wp:positionH>
                <wp:positionV relativeFrom="line">
                  <wp:align>top</wp:align>
                </wp:positionV>
                <wp:extent cx="127000" cy="350520"/>
                <wp:effectExtent l="0" t="0" r="0" b="0"/>
                <wp:wrapSquare wrapText="right"/>
                <wp:docPr id="918" name="Frame5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20" w:before="60" w:after="0"/>
        <w:ind w:left="11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Relative TSR</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38100" distB="0" distL="0" distR="0" simplePos="0" locked="0" layoutInCell="1" allowOverlap="1" relativeHeight="816">
                <wp:simplePos x="0" y="0"/>
                <wp:positionH relativeFrom="column">
                  <wp:align>left</wp:align>
                </wp:positionH>
                <wp:positionV relativeFrom="line">
                  <wp:align>top</wp:align>
                </wp:positionV>
                <wp:extent cx="127000" cy="350520"/>
                <wp:effectExtent l="0" t="0" r="0" b="0"/>
                <wp:wrapSquare wrapText="right"/>
                <wp:docPr id="919" name="Frame5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20" w:before="60" w:after="0"/>
        <w:ind w:left="11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Normalized Funds Available for Distribution</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38100" distB="0" distL="0" distR="0" simplePos="0" locked="0" layoutInCell="1" allowOverlap="1" relativeHeight="817">
                <wp:simplePos x="0" y="0"/>
                <wp:positionH relativeFrom="column">
                  <wp:align>left</wp:align>
                </wp:positionH>
                <wp:positionV relativeFrom="line">
                  <wp:align>top</wp:align>
                </wp:positionV>
                <wp:extent cx="127000" cy="350520"/>
                <wp:effectExtent l="0" t="0" r="0" b="0"/>
                <wp:wrapSquare wrapText="right"/>
                <wp:docPr id="920" name="Frame5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20" w:before="60" w:after="0"/>
        <w:ind w:left="11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Ordinary Dividend Growth</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38100" distB="0" distL="0" distR="0" simplePos="0" locked="0" layoutInCell="1" allowOverlap="1" relativeHeight="818">
                <wp:simplePos x="0" y="0"/>
                <wp:positionH relativeFrom="column">
                  <wp:align>left</wp:align>
                </wp:positionH>
                <wp:positionV relativeFrom="line">
                  <wp:align>top</wp:align>
                </wp:positionV>
                <wp:extent cx="127000" cy="350520"/>
                <wp:effectExtent l="0" t="0" r="0" b="0"/>
                <wp:wrapSquare wrapText="right"/>
                <wp:docPr id="921" name="Frame5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20" w:before="60" w:after="0"/>
        <w:ind w:left="11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Manhattan Same Store Office Leased Occupancy</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38100" distB="0" distL="0" distR="0" simplePos="0" locked="0" layoutInCell="1" allowOverlap="1" relativeHeight="819">
                <wp:simplePos x="0" y="0"/>
                <wp:positionH relativeFrom="column">
                  <wp:align>left</wp:align>
                </wp:positionH>
                <wp:positionV relativeFrom="line">
                  <wp:align>top</wp:align>
                </wp:positionV>
                <wp:extent cx="127000" cy="350520"/>
                <wp:effectExtent l="0" t="0" r="0" b="0"/>
                <wp:wrapSquare wrapText="right"/>
                <wp:docPr id="922" name="Frame5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20" w:before="60" w:after="0"/>
        <w:ind w:left="11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Manhattan Office Leasing Volume</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38100" distB="0" distL="0" distR="0" simplePos="0" locked="0" layoutInCell="1" allowOverlap="1" relativeHeight="820">
                <wp:simplePos x="0" y="0"/>
                <wp:positionH relativeFrom="column">
                  <wp:align>left</wp:align>
                </wp:positionH>
                <wp:positionV relativeFrom="line">
                  <wp:align>top</wp:align>
                </wp:positionV>
                <wp:extent cx="127000" cy="350520"/>
                <wp:effectExtent l="0" t="0" r="0" b="0"/>
                <wp:wrapSquare wrapText="right"/>
                <wp:docPr id="923" name="Frame5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20" w:before="60" w:after="0"/>
        <w:ind w:left="11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Liquidity</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38100" distB="0" distL="0" distR="0" simplePos="0" locked="0" layoutInCell="1" allowOverlap="1" relativeHeight="821">
                <wp:simplePos x="0" y="0"/>
                <wp:positionH relativeFrom="column">
                  <wp:align>left</wp:align>
                </wp:positionH>
                <wp:positionV relativeFrom="line">
                  <wp:align>top</wp:align>
                </wp:positionV>
                <wp:extent cx="127000" cy="350520"/>
                <wp:effectExtent l="0" t="0" r="0" b="0"/>
                <wp:wrapSquare wrapText="right"/>
                <wp:docPr id="924" name="Frame5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300" w:before="360" w:after="283"/>
        <w:jc w:val="left"/>
        <w:rPr>
          <w:rFonts w:ascii="Arial;Helvetica;sans-serif" w:hAnsi="Arial;Helvetica;sans-serif"/>
          <w:b/>
          <w:i w:val="false"/>
          <w:caps w:val="false"/>
          <w:smallCaps w:val="false"/>
          <w:color w:val="1F2668"/>
          <w:sz w:val="26"/>
        </w:rPr>
      </w:pPr>
      <w:r>
        <w:rPr>
          <w:rFonts w:ascii="Arial;Helvetica;sans-serif" w:hAnsi="Arial;Helvetica;sans-serif"/>
          <w:b/>
          <w:i w:val="false"/>
          <w:caps w:val="false"/>
          <w:smallCaps w:val="false"/>
          <w:color w:val="1F2668"/>
          <w:spacing w:val="-3"/>
          <w:sz w:val="26"/>
        </w:rPr>
        <w:t>Policies and Practices Related to the Grant of Certain Equity Awards</w:t>
      </w:r>
      <w:r>
        <w:rPr>
          <w:rFonts w:ascii="Arial;Helvetica;sans-serif" w:hAnsi="Arial;Helvetica;sans-serif"/>
          <w:b/>
          <w:i w:val="false"/>
          <w:caps w:val="false"/>
          <w:smallCaps w:val="false"/>
          <w:color w:val="000000"/>
          <w:spacing w:val="5"/>
          <w:sz w:val="26"/>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We do not have any formal policy that requires us to grant, or avoid granting, equity awards to our executive officers at certain times. We typically grant annual equity awards to our executive officers in January or February, with the dates for the committee meetings to approve these annual awards set in advance on a fairly consistent schedule each year. The timing of any non-routine equity grants to executive officers, including new hires and entry into new employment agreements, are typically tied to the event giving rise to the award. As a result, we do not time the disclosure of material non-public information for the purpose of affecting the value or exercise price of our equity awards, including stock options or Class O LTIP units.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As part of our overall compensation program, we do not typically grant stock options or option-like equity awards to our executive officers. No NEOs received grants of Class O LTIP awards in 2025. However, our CFO, Mr. DiLiberto, received an award of Class O LTIP units in connection with his new employment agreement entered into in 2026, which award will be disclosed in our proxy statement next year. We filed a Form 8-K relating to such grant and the new employment agreement on March 4, 2026.</w:t>
      </w:r>
      <w:r>
        <w:rPr>
          <w:rFonts w:ascii="Arial;Helvetica;sans-serif" w:hAnsi="Arial;Helvetic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 w:name="tACM"/>
      <w:bookmarkEnd w:id="21"/>
      <w:r>
        <w:rPr>
          <w:rFonts w:ascii="calibri;arial;sans-serif" w:hAnsi="calibri;arial;sans-serif"/>
          <w:b w:val="false"/>
          <w:i w:val="false"/>
          <w:caps w:val="false"/>
          <w:smallCaps w:val="false"/>
          <w:color w:val="000000"/>
          <w:sz w:val="16"/>
        </w:rPr>
        <w:t>​</w:t>
      </w:r>
      <w:bookmarkStart w:id="22" w:name="tACR"/>
      <w:bookmarkEnd w:id="22"/>
      <w:r>
        <w:rPr>
          <w:rFonts w:ascii="calibri;arial;sans-serif" w:hAnsi="calibri;arial;sans-serif"/>
          <w:b w:val="false"/>
          <w:i w:val="false"/>
          <w:caps w:val="false"/>
          <w:smallCaps w:val="false"/>
          <w:color w:val="000000"/>
          <w:sz w:val="16"/>
        </w:rPr>
        <w:t xml:space="preserve">​ </w:t>
      </w:r>
    </w:p>
    <w:tbl>
      <w:tblPr>
        <w:tblW w:w="951" w:type="dxa"/>
        <w:jc w:val="left"/>
        <w:tblInd w:w="900" w:type="dxa"/>
        <w:tblLayout w:type="fixed"/>
        <w:tblCellMar>
          <w:top w:w="0" w:type="dxa"/>
          <w:left w:w="0" w:type="dxa"/>
          <w:bottom w:w="0" w:type="dxa"/>
          <w:right w:w="0" w:type="dxa"/>
        </w:tblCellMar>
      </w:tblPr>
      <w:tblGrid>
        <w:gridCol w:w="124"/>
        <w:gridCol w:w="346"/>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82</w:t>
              <w:br/>
              <w: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520" w:before="560" w:after="154"/>
        <w:ind w:left="900" w:right="0" w:hanging="0"/>
        <w:jc w:val="left"/>
        <w:rPr>
          <w:rFonts w:ascii="Arial;Helvetica;sans-serif" w:hAnsi="Arial;Helvetica;sans-serif"/>
          <w:b/>
          <w:i w:val="false"/>
          <w:caps w:val="false"/>
          <w:smallCaps w:val="false"/>
          <w:color w:val="1F2668"/>
          <w:sz w:val="42"/>
        </w:rPr>
      </w:pPr>
      <w:r>
        <w:rPr>
          <w:rFonts w:ascii="Arial;Helvetica;sans-serif" w:hAnsi="Arial;Helvetica;sans-serif"/>
          <w:b/>
          <w:i w:val="false"/>
          <w:caps/>
          <w:color w:val="1F2668"/>
          <w:spacing w:val="-4"/>
          <w:sz w:val="42"/>
        </w:rPr>
        <w:t>AUDIT COMMITTEE MATTERS</w:t>
      </w:r>
      <w:r>
        <w:rPr>
          <w:rFonts w:ascii="Arial;Helvetica;sans-serif" w:hAnsi="Arial;Helvetica;sans-serif"/>
          <w:b/>
          <w:i w:val="false"/>
          <w:caps w:val="false"/>
          <w:smallCaps w:val="false"/>
          <w:color w:val="000000"/>
          <w:spacing w:val="8"/>
          <w:sz w:val="42"/>
        </w:rPr>
        <w:t xml:space="preserve"> </w:t>
      </w:r>
    </w:p>
    <w:p>
      <w:pPr>
        <w:pStyle w:val="TextBody"/>
        <w:bidi w:val="0"/>
        <w:spacing w:lineRule="atLeast" w:line="360" w:before="400" w:after="283"/>
        <w:jc w:val="left"/>
        <w:rPr>
          <w:rFonts w:ascii="Arial;Helvetica;sans-serif" w:hAnsi="Arial;Helvetica;sans-serif"/>
          <w:b/>
          <w:i w:val="false"/>
          <w:caps w:val="false"/>
          <w:smallCaps w:val="false"/>
          <w:color w:val="83AD40"/>
          <w:sz w:val="32"/>
        </w:rPr>
      </w:pPr>
      <w:r>
        <w:rPr>
          <w:rFonts w:ascii="Arial;Helvetica;sans-serif" w:hAnsi="Arial;Helvetica;sans-serif"/>
          <w:b/>
          <w:i w:val="false"/>
          <w:caps/>
          <w:color w:val="83AD40"/>
          <w:spacing w:val="-3"/>
          <w:sz w:val="32"/>
        </w:rPr>
        <w:t>AUDIT COMMITTEE REPORT</w:t>
      </w:r>
      <w:r>
        <w:rPr>
          <w:rFonts w:ascii="Arial;Helvetica;sans-serif" w:hAnsi="Arial;Helvetica;sans-serif"/>
          <w:b/>
          <w:i w:val="false"/>
          <w:caps w:val="false"/>
          <w:smallCaps w:val="false"/>
          <w:color w:val="000000"/>
          <w:spacing w:val="6"/>
          <w:sz w:val="32"/>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The following report of the Audit Committee of the Board will not be deemed to be incorporated by reference in any previous or future documents filed by us with the SEC under the Securities Act of 1933, as amended, or the Securities Exchange Act of 1934, as amended, except to the extent that we specifically incorporate this report by reference in any such document.</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Our Audit Committee oversees our financial reporting process on behalf of the Board, in accordance with our Audit Committee Charter. Management has the primary responsibility for the preparation, presentation and integrity of our financial statements, accounting and financial reporting principles, internal controls, and procedures designed to ensure compliance with accounting standards, applicable laws and regulations. In fulfilling its oversight responsibilities, our Audit Committee reviewed and discussed with management the audited financial statements in the Annual Report on Form 10-K for the year ended December 31, 2025 filed by the Company.</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Our Audit Committee reviewed and discussed with Deloitte &amp; Touche LLP, our independent registered public accounting firm, the matters required to be discussed with the Audit Committee by the applicable requirements of the Public Company Accounting Oversight Board and the SEC. Our Audit Committee received from Deloitte &amp; Touche LLP the written disclosures and the letter required by the applicable requirements of the Public Company Accounting Oversight Board regarding communications with the Audit Committee concerning independence, and has discussed with Deloitte &amp; Touche LLP their independence.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Based on the review and discussions referred to above, our Audit Committee recommended to the Board that the audited financial statements be included in the Annual Report on Form 10-K for the year ended December 31, 2025 filed by the Company.</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The members of our Audit Committee are not engaged professionally in the practice of auditing or accounting. Committee members rely, without independent investigation or verification, on the information provided to them and on the representations made by management and our independent registered public accounting firm. Accordingly, our Audit Committee’s oversight does not provide an independent basis to determine that management has maintained appropriate accounting and financial reporting principles or appropriate internal controls and procedures designed to assure compliance with accounting standards and applicable laws and regulations. Furthermore, our Audit Committee’s considerations and discussions referred to above do not assure that the audit of our financial statements has been carried out in accordance with the standards of the Public Company Accounting Oversight Board, that the financial statements are presented in accordance with accounting principles generally accepted in the U.S. or that our registered public accounting firm is in fact independent.</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Submitted by our Audit Committee</w:t>
      </w:r>
      <w:r>
        <w:rPr>
          <w:rFonts w:ascii="Arial;Helvetica;sans-serif" w:hAnsi="Arial;Helvetica;sans-serif"/>
          <w:b w:val="false"/>
          <w:i w:val="false"/>
          <w:caps w:val="false"/>
          <w:smallCaps w:val="false"/>
          <w:color w:val="000000"/>
          <w:spacing w:val="4"/>
          <w:sz w:val="18"/>
        </w:rPr>
        <w:t xml:space="preserve"> </w:t>
      </w:r>
    </w:p>
    <w:tbl>
      <w:tblPr>
        <w:tblW w:w="6748" w:type="dxa"/>
        <w:jc w:val="left"/>
        <w:tblInd w:w="900" w:type="dxa"/>
        <w:tblLayout w:type="fixed"/>
        <w:tblCellMar>
          <w:top w:w="0" w:type="dxa"/>
          <w:left w:w="0" w:type="dxa"/>
          <w:bottom w:w="0" w:type="dxa"/>
          <w:right w:w="0" w:type="dxa"/>
        </w:tblCellMar>
      </w:tblPr>
      <w:tblGrid>
        <w:gridCol w:w="124"/>
        <w:gridCol w:w="2547"/>
        <w:gridCol w:w="109"/>
        <w:gridCol w:w="109"/>
        <w:gridCol w:w="1693"/>
        <w:gridCol w:w="109"/>
        <w:gridCol w:w="109"/>
        <w:gridCol w:w="1794"/>
        <w:gridCol w:w="154"/>
      </w:tblGrid>
      <w:tr>
        <w:trPr/>
        <w:tc>
          <w:tcPr>
            <w:tcW w:w="124" w:type="dxa"/>
            <w:tcBorders/>
            <w:vAlign w:val="center"/>
          </w:tcPr>
          <w:p>
            <w:pPr>
              <w:pStyle w:val="TableContents"/>
              <w:bidi w:val="0"/>
              <w:spacing w:before="0" w:after="283"/>
              <w:jc w:val="left"/>
              <w:rPr/>
            </w:pPr>
            <w:r>
              <w:rPr/>
              <w:t>​</w:t>
            </w:r>
          </w:p>
        </w:tc>
        <w:tc>
          <w:tcPr>
            <w:tcW w:w="2547" w:type="dxa"/>
            <w:tcBorders/>
            <w:vAlign w:val="center"/>
          </w:tcPr>
          <w:p>
            <w:pPr>
              <w:pStyle w:val="TableContents"/>
              <w:bidi w:val="0"/>
              <w:spacing w:before="0" w:after="283"/>
              <w:jc w:val="left"/>
              <w:rPr/>
            </w:pPr>
            <w:r>
              <w:rPr>
                <w:spacing w:val="-2"/>
              </w:rPr>
              <w:t>Lauren B. Dillard (Chair)</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93" w:type="dxa"/>
            <w:tcBorders/>
            <w:vAlign w:val="center"/>
          </w:tcPr>
          <w:p>
            <w:pPr>
              <w:pStyle w:val="TableContents"/>
              <w:bidi w:val="0"/>
              <w:spacing w:before="0" w:after="0"/>
              <w:jc w:val="center"/>
              <w:rPr/>
            </w:pPr>
            <w:r>
              <w:rPr>
                <w:spacing w:val="-2"/>
              </w:rPr>
              <w:t>Carol N. Brown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94" w:type="dxa"/>
            <w:tcBorders/>
            <w:vAlign w:val="center"/>
          </w:tcPr>
          <w:p>
            <w:pPr>
              <w:pStyle w:val="TableContents"/>
              <w:bidi w:val="0"/>
              <w:spacing w:before="0" w:after="0"/>
              <w:jc w:val="right"/>
              <w:rPr/>
            </w:pPr>
            <w:r>
              <w:rPr>
                <w:spacing w:val="-2"/>
              </w:rPr>
              <w:t>Craig M. Hatkoff</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3" w:name="tPR3"/>
      <w:bookmarkEnd w:id="23"/>
      <w:r>
        <w:rPr>
          <w:rFonts w:ascii="calibri;arial;sans-serif" w:hAnsi="calibri;arial;sans-serif"/>
          <w:b w:val="false"/>
          <w:i w:val="false"/>
          <w:caps w:val="false"/>
          <w:smallCaps w:val="false"/>
          <w:color w:val="000000"/>
          <w:sz w:val="16"/>
        </w:rPr>
        <w:t xml:space="preserve">​ </w:t>
      </w:r>
    </w:p>
    <w:tbl>
      <w:tblPr>
        <w:tblW w:w="4437" w:type="dxa"/>
        <w:jc w:val="left"/>
        <w:tblInd w:w="900" w:type="dxa"/>
        <w:tblLayout w:type="fixed"/>
        <w:tblCellMar>
          <w:top w:w="0" w:type="dxa"/>
          <w:left w:w="0" w:type="dxa"/>
          <w:bottom w:w="0" w:type="dxa"/>
          <w:right w:w="0" w:type="dxa"/>
        </w:tblCellMar>
      </w:tblPr>
      <w:tblGrid>
        <w:gridCol w:w="124"/>
        <w:gridCol w:w="3595"/>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3595" w:type="dxa"/>
            <w:tcBorders/>
            <w:vAlign w:val="center"/>
          </w:tcPr>
          <w:p>
            <w:pPr>
              <w:pStyle w:val="TableContents"/>
              <w:bidi w:val="0"/>
              <w:spacing w:lineRule="atLeast" w:line="200" w:before="0" w:after="0"/>
              <w:jc w:val="left"/>
              <w:rPr/>
            </w:pPr>
            <w:r>
              <w:rPr>
                <w:spacing w:val="-2"/>
              </w:rPr>
              <w:t>AUDIT COMMITTEE MATTERS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color w:val="1F2668"/>
                <w:sz w:val="24"/>
              </w:rPr>
            </w:pPr>
            <w:r>
              <w:rPr>
                <w:color w:val="1F2668"/>
                <w:sz w:val="24"/>
              </w:rPr>
              <w:t>83</w:t>
            </w:r>
          </w:p>
        </w:tc>
        <w:tc>
          <w:tcPr>
            <w:tcW w:w="154" w:type="dxa"/>
            <w:tcBorders/>
            <w:vAlign w:val="center"/>
          </w:tcPr>
          <w:p>
            <w:pPr>
              <w:pStyle w:val="TableContents"/>
              <w:bidi w:val="0"/>
              <w:spacing w:before="0" w:after="283"/>
              <w:jc w:val="left"/>
              <w:rPr/>
            </w:pPr>
            <w:r>
              <w:rPr/>
              <w:t>​</w:t>
            </w:r>
          </w:p>
        </w:tc>
      </w:tr>
    </w:tbl>
    <w:tbl>
      <w:tblPr>
        <w:tblW w:w="3018" w:type="dxa"/>
        <w:jc w:val="left"/>
        <w:tblInd w:w="0" w:type="dxa"/>
        <w:tblLayout w:type="fixed"/>
        <w:tblCellMar>
          <w:top w:w="0" w:type="dxa"/>
          <w:left w:w="0" w:type="dxa"/>
          <w:bottom w:w="0" w:type="dxa"/>
          <w:right w:w="0" w:type="dxa"/>
        </w:tblCellMar>
      </w:tblPr>
      <w:tblGrid>
        <w:gridCol w:w="124"/>
        <w:gridCol w:w="1652"/>
        <w:gridCol w:w="109"/>
        <w:gridCol w:w="109"/>
        <w:gridCol w:w="326"/>
        <w:gridCol w:w="109"/>
        <w:gridCol w:w="109"/>
        <w:gridCol w:w="326"/>
        <w:gridCol w:w="154"/>
      </w:tblGrid>
      <w:tr>
        <w:trPr/>
        <w:tc>
          <w:tcPr>
            <w:tcW w:w="124" w:type="dxa"/>
            <w:vMerge w:val="restart"/>
            <w:tcBorders/>
            <w:shd w:fill="E9F9D8" w:val="clear"/>
            <w:vAlign w:val="center"/>
          </w:tcPr>
          <w:p>
            <w:pPr>
              <w:pStyle w:val="TableContents"/>
              <w:bidi w:val="0"/>
              <w:spacing w:before="0" w:after="283"/>
              <w:jc w:val="left"/>
              <w:rPr/>
            </w:pPr>
            <w:r>
              <w:rPr/>
              <w:t>​</w:t>
            </w:r>
          </w:p>
        </w:tc>
        <w:tc>
          <w:tcPr>
            <w:tcW w:w="1652" w:type="dxa"/>
            <w:vMerge w:val="restart"/>
            <w:tcBorders/>
            <w:shd w:fill="E9F9D8" w:val="clear"/>
            <w:tcMar>
              <w:top w:w="28" w:type="dxa"/>
              <w:left w:w="28" w:type="dxa"/>
              <w:bottom w:w="28" w:type="dxa"/>
              <w:right w:w="28" w:type="dxa"/>
            </w:tcMar>
            <w:vAlign w:val="center"/>
          </w:tcPr>
          <w:p>
            <w:pPr>
              <w:pStyle w:val="TableContents"/>
              <w:bidi w:val="0"/>
              <w:spacing w:lineRule="atLeast" w:line="280" w:before="0" w:after="0"/>
              <w:jc w:val="left"/>
              <w:rPr>
                <w:b/>
                <w:color w:val="83AD40"/>
                <w:sz w:val="24"/>
              </w:rPr>
            </w:pPr>
            <w:r>
              <w:rPr>
                <w:b/>
                <w:color w:val="83AD40"/>
                <w:spacing w:val="-2"/>
                <w:sz w:val="24"/>
              </w:rPr>
              <w:t>PROPOSAL 3</w:t>
            </w:r>
            <w:r>
              <w:rPr>
                <w:b/>
                <w:color w:val="000000"/>
                <w:sz w:val="24"/>
              </w:rPr>
              <w:t>​</w:t>
            </w:r>
            <w:r>
              <w:rPr>
                <w:b/>
                <w:color w:val="83AD40"/>
                <w:sz w:val="24"/>
              </w:rPr>
              <w:t xml:space="preserve"> </w:t>
            </w:r>
          </w:p>
        </w:tc>
        <w:tc>
          <w:tcPr>
            <w:tcW w:w="109" w:type="dxa"/>
            <w:vMerge w:val="restart"/>
            <w:tcBorders/>
            <w:shd w:fill="E9F9D8" w:val="clear"/>
            <w:vAlign w:val="center"/>
          </w:tcPr>
          <w:p>
            <w:pPr>
              <w:pStyle w:val="TableContents"/>
              <w:bidi w:val="0"/>
              <w:spacing w:before="0" w:after="283"/>
              <w:jc w:val="left"/>
              <w:rPr/>
            </w:pPr>
            <w:r>
              <w:rPr/>
              <w:t>​</w:t>
            </w:r>
          </w:p>
        </w:tc>
        <w:tc>
          <w:tcPr>
            <w:tcW w:w="109" w:type="dxa"/>
            <w:tcBorders>
              <w:bottom w:val="single" w:sz="2" w:space="0" w:color="83AD40"/>
            </w:tcBorders>
            <w:shd w:fill="E9F9D8" w:val="clear"/>
            <w:tcMar>
              <w:bottom w:w="28" w:type="dxa"/>
            </w:tcMar>
            <w:vAlign w:val="center"/>
          </w:tcPr>
          <w:p>
            <w:pPr>
              <w:pStyle w:val="TableContents"/>
              <w:bidi w:val="0"/>
              <w:spacing w:before="0" w:after="283"/>
              <w:jc w:val="left"/>
              <w:rPr/>
            </w:pPr>
            <w:r>
              <w:rPr/>
              <w:t>​</w:t>
            </w:r>
          </w:p>
        </w:tc>
        <w:tc>
          <w:tcPr>
            <w:tcW w:w="326" w:type="dxa"/>
            <w:tcBorders>
              <w:bottom w:val="single" w:sz="2" w:space="0" w:color="83AD40"/>
            </w:tcBorders>
            <w:shd w:fill="E9F9D8" w:val="clear"/>
            <w:tcMar>
              <w:bottom w:w="28" w:type="dxa"/>
            </w:tcMar>
            <w:vAlign w:val="center"/>
          </w:tcPr>
          <w:p>
            <w:pPr>
              <w:pStyle w:val="TableContents"/>
              <w:bidi w:val="0"/>
              <w:spacing w:lineRule="atLeast" w:line="142" w:before="0" w:after="0"/>
              <w:jc w:val="left"/>
              <w:rPr>
                <w:spacing w:val="0"/>
              </w:rPr>
            </w:pPr>
            <w:r>
              <w:rPr>
                <w:spacing w:val="0"/>
              </w:rPr>
              <w:t xml:space="preserve">    </w:t>
            </w:r>
          </w:p>
        </w:tc>
        <w:tc>
          <w:tcPr>
            <w:tcW w:w="109" w:type="dxa"/>
            <w:tcBorders>
              <w:bottom w:val="single" w:sz="2" w:space="0" w:color="83AD40"/>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326" w:type="dxa"/>
            <w:tcBorders>
              <w:bottom w:val="single" w:sz="2" w:space="0" w:color="E9F9D8"/>
            </w:tcBorders>
            <w:shd w:fill="E9F9D8" w:val="clear"/>
            <w:tcMar>
              <w:bottom w:w="28" w:type="dxa"/>
            </w:tcMar>
            <w:vAlign w:val="center"/>
          </w:tcPr>
          <w:p>
            <w:pPr>
              <w:pStyle w:val="TableContents"/>
              <w:bidi w:val="0"/>
              <w:spacing w:lineRule="atLeast" w:line="142" w:before="0" w:after="0"/>
              <w:jc w:val="left"/>
              <w:rPr>
                <w:spacing w:val="0"/>
              </w:rPr>
            </w:pPr>
            <w:r>
              <w:rPr>
                <w:spacing w:val="0"/>
              </w:rPr>
              <w:t xml:space="preserve">    </w:t>
            </w:r>
          </w:p>
        </w:tc>
        <w:tc>
          <w:tcPr>
            <w:tcW w:w="154"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r>
      <w:tr>
        <w:trPr/>
        <w:tc>
          <w:tcPr>
            <w:tcW w:w="124" w:type="dxa"/>
            <w:vMerge w:val="continue"/>
            <w:tcBorders/>
            <w:shd w:fill="E9F9D8" w:val="clear"/>
            <w:vAlign w:val="center"/>
          </w:tcPr>
          <w:p>
            <w:pPr>
              <w:pStyle w:val="Normal"/>
              <w:bidi w:val="0"/>
              <w:jc w:val="left"/>
              <w:rPr/>
            </w:pPr>
            <w:r>
              <w:rPr/>
            </w:r>
          </w:p>
        </w:tc>
        <w:tc>
          <w:tcPr>
            <w:tcW w:w="1652" w:type="dxa"/>
            <w:vMerge w:val="continue"/>
            <w:tcBorders/>
            <w:shd w:fill="E9F9D8" w:val="clear"/>
            <w:tcMar>
              <w:top w:w="28" w:type="dxa"/>
              <w:left w:w="28" w:type="dxa"/>
              <w:bottom w:w="28" w:type="dxa"/>
              <w:right w:w="28" w:type="dxa"/>
            </w:tcMar>
            <w:vAlign w:val="center"/>
          </w:tcPr>
          <w:p>
            <w:pPr>
              <w:pStyle w:val="Normal"/>
              <w:bidi w:val="0"/>
              <w:jc w:val="left"/>
              <w:rPr/>
            </w:pPr>
            <w:r>
              <w:rPr/>
            </w:r>
          </w:p>
        </w:tc>
        <w:tc>
          <w:tcPr>
            <w:tcW w:w="109" w:type="dxa"/>
            <w:vMerge w:val="continue"/>
            <w:tcBorders/>
            <w:shd w:fill="E9F9D8" w:val="clear"/>
            <w:vAlign w:val="center"/>
          </w:tcPr>
          <w:p>
            <w:pPr>
              <w:pStyle w:val="Normal"/>
              <w:bidi w:val="0"/>
              <w:jc w:val="left"/>
              <w:rPr/>
            </w:pPr>
            <w:r>
              <w:rPr/>
            </w:r>
          </w:p>
        </w:tc>
        <w:tc>
          <w:tcPr>
            <w:tcW w:w="109" w:type="dxa"/>
            <w:tcBorders/>
            <w:shd w:fill="E9F9D8" w:val="clear"/>
            <w:vAlign w:val="center"/>
          </w:tcPr>
          <w:p>
            <w:pPr>
              <w:pStyle w:val="TableContents"/>
              <w:bidi w:val="0"/>
              <w:spacing w:before="0" w:after="283"/>
              <w:jc w:val="left"/>
              <w:rPr/>
            </w:pPr>
            <w:r>
              <w:rPr/>
              <w:t>​</w:t>
            </w:r>
          </w:p>
        </w:tc>
        <w:tc>
          <w:tcPr>
            <w:tcW w:w="326" w:type="dxa"/>
            <w:tcBorders/>
            <w:shd w:fill="E9F9D8" w:val="clear"/>
            <w:tcMar>
              <w:top w:w="28" w:type="dxa"/>
              <w:left w:w="28" w:type="dxa"/>
              <w:bottom w:w="28" w:type="dxa"/>
              <w:right w:w="28" w:type="dxa"/>
            </w:tcMar>
            <w:vAlign w:val="center"/>
          </w:tcPr>
          <w:p>
            <w:pPr>
              <w:pStyle w:val="TableContents"/>
              <w:bidi w:val="0"/>
              <w:spacing w:lineRule="atLeast" w:line="142" w:before="0" w:after="0"/>
              <w:jc w:val="left"/>
              <w:rPr>
                <w:spacing w:val="0"/>
              </w:rPr>
            </w:pPr>
            <w:r>
              <w:rPr>
                <w:spacing w:val="0"/>
              </w:rPr>
              <w:t xml:space="preserve">    </w:t>
            </w:r>
          </w:p>
        </w:tc>
        <w:tc>
          <w:tcPr>
            <w:tcW w:w="109" w:type="dxa"/>
            <w:tcBorders/>
            <w:shd w:fill="E9F9D8" w:val="clear"/>
            <w:vAlign w:val="center"/>
          </w:tcPr>
          <w:p>
            <w:pPr>
              <w:pStyle w:val="TableContents"/>
              <w:bidi w:val="0"/>
              <w:spacing w:before="0" w:after="283"/>
              <w:jc w:val="left"/>
              <w:rPr/>
            </w:pPr>
            <w:r>
              <w:rPr/>
              <w:t>​</w:t>
            </w:r>
          </w:p>
        </w:tc>
        <w:tc>
          <w:tcPr>
            <w:tcW w:w="109" w:type="dxa"/>
            <w:tcBorders/>
            <w:shd w:fill="E9F9D8" w:val="clear"/>
            <w:vAlign w:val="center"/>
          </w:tcPr>
          <w:p>
            <w:pPr>
              <w:pStyle w:val="TableContents"/>
              <w:bidi w:val="0"/>
              <w:spacing w:before="0" w:after="283"/>
              <w:jc w:val="left"/>
              <w:rPr/>
            </w:pPr>
            <w:r>
              <w:rPr/>
              <w:t>​</w:t>
            </w:r>
          </w:p>
        </w:tc>
        <w:tc>
          <w:tcPr>
            <w:tcW w:w="326" w:type="dxa"/>
            <w:tcBorders/>
            <w:shd w:fill="E9F9D8" w:val="clear"/>
            <w:tcMar>
              <w:top w:w="28" w:type="dxa"/>
              <w:left w:w="28" w:type="dxa"/>
              <w:bottom w:w="28" w:type="dxa"/>
              <w:right w:w="28" w:type="dxa"/>
            </w:tcMar>
            <w:vAlign w:val="center"/>
          </w:tcPr>
          <w:p>
            <w:pPr>
              <w:pStyle w:val="TableContents"/>
              <w:bidi w:val="0"/>
              <w:spacing w:lineRule="atLeast" w:line="142" w:before="0" w:after="0"/>
              <w:jc w:val="left"/>
              <w:rPr/>
            </w:pPr>
            <w:r>
              <w:rPr>
                <w:spacing w:val="0"/>
              </w:rPr>
              <w:t>   </w:t>
            </w:r>
            <w:r>
              <w:rPr/>
              <w:t xml:space="preserve"> </w:t>
            </w:r>
          </w:p>
        </w:tc>
        <w:tc>
          <w:tcPr>
            <w:tcW w:w="154" w:type="dxa"/>
            <w:tcBorders/>
            <w:shd w:fill="E9F9D8" w:val="clear"/>
            <w:vAlign w:val="center"/>
          </w:tcPr>
          <w:p>
            <w:pPr>
              <w:pStyle w:val="TableContents"/>
              <w:bidi w:val="0"/>
              <w:spacing w:before="0" w:after="283"/>
              <w:jc w:val="left"/>
              <w:rPr/>
            </w:pPr>
            <w:r>
              <w:rPr/>
              <w:t>​</w:t>
            </w:r>
          </w:p>
        </w:tc>
      </w:tr>
    </w:tbl>
    <w:tbl>
      <w:tblPr>
        <w:tblW w:w="10205" w:type="dxa"/>
        <w:jc w:val="left"/>
        <w:tblInd w:w="0" w:type="dxa"/>
        <w:tblLayout w:type="fixed"/>
        <w:tblCellMar>
          <w:top w:w="0" w:type="dxa"/>
          <w:left w:w="0" w:type="dxa"/>
          <w:bottom w:w="0" w:type="dxa"/>
          <w:right w:w="0" w:type="dxa"/>
        </w:tblCellMar>
      </w:tblPr>
      <w:tblGrid>
        <w:gridCol w:w="124"/>
        <w:gridCol w:w="9927"/>
        <w:gridCol w:w="154"/>
      </w:tblGrid>
      <w:tr>
        <w:trPr/>
        <w:tc>
          <w:tcPr>
            <w:tcW w:w="124" w:type="dxa"/>
            <w:tcBorders/>
            <w:shd w:fill="E9F9D8" w:val="clear"/>
            <w:vAlign w:val="center"/>
          </w:tcPr>
          <w:p>
            <w:pPr>
              <w:pStyle w:val="TableContents"/>
              <w:bidi w:val="0"/>
              <w:spacing w:before="0" w:after="283"/>
              <w:jc w:val="left"/>
              <w:rPr/>
            </w:pPr>
            <w:r>
              <w:rPr/>
              <w:t>​</w:t>
            </w:r>
          </w:p>
        </w:tc>
        <w:tc>
          <w:tcPr>
            <w:tcW w:w="9927" w:type="dxa"/>
            <w:tcBorders/>
            <w:shd w:fill="E9F9D8" w:val="clear"/>
            <w:vAlign w:val="center"/>
          </w:tcPr>
          <w:p>
            <w:pPr>
              <w:pStyle w:val="TableContents"/>
              <w:bidi w:val="0"/>
              <w:spacing w:lineRule="atLeast" w:line="410" w:before="0" w:after="0"/>
              <w:jc w:val="left"/>
              <w:rPr/>
            </w:pPr>
            <w:r>
              <w:rPr>
                <w:caps/>
                <w:spacing w:val="-4"/>
              </w:rPr>
              <w:t xml:space="preserve">RATIFICATION OF APPOINTMENT OF </w:t>
              <w:br/>
              <w:t xml:space="preserve">INDEPENDENT REGISTERED PUBLIC </w:t>
              <w:br/>
              <w:t>ACCOUNTING FIRM</w:t>
            </w:r>
            <w:r>
              <w:rPr>
                <w:color w:val="000000"/>
              </w:rPr>
              <w:t>​</w:t>
            </w:r>
            <w:r>
              <w:rPr/>
              <w:t xml:space="preserve"> </w:t>
            </w:r>
          </w:p>
        </w:tc>
        <w:tc>
          <w:tcPr>
            <w:tcW w:w="154" w:type="dxa"/>
            <w:tcBorders/>
            <w:shd w:fill="E9F9D8" w:val="clear"/>
            <w:vAlign w:val="center"/>
          </w:tcPr>
          <w:p>
            <w:pPr>
              <w:pStyle w:val="TableContents"/>
              <w:bidi w:val="0"/>
              <w:spacing w:before="0" w:after="283"/>
              <w:jc w:val="left"/>
              <w:rPr/>
            </w:pPr>
            <w:r>
              <w:rPr/>
              <w:t>​</w:t>
            </w:r>
          </w:p>
        </w:tc>
      </w:tr>
      <w:tr>
        <w:trPr/>
        <w:tc>
          <w:tcPr>
            <w:tcW w:w="124" w:type="dxa"/>
            <w:tcBorders/>
            <w:shd w:fill="E9F9D8" w:val="clear"/>
            <w:vAlign w:val="center"/>
          </w:tcPr>
          <w:p>
            <w:pPr>
              <w:pStyle w:val="TableContents"/>
              <w:bidi w:val="0"/>
              <w:spacing w:before="0" w:after="283"/>
              <w:jc w:val="left"/>
              <w:rPr/>
            </w:pPr>
            <w:r>
              <w:rPr/>
              <w:t>​</w:t>
            </w:r>
          </w:p>
        </w:tc>
        <w:tc>
          <w:tcPr>
            <w:tcW w:w="9927" w:type="dxa"/>
            <w:tcBorders/>
            <w:shd w:fill="E9F9D8" w:val="clear"/>
            <w:vAlign w:val="center"/>
          </w:tcPr>
          <w:p>
            <w:pPr>
              <w:pStyle w:val="TableContents"/>
              <w:bidi w:val="0"/>
              <w:spacing w:lineRule="atLeast" w:line="220" w:before="0" w:after="0"/>
              <w:jc w:val="left"/>
              <w:rPr/>
            </w:pPr>
            <w:r>
              <w:rPr>
                <w:spacing w:val="-2"/>
              </w:rPr>
              <w:t>The Audit Committee of the Board has appointed the accounting firm of Deloitte &amp; Touche LLP to serve as our independent registered public accounting firm for the fiscal year ending December 31, 2026. Stockholder ratification of the appointment of Deloitte &amp; Touche LLP is not required by law, the NYSE or the Company’s organizational documents. However, as a matter of good corporate governance, the Board has elected to submit the appointment of Deloitte &amp; Touche LLP to the stockholders for ratification at the 2026 Annual Meeting. Even if the appointment is ratified, the Audit Committee, in its discretion, may select a different independent registered public accounting firm at any time if the Audit Committee believes that such a change would be in the best interests of the Company and its stockholders. If our stockholders do not ratify the appointment of Deloitte &amp; Touche LLP, the Audit Committee will take that fact into consideration, together with such other factors it deems relevant, in determining its next selection of an independent registered public accounting firm. Deloitte &amp; Touche LLP has served as our independent registered public accounting firm commencing with our fiscal year beginning January 1, 2024 and is considered by our management to be well-qualified. Deloitte &amp; Touche LLP has advised us that neither it nor any member thereof has any financial interest, direct or indirect, in the Company or any of our subsidiaries in any capacity.</w:t>
            </w:r>
            <w:r>
              <w:rPr/>
              <w:t xml:space="preserve"> </w:t>
            </w:r>
          </w:p>
        </w:tc>
        <w:tc>
          <w:tcPr>
            <w:tcW w:w="154" w:type="dxa"/>
            <w:tcBorders/>
            <w:shd w:fill="E9F9D8" w:val="clear"/>
            <w:vAlign w:val="center"/>
          </w:tcPr>
          <w:p>
            <w:pPr>
              <w:pStyle w:val="TableContents"/>
              <w:bidi w:val="0"/>
              <w:spacing w:before="0" w:after="283"/>
              <w:jc w:val="left"/>
              <w:rPr/>
            </w:pPr>
            <w:r>
              <w:rPr/>
              <w:t>​</w:t>
            </w:r>
          </w:p>
        </w:tc>
      </w:tr>
      <w:tr>
        <w:trPr/>
        <w:tc>
          <w:tcPr>
            <w:tcW w:w="124" w:type="dxa"/>
            <w:tcBorders/>
            <w:shd w:fill="E9F9D8" w:val="clear"/>
            <w:vAlign w:val="center"/>
          </w:tcPr>
          <w:p>
            <w:pPr>
              <w:pStyle w:val="TableContents"/>
              <w:bidi w:val="0"/>
              <w:spacing w:before="0" w:after="283"/>
              <w:jc w:val="left"/>
              <w:rPr/>
            </w:pPr>
            <w:r>
              <w:rPr/>
              <w:t>​</w:t>
            </w:r>
          </w:p>
        </w:tc>
        <w:tc>
          <w:tcPr>
            <w:tcW w:w="9927" w:type="dxa"/>
            <w:tcBorders/>
            <w:shd w:fill="E9F9D8" w:val="clear"/>
            <w:vAlign w:val="center"/>
          </w:tcPr>
          <w:p>
            <w:pPr>
              <w:pStyle w:val="TableContents"/>
              <w:bidi w:val="0"/>
              <w:spacing w:lineRule="atLeast" w:line="220" w:before="0" w:after="0"/>
              <w:jc w:val="left"/>
              <w:rPr/>
            </w:pPr>
            <w:r>
              <w:rPr>
                <w:spacing w:val="-2"/>
              </w:rPr>
              <w:t>A representative of Deloitte &amp; Touche LLP will attend the Annual Meeting, will be given the opportunity to make a statement at the Annual Meeting if he or she so desires and will be available to respond to appropriate questions.</w:t>
            </w:r>
            <w:r>
              <w:rPr/>
              <w:t xml:space="preserve"> </w:t>
            </w:r>
          </w:p>
        </w:tc>
        <w:tc>
          <w:tcPr>
            <w:tcW w:w="154" w:type="dxa"/>
            <w:tcBorders/>
            <w:shd w:fill="E9F9D8" w:val="clear"/>
            <w:vAlign w:val="center"/>
          </w:tcPr>
          <w:p>
            <w:pPr>
              <w:pStyle w:val="TableContents"/>
              <w:bidi w:val="0"/>
              <w:spacing w:before="0" w:after="283"/>
              <w:jc w:val="left"/>
              <w:rPr/>
            </w:pPr>
            <w:r>
              <w:rPr/>
              <w:t>​</w:t>
            </w:r>
          </w:p>
        </w:tc>
      </w:tr>
      <w:tr>
        <w:trPr/>
        <w:tc>
          <w:tcPr>
            <w:tcW w:w="124" w:type="dxa"/>
            <w:tcBorders/>
            <w:shd w:fill="E9F9D8" w:val="clear"/>
            <w:vAlign w:val="center"/>
          </w:tcPr>
          <w:p>
            <w:pPr>
              <w:pStyle w:val="TableContents"/>
              <w:bidi w:val="0"/>
              <w:spacing w:before="0" w:after="283"/>
              <w:jc w:val="left"/>
              <w:rPr/>
            </w:pPr>
            <w:r>
              <w:rPr/>
              <w:t>​</w:t>
            </w:r>
          </w:p>
        </w:tc>
        <w:tc>
          <w:tcPr>
            <w:tcW w:w="9927" w:type="dxa"/>
            <w:tcBorders/>
            <w:shd w:fill="E9F9D8" w:val="clear"/>
            <w:vAlign w:val="center"/>
          </w:tcPr>
          <w:p>
            <w:pPr>
              <w:pStyle w:val="TableContents"/>
              <w:bidi w:val="0"/>
              <w:spacing w:lineRule="atLeast" w:line="220" w:before="0" w:after="0"/>
              <w:jc w:val="left"/>
              <w:rPr/>
            </w:pPr>
            <w:r>
              <w:rPr>
                <w:spacing w:val="-2"/>
              </w:rPr>
              <w:t>A majority of all of the votes cast with respect to this proposal is required for the ratification of the appointment of Deloitte &amp; Touche LLP as our independent registered public accounting firm for the fiscal year ending December 31, 2026. Abstentions do not constitute a vote “for” or “against” and will not be counted as “votes cast”. Therefore, abstentions will have no effect on this proposal.</w:t>
            </w:r>
            <w:r>
              <w:rPr/>
              <w:t xml:space="preserve"> </w:t>
            </w:r>
          </w:p>
        </w:tc>
        <w:tc>
          <w:tcPr>
            <w:tcW w:w="154" w:type="dxa"/>
            <w:tcBorders/>
            <w:shd w:fill="E9F9D8" w:val="clear"/>
            <w:vAlign w:val="center"/>
          </w:tcPr>
          <w:p>
            <w:pPr>
              <w:pStyle w:val="TableContents"/>
              <w:bidi w:val="0"/>
              <w:spacing w:before="0" w:after="283"/>
              <w:jc w:val="left"/>
              <w:rPr/>
            </w:pPr>
            <w:r>
              <w:rPr/>
              <w:t>​</w:t>
            </w:r>
          </w:p>
        </w:tc>
      </w:tr>
    </w:tbl>
    <w:tbl>
      <w:tblPr>
        <w:tblW w:w="10205" w:type="dxa"/>
        <w:jc w:val="left"/>
        <w:tblInd w:w="0" w:type="dxa"/>
        <w:tblLayout w:type="fixed"/>
        <w:tblCellMar>
          <w:top w:w="0" w:type="dxa"/>
          <w:left w:w="0" w:type="dxa"/>
          <w:bottom w:w="0" w:type="dxa"/>
          <w:right w:w="0" w:type="dxa"/>
        </w:tblCellMar>
      </w:tblPr>
      <w:tblGrid>
        <w:gridCol w:w="124"/>
        <w:gridCol w:w="109"/>
        <w:gridCol w:w="8654"/>
        <w:gridCol w:w="109"/>
        <w:gridCol w:w="109"/>
        <w:gridCol w:w="836"/>
        <w:gridCol w:w="109"/>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96" w:space="0" w:color="E9F9D8"/>
            </w:tcBorders>
            <w:tcMar>
              <w:bottom w:w="28" w:type="dxa"/>
            </w:tcMar>
            <w:vAlign w:val="center"/>
          </w:tcPr>
          <w:p>
            <w:pPr>
              <w:pStyle w:val="TableContents"/>
              <w:bidi w:val="0"/>
              <w:spacing w:before="0" w:after="283"/>
              <w:jc w:val="left"/>
              <w:rPr/>
            </w:pPr>
            <w:r>
              <w:rPr/>
              <w:t>​</w:t>
            </w:r>
          </w:p>
        </w:tc>
        <w:tc>
          <w:tcPr>
            <w:tcW w:w="8654" w:type="dxa"/>
            <w:tcBorders>
              <w:bottom w:val="single" w:sz="96" w:space="0" w:color="E9F9D8"/>
            </w:tcBorders>
            <w:tcMar>
              <w:bottom w:w="190" w:type="dxa"/>
            </w:tcMar>
            <w:vAlign w:val="center"/>
          </w:tcPr>
          <w:p>
            <w:pPr>
              <w:pStyle w:val="TableContents"/>
              <w:bidi w:val="0"/>
              <w:spacing w:lineRule="atLeast" w:line="260" w:before="0" w:after="0"/>
              <w:jc w:val="left"/>
              <w:rPr/>
            </w:pPr>
            <w:r>
              <w:rPr>
                <w:spacing w:val="-2"/>
              </w:rPr>
              <w:t xml:space="preserve">The Board unanimously recommends a vote </w:t>
            </w:r>
            <w:r>
              <w:rPr>
                <w:color w:val="83AD40"/>
              </w:rPr>
              <w:t>“FOR”</w:t>
            </w:r>
            <w:r>
              <w:rPr>
                <w:spacing w:val="-2"/>
              </w:rPr>
              <w:t xml:space="preserve"> the ratification of the appointment of Deloitte &amp; Touche LLP as our independent registered public accounting firm. </w:t>
            </w:r>
          </w:p>
        </w:tc>
        <w:tc>
          <w:tcPr>
            <w:tcW w:w="109" w:type="dxa"/>
            <w:tcBorders>
              <w:bottom w:val="single" w:sz="96" w:space="0" w:color="E9F9D8"/>
            </w:tcBorders>
            <w:tcMar>
              <w:bottom w:w="28" w:type="dxa"/>
            </w:tcMar>
            <w:vAlign w:val="center"/>
          </w:tcPr>
          <w:p>
            <w:pPr>
              <w:pStyle w:val="TableContents"/>
              <w:bidi w:val="0"/>
              <w:spacing w:before="0" w:after="283"/>
              <w:jc w:val="left"/>
              <w:rPr/>
            </w:pPr>
            <w:r>
              <w:rPr/>
              <w:t>​</w:t>
            </w:r>
          </w:p>
        </w:tc>
        <w:tc>
          <w:tcPr>
            <w:tcW w:w="109" w:type="dxa"/>
            <w:tcBorders>
              <w:bottom w:val="single" w:sz="96" w:space="0" w:color="E9F9D8"/>
            </w:tcBorders>
            <w:tcMar>
              <w:bottom w:w="28" w:type="dxa"/>
            </w:tcMar>
            <w:vAlign w:val="center"/>
          </w:tcPr>
          <w:p>
            <w:pPr>
              <w:pStyle w:val="TableContents"/>
              <w:bidi w:val="0"/>
              <w:spacing w:before="0" w:after="283"/>
              <w:jc w:val="left"/>
              <w:rPr/>
            </w:pPr>
            <w:r>
              <w:rPr/>
              <w:t>​</w:t>
            </w:r>
          </w:p>
        </w:tc>
        <w:tc>
          <w:tcPr>
            <w:tcW w:w="836" w:type="dxa"/>
            <w:tcBorders>
              <w:bottom w:val="single" w:sz="96" w:space="0" w:color="E9F9D8"/>
            </w:tcBorders>
            <w:tcMar>
              <w:bottom w:w="190" w:type="dxa"/>
            </w:tcMar>
            <w:vAlign w:val="center"/>
          </w:tcPr>
          <w:p>
            <w:pPr>
              <w:pStyle w:val="TableContents"/>
              <w:bidi w:val="0"/>
              <w:spacing w:before="0" w:after="283"/>
              <w:jc w:val="center"/>
              <w:rPr/>
            </w:pPr>
            <w:r>
              <w:rPr/>
              <w:drawing>
                <wp:inline distT="0" distB="0" distL="0" distR="0">
                  <wp:extent cx="457200" cy="457200"/>
                  <wp:effectExtent l="0" t="0" r="0" b="0"/>
                  <wp:docPr id="925" name="Image2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5" name="Image256" descr=""/>
                          <pic:cNvPicPr>
                            <a:picLocks noChangeAspect="1" noChangeArrowheads="1"/>
                          </pic:cNvPicPr>
                        </pic:nvPicPr>
                        <pic:blipFill>
                          <a:blip r:embed="rId361"/>
                          <a:stretch>
                            <a:fillRect/>
                          </a:stretch>
                        </pic:blipFill>
                        <pic:spPr bwMode="auto">
                          <a:xfrm>
                            <a:off x="0" y="0"/>
                            <a:ext cx="457200" cy="457200"/>
                          </a:xfrm>
                          <a:prstGeom prst="rect">
                            <a:avLst/>
                          </a:prstGeom>
                        </pic:spPr>
                      </pic:pic>
                    </a:graphicData>
                  </a:graphic>
                </wp:inline>
              </w:drawing>
            </w:r>
            <w:r>
              <w:rPr/>
              <w:t xml:space="preserve"> </w:t>
            </w:r>
          </w:p>
        </w:tc>
        <w:tc>
          <w:tcPr>
            <w:tcW w:w="109" w:type="dxa"/>
            <w:tcBorders>
              <w:bottom w:val="single" w:sz="96" w:space="0" w:color="E9F9D8"/>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 w:name="tPPAP"/>
      <w:bookmarkEnd w:id="24"/>
      <w:r>
        <w:rPr>
          <w:rFonts w:ascii="calibri;arial;sans-serif" w:hAnsi="calibri;arial;sans-serif"/>
          <w:b w:val="false"/>
          <w:i w:val="false"/>
          <w:caps w:val="false"/>
          <w:smallCaps w:val="false"/>
          <w:color w:val="000000"/>
          <w:sz w:val="16"/>
        </w:rPr>
        <w:t>​</w:t>
      </w:r>
      <w:bookmarkStart w:id="25" w:name="tFEDI"/>
      <w:bookmarkEnd w:id="25"/>
      <w:r>
        <w:rPr>
          <w:rFonts w:ascii="calibri;arial;sans-serif" w:hAnsi="calibri;arial;sans-serif"/>
          <w:b w:val="false"/>
          <w:i w:val="false"/>
          <w:caps w:val="false"/>
          <w:smallCaps w:val="false"/>
          <w:color w:val="000000"/>
          <w:sz w:val="16"/>
        </w:rPr>
        <w:t xml:space="preserve">​ </w:t>
      </w:r>
    </w:p>
    <w:tbl>
      <w:tblPr>
        <w:tblW w:w="5225" w:type="dxa"/>
        <w:jc w:val="left"/>
        <w:tblInd w:w="900" w:type="dxa"/>
        <w:tblLayout w:type="fixed"/>
        <w:tblCellMar>
          <w:top w:w="0" w:type="dxa"/>
          <w:left w:w="0" w:type="dxa"/>
          <w:bottom w:w="0" w:type="dxa"/>
          <w:right w:w="0" w:type="dxa"/>
        </w:tblCellMar>
      </w:tblPr>
      <w:tblGrid>
        <w:gridCol w:w="124"/>
        <w:gridCol w:w="346"/>
        <w:gridCol w:w="109"/>
        <w:gridCol w:w="109"/>
        <w:gridCol w:w="4383"/>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84</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383" w:type="dxa"/>
            <w:tcBorders/>
            <w:vAlign w:val="center"/>
          </w:tcPr>
          <w:p>
            <w:pPr>
              <w:pStyle w:val="TableContents"/>
              <w:bidi w:val="0"/>
              <w:spacing w:lineRule="atLeast" w:line="200" w:before="0" w:after="0"/>
              <w:jc w:val="left"/>
              <w:rPr/>
            </w:pPr>
            <w:r>
              <w:rPr>
                <w:spacing w:val="-2"/>
              </w:rPr>
              <w:t>    </w:t>
            </w:r>
            <w:r>
              <w:rPr>
                <w:spacing w:val="-2"/>
                <w:sz w:val="16"/>
              </w:rPr>
              <w:t>SL GREEN REALTY CORP. 2026 PROXY STATEMENT</w:t>
            </w:r>
            <w:r>
              <w:rPr>
                <w:sz w:val="16"/>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360" w:before="560" w:after="154"/>
        <w:ind w:left="900" w:right="0" w:hanging="0"/>
        <w:jc w:val="left"/>
        <w:rPr>
          <w:rFonts w:ascii="Arial;Helvetica;sans-serif" w:hAnsi="Arial;Helvetica;sans-serif"/>
          <w:b/>
          <w:i w:val="false"/>
          <w:caps w:val="false"/>
          <w:smallCaps w:val="false"/>
          <w:color w:val="83AD40"/>
          <w:sz w:val="32"/>
        </w:rPr>
      </w:pPr>
      <w:r>
        <w:rPr>
          <w:rFonts w:ascii="Arial;Helvetica;sans-serif" w:hAnsi="Arial;Helvetica;sans-serif"/>
          <w:b/>
          <w:i w:val="false"/>
          <w:caps/>
          <w:color w:val="83AD40"/>
          <w:spacing w:val="-3"/>
          <w:sz w:val="32"/>
        </w:rPr>
        <w:t xml:space="preserve">PRE-APPROVAL POLICIES AND PROCEDURES OF </w:t>
        <w:br/>
        <w:t>OUR AUDIT COMMITTEE</w:t>
      </w:r>
      <w:r>
        <w:rPr>
          <w:rFonts w:ascii="Arial;Helvetica;sans-serif" w:hAnsi="Arial;Helvetica;sans-serif"/>
          <w:b/>
          <w:i w:val="false"/>
          <w:caps w:val="false"/>
          <w:smallCaps w:val="false"/>
          <w:color w:val="000000"/>
          <w:spacing w:val="6"/>
          <w:sz w:val="32"/>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Our Audit Committee must pre-approve all audit services and permissible non-audit services provided by our independent registered public accounting firm, except for any de minimis non-audit services. Non-audit services are considered de minimis if: (1) the aggregate amount of all such non-audit services constitutes less than five percent of the total amount of revenues we paid to our independent registered public accounting firm during the fiscal year in which they are provided; (2) we did not recognize such services at the time of the engagement to be non-audit services; and (3) such services are promptly brought to our Audit Committee’s or any of its members’ attention and approved by our Audit Committee or any of its members who has authority to give such approval prior to the completion of the audit. None of the fees reflected below were incurred as a result of non-audit services provided by our independent registered public accounting firm pursuant to this de minimis exception. All services provided by Deloitte &amp; Touche LLP, our independent registered public accounting firm, in 2025 were pre-approved by our Audit Committee. Our Audit Committee may delegate to one or more of its members who is an independent director the authority to grant pre-approvals.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360" w:before="400" w:after="283"/>
        <w:jc w:val="left"/>
        <w:rPr>
          <w:rFonts w:ascii="Arial;Helvetica;sans-serif" w:hAnsi="Arial;Helvetica;sans-serif"/>
          <w:b/>
          <w:i w:val="false"/>
          <w:caps w:val="false"/>
          <w:smallCaps w:val="false"/>
          <w:color w:val="83AD40"/>
          <w:sz w:val="32"/>
        </w:rPr>
      </w:pPr>
      <w:r>
        <w:rPr>
          <w:rFonts w:ascii="Arial;Helvetica;sans-serif" w:hAnsi="Arial;Helvetica;sans-serif"/>
          <w:b/>
          <w:i w:val="false"/>
          <w:caps/>
          <w:color w:val="83AD40"/>
          <w:spacing w:val="-3"/>
          <w:sz w:val="32"/>
        </w:rPr>
        <w:t>FEE DISCLOSURE</w:t>
      </w:r>
      <w:r>
        <w:rPr>
          <w:rFonts w:ascii="Arial;Helvetica;sans-serif" w:hAnsi="Arial;Helvetica;sans-serif"/>
          <w:b/>
          <w:i w:val="false"/>
          <w:caps w:val="false"/>
          <w:smallCaps w:val="false"/>
          <w:color w:val="000000"/>
          <w:spacing w:val="6"/>
          <w:sz w:val="32"/>
        </w:rPr>
        <w:t xml:space="preserve"> </w:t>
      </w:r>
    </w:p>
    <w:tbl>
      <w:tblPr>
        <w:tblW w:w="5417" w:type="dxa"/>
        <w:jc w:val="left"/>
        <w:tblInd w:w="900" w:type="dxa"/>
        <w:tblLayout w:type="fixed"/>
        <w:tblCellMar>
          <w:top w:w="0" w:type="dxa"/>
          <w:left w:w="0" w:type="dxa"/>
          <w:bottom w:w="63" w:type="dxa"/>
          <w:right w:w="0" w:type="dxa"/>
        </w:tblCellMar>
      </w:tblPr>
      <w:tblGrid>
        <w:gridCol w:w="1981"/>
        <w:gridCol w:w="109"/>
        <w:gridCol w:w="109"/>
        <w:gridCol w:w="109"/>
        <w:gridCol w:w="109"/>
        <w:gridCol w:w="1126"/>
        <w:gridCol w:w="109"/>
        <w:gridCol w:w="109"/>
        <w:gridCol w:w="109"/>
        <w:gridCol w:w="109"/>
        <w:gridCol w:w="109"/>
        <w:gridCol w:w="1066"/>
        <w:gridCol w:w="109"/>
        <w:gridCol w:w="154"/>
      </w:tblGrid>
      <w:tr>
        <w:trPr/>
        <w:tc>
          <w:tcPr>
            <w:tcW w:w="1981" w:type="dxa"/>
            <w:tcBorders>
              <w:bottom w:val="single" w:sz="2" w:space="0" w:color="1F2668"/>
            </w:tcBorders>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53" w:type="dxa"/>
            <w:gridSpan w:val="4"/>
            <w:tcBorders>
              <w:bottom w:val="single" w:sz="2" w:space="0" w:color="1F2668"/>
            </w:tcBorders>
            <w:vAlign w:val="center"/>
          </w:tcPr>
          <w:p>
            <w:pPr>
              <w:pStyle w:val="TableContents"/>
              <w:bidi w:val="0"/>
              <w:spacing w:before="0" w:after="0"/>
              <w:jc w:val="right"/>
              <w:rPr/>
            </w:pPr>
            <w:r>
              <w:rPr>
                <w:spacing w:val="-2"/>
              </w:rPr>
              <w:t xml:space="preserve">2025 </w:t>
              <w:br/>
              <w:t>($)</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1F2668"/>
            </w:tcBorders>
            <w:vAlign w:val="center"/>
          </w:tcPr>
          <w:p>
            <w:pPr>
              <w:pStyle w:val="TableContents"/>
              <w:bidi w:val="0"/>
              <w:spacing w:before="0" w:after="0"/>
              <w:jc w:val="right"/>
              <w:rPr/>
            </w:pPr>
            <w:r>
              <w:rPr>
                <w:spacing w:val="-2"/>
              </w:rPr>
              <w:t xml:space="preserve">2024 </w:t>
              <w:br/>
              <w:t>($)</w:t>
            </w:r>
            <w:r>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981" w:type="dxa"/>
            <w:tcBorders>
              <w:bottom w:val="single" w:sz="2" w:space="0" w:color="4B5088"/>
            </w:tcBorders>
            <w:tcMar>
              <w:bottom w:w="70" w:type="dxa"/>
            </w:tcMar>
            <w:vAlign w:val="center"/>
          </w:tcPr>
          <w:p>
            <w:pPr>
              <w:pStyle w:val="TableContents"/>
              <w:bidi w:val="0"/>
              <w:spacing w:before="0" w:after="283"/>
              <w:jc w:val="left"/>
              <w:rPr>
                <w:spacing w:val="-2"/>
              </w:rPr>
            </w:pPr>
            <w:r>
              <w:rPr>
                <w:spacing w:val="-2"/>
              </w:rPr>
              <w:t xml:space="preserve">Audit Fees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1126" w:type="dxa"/>
            <w:tcBorders>
              <w:bottom w:val="single" w:sz="2" w:space="0" w:color="4B5088"/>
            </w:tcBorders>
            <w:tcMar>
              <w:bottom w:w="70" w:type="dxa"/>
            </w:tcMar>
            <w:vAlign w:val="center"/>
          </w:tcPr>
          <w:p>
            <w:pPr>
              <w:pStyle w:val="TableContents"/>
              <w:bidi w:val="0"/>
              <w:spacing w:before="0" w:after="283"/>
              <w:jc w:val="right"/>
              <w:rPr/>
            </w:pPr>
            <w:r>
              <w:rPr/>
              <w:t>3,583,997</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1066" w:type="dxa"/>
            <w:tcBorders>
              <w:bottom w:val="single" w:sz="2" w:space="0" w:color="4B5088"/>
            </w:tcBorders>
            <w:tcMar>
              <w:bottom w:w="70" w:type="dxa"/>
            </w:tcMar>
            <w:vAlign w:val="center"/>
          </w:tcPr>
          <w:p>
            <w:pPr>
              <w:pStyle w:val="TableContents"/>
              <w:bidi w:val="0"/>
              <w:spacing w:before="0" w:after="283"/>
              <w:jc w:val="right"/>
              <w:rPr/>
            </w:pPr>
            <w:r>
              <w:rPr/>
              <w:t>3,027,685</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981" w:type="dxa"/>
            <w:tcBorders>
              <w:bottom w:val="single" w:sz="2" w:space="0" w:color="4B5088"/>
            </w:tcBorders>
            <w:tcMar>
              <w:bottom w:w="70" w:type="dxa"/>
            </w:tcMar>
            <w:vAlign w:val="center"/>
          </w:tcPr>
          <w:p>
            <w:pPr>
              <w:pStyle w:val="TableContents"/>
              <w:bidi w:val="0"/>
              <w:spacing w:before="0" w:after="283"/>
              <w:jc w:val="left"/>
              <w:rPr>
                <w:spacing w:val="-2"/>
              </w:rPr>
            </w:pPr>
            <w:r>
              <w:rPr>
                <w:spacing w:val="-2"/>
              </w:rPr>
              <w:t xml:space="preserve">Audit-Related Fees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1126" w:type="dxa"/>
            <w:tcBorders>
              <w:bottom w:val="single" w:sz="2" w:space="0" w:color="4B5088"/>
            </w:tcBorders>
            <w:tcMar>
              <w:bottom w:w="70" w:type="dxa"/>
            </w:tcMar>
            <w:vAlign w:val="center"/>
          </w:tcPr>
          <w:p>
            <w:pPr>
              <w:pStyle w:val="TableContents"/>
              <w:bidi w:val="0"/>
              <w:spacing w:before="0" w:after="283"/>
              <w:jc w:val="right"/>
              <w:rPr/>
            </w:pPr>
            <w:r>
              <w:rPr/>
              <w:t>52,530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1066" w:type="dxa"/>
            <w:tcBorders>
              <w:bottom w:val="single" w:sz="2" w:space="0" w:color="4B5088"/>
            </w:tcBorders>
            <w:tcMar>
              <w:bottom w:w="70" w:type="dxa"/>
            </w:tcMar>
            <w:vAlign w:val="center"/>
          </w:tcPr>
          <w:p>
            <w:pPr>
              <w:pStyle w:val="TableContents"/>
              <w:bidi w:val="0"/>
              <w:spacing w:before="0" w:after="283"/>
              <w:jc w:val="right"/>
              <w:rPr/>
            </w:pPr>
            <w:r>
              <w:rPr/>
              <w:t>52,530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981" w:type="dxa"/>
            <w:tcBorders>
              <w:bottom w:val="single" w:sz="2" w:space="0" w:color="4B5088"/>
            </w:tcBorders>
            <w:tcMar>
              <w:bottom w:w="70" w:type="dxa"/>
            </w:tcMar>
            <w:vAlign w:val="center"/>
          </w:tcPr>
          <w:p>
            <w:pPr>
              <w:pStyle w:val="TableContents"/>
              <w:bidi w:val="0"/>
              <w:spacing w:before="0" w:after="283"/>
              <w:jc w:val="left"/>
              <w:rPr>
                <w:spacing w:val="-2"/>
              </w:rPr>
            </w:pPr>
            <w:r>
              <w:rPr>
                <w:spacing w:val="-2"/>
              </w:rPr>
              <w:t xml:space="preserve">Tax Fees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1126" w:type="dxa"/>
            <w:tcBorders>
              <w:bottom w:val="single" w:sz="2" w:space="0" w:color="4B5088"/>
            </w:tcBorders>
            <w:tcMar>
              <w:bottom w:w="70"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1066" w:type="dxa"/>
            <w:tcBorders>
              <w:bottom w:val="single" w:sz="2" w:space="0" w:color="4B5088"/>
            </w:tcBorders>
            <w:tcMar>
              <w:bottom w:w="70"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981" w:type="dxa"/>
            <w:tcBorders>
              <w:bottom w:val="single" w:sz="2" w:space="0" w:color="4B5088"/>
            </w:tcBorders>
            <w:tcMar>
              <w:bottom w:w="70" w:type="dxa"/>
            </w:tcMar>
            <w:vAlign w:val="center"/>
          </w:tcPr>
          <w:p>
            <w:pPr>
              <w:pStyle w:val="TableContents"/>
              <w:bidi w:val="0"/>
              <w:spacing w:before="0" w:after="283"/>
              <w:jc w:val="left"/>
              <w:rPr>
                <w:spacing w:val="-2"/>
              </w:rPr>
            </w:pPr>
            <w:r>
              <w:rPr>
                <w:spacing w:val="-2"/>
              </w:rPr>
              <w:t xml:space="preserve">All Other Fees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1126" w:type="dxa"/>
            <w:tcBorders>
              <w:bottom w:val="single" w:sz="2" w:space="0" w:color="4B5088"/>
            </w:tcBorders>
            <w:tcMar>
              <w:bottom w:w="70" w:type="dxa"/>
            </w:tcMar>
            <w:vAlign w:val="center"/>
          </w:tcPr>
          <w:p>
            <w:pPr>
              <w:pStyle w:val="TableContents"/>
              <w:bidi w:val="0"/>
              <w:spacing w:before="0" w:after="283"/>
              <w:jc w:val="right"/>
              <w:rPr/>
            </w:pPr>
            <w:r>
              <w:rPr/>
              <w:t>2,000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1066" w:type="dxa"/>
            <w:tcBorders>
              <w:bottom w:val="single" w:sz="2" w:space="0" w:color="4B5088"/>
            </w:tcBorders>
            <w:tcMar>
              <w:bottom w:w="70" w:type="dxa"/>
            </w:tcMar>
            <w:vAlign w:val="center"/>
          </w:tcPr>
          <w:p>
            <w:pPr>
              <w:pStyle w:val="TableContents"/>
              <w:bidi w:val="0"/>
              <w:spacing w:before="0" w:after="283"/>
              <w:jc w:val="right"/>
              <w:rPr/>
            </w:pPr>
            <w:r>
              <w:rPr/>
              <w:t>2,000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981" w:type="dxa"/>
            <w:tcBorders>
              <w:bottom w:val="single" w:sz="2" w:space="0" w:color="4B5088"/>
            </w:tcBorders>
            <w:tcMar>
              <w:bottom w:w="70" w:type="dxa"/>
            </w:tcMar>
            <w:vAlign w:val="center"/>
          </w:tcPr>
          <w:p>
            <w:pPr>
              <w:pStyle w:val="TableContents"/>
              <w:bidi w:val="0"/>
              <w:spacing w:before="0" w:after="0"/>
              <w:jc w:val="left"/>
              <w:rPr>
                <w:b/>
              </w:rPr>
            </w:pPr>
            <w:r>
              <w:rPr>
                <w:b/>
                <w:spacing w:val="-2"/>
              </w:rPr>
              <w:t>TOTAL</w:t>
            </w:r>
            <w:r>
              <w:rPr>
                <w:b/>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1126" w:type="dxa"/>
            <w:tcBorders>
              <w:bottom w:val="single" w:sz="2" w:space="0" w:color="4B5088"/>
            </w:tcBorders>
            <w:tcMar>
              <w:bottom w:w="70" w:type="dxa"/>
            </w:tcMar>
            <w:vAlign w:val="center"/>
          </w:tcPr>
          <w:p>
            <w:pPr>
              <w:pStyle w:val="TableContents"/>
              <w:bidi w:val="0"/>
              <w:spacing w:before="0" w:after="283"/>
              <w:jc w:val="right"/>
              <w:rPr/>
            </w:pPr>
            <w:r>
              <w:rPr/>
              <w:t xml:space="preserve">3,638,527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1066" w:type="dxa"/>
            <w:tcBorders>
              <w:bottom w:val="single" w:sz="2" w:space="0" w:color="4B5088"/>
            </w:tcBorders>
            <w:tcMar>
              <w:bottom w:w="70" w:type="dxa"/>
            </w:tcMar>
            <w:vAlign w:val="center"/>
          </w:tcPr>
          <w:p>
            <w:pPr>
              <w:pStyle w:val="TableContents"/>
              <w:bidi w:val="0"/>
              <w:spacing w:before="0" w:after="283"/>
              <w:jc w:val="right"/>
              <w:rPr/>
            </w:pPr>
            <w:r>
              <w:rPr/>
              <w:t>3,082,215</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lineRule="atLeast" w:line="300" w:before="440" w:after="283"/>
        <w:ind w:left="900" w:right="0" w:hanging="0"/>
        <w:jc w:val="left"/>
        <w:rPr>
          <w:rFonts w:ascii="Arial;Helvetica;sans-serif" w:hAnsi="Arial;Helvetica;sans-serif"/>
          <w:b/>
          <w:i w:val="false"/>
          <w:caps w:val="false"/>
          <w:smallCaps w:val="false"/>
          <w:color w:val="1F2668"/>
          <w:sz w:val="26"/>
        </w:rPr>
      </w:pPr>
      <w:r>
        <w:rPr>
          <w:rFonts w:ascii="Arial;Helvetica;sans-serif" w:hAnsi="Arial;Helvetica;sans-serif"/>
          <w:b/>
          <w:i w:val="false"/>
          <w:caps w:val="false"/>
          <w:smallCaps w:val="false"/>
          <w:color w:val="1F2668"/>
          <w:spacing w:val="-3"/>
          <w:sz w:val="26"/>
        </w:rPr>
        <w:t>Audit Fees</w:t>
      </w:r>
      <w:r>
        <w:rPr>
          <w:rFonts w:ascii="Arial;Helvetica;sans-serif" w:hAnsi="Arial;Helvetica;sans-serif"/>
          <w:b/>
          <w:i w:val="false"/>
          <w:caps w:val="false"/>
          <w:smallCaps w:val="false"/>
          <w:color w:val="000000"/>
          <w:spacing w:val="5"/>
          <w:sz w:val="26"/>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Fees, including out-of-pocket expenses, for audit services totaled approximately $3,583,997 in fiscal year 2025 and $3,027,685 in fiscal year 2024. Audit fees include fees associated with our annual audits and related reviews of our annual reports on Form 10-K and quarterly reports on Form 10-Q. In addition, audit fees include Sarbanes-Oxley Section 404 planning and testing, fees for joint venture audits, and services relating to public filings in connection with our preferred and common stock and debt offerings and certain other transactions. Our joint venture partners paid their pro rata share of any joint venture audit fees. Audit fees also include fees for accounting research and consultations.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300" w:before="360" w:after="283"/>
        <w:jc w:val="left"/>
        <w:rPr>
          <w:rFonts w:ascii="Arial;Helvetica;sans-serif" w:hAnsi="Arial;Helvetica;sans-serif"/>
          <w:b/>
          <w:i w:val="false"/>
          <w:caps w:val="false"/>
          <w:smallCaps w:val="false"/>
          <w:color w:val="1F2668"/>
          <w:sz w:val="26"/>
        </w:rPr>
      </w:pPr>
      <w:r>
        <w:rPr>
          <w:rFonts w:ascii="Arial;Helvetica;sans-serif" w:hAnsi="Arial;Helvetica;sans-serif"/>
          <w:b/>
          <w:i w:val="false"/>
          <w:caps w:val="false"/>
          <w:smallCaps w:val="false"/>
          <w:color w:val="1F2668"/>
          <w:spacing w:val="-3"/>
          <w:sz w:val="26"/>
        </w:rPr>
        <w:t>Audit-Related Fees</w:t>
      </w:r>
      <w:r>
        <w:rPr>
          <w:rFonts w:ascii="Arial;Helvetica;sans-serif" w:hAnsi="Arial;Helvetica;sans-serif"/>
          <w:b/>
          <w:i w:val="false"/>
          <w:caps w:val="false"/>
          <w:smallCaps w:val="false"/>
          <w:color w:val="000000"/>
          <w:spacing w:val="5"/>
          <w:sz w:val="26"/>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Fees for audit-related services totaled approximately $52,530 in 2025 and $52,530 in 2024. The audit-related services principally include fees for operating expense audits and agreed-upon procedures projects.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300" w:before="360" w:after="283"/>
        <w:jc w:val="left"/>
        <w:rPr>
          <w:rFonts w:ascii="Arial;Helvetica;sans-serif" w:hAnsi="Arial;Helvetica;sans-serif"/>
          <w:b/>
          <w:i w:val="false"/>
          <w:caps w:val="false"/>
          <w:smallCaps w:val="false"/>
          <w:color w:val="1F2668"/>
          <w:sz w:val="26"/>
        </w:rPr>
      </w:pPr>
      <w:r>
        <w:rPr>
          <w:rFonts w:ascii="Arial;Helvetica;sans-serif" w:hAnsi="Arial;Helvetica;sans-serif"/>
          <w:b/>
          <w:i w:val="false"/>
          <w:caps w:val="false"/>
          <w:smallCaps w:val="false"/>
          <w:color w:val="1F2668"/>
          <w:spacing w:val="-3"/>
          <w:sz w:val="26"/>
        </w:rPr>
        <w:t>Tax Fees</w:t>
      </w:r>
      <w:r>
        <w:rPr>
          <w:rFonts w:ascii="Arial;Helvetica;sans-serif" w:hAnsi="Arial;Helvetica;sans-serif"/>
          <w:b/>
          <w:i w:val="false"/>
          <w:caps w:val="false"/>
          <w:smallCaps w:val="false"/>
          <w:color w:val="000000"/>
          <w:spacing w:val="5"/>
          <w:sz w:val="26"/>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There were no fees for tax services, including tax compliance, tax advice and tax planning, in either 2025 or 2024.</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300" w:before="360" w:after="283"/>
        <w:jc w:val="left"/>
        <w:rPr>
          <w:rFonts w:ascii="Arial;Helvetica;sans-serif" w:hAnsi="Arial;Helvetica;sans-serif"/>
          <w:b/>
          <w:i w:val="false"/>
          <w:caps w:val="false"/>
          <w:smallCaps w:val="false"/>
          <w:color w:val="1F2668"/>
          <w:sz w:val="26"/>
        </w:rPr>
      </w:pPr>
      <w:r>
        <w:rPr>
          <w:rFonts w:ascii="Arial;Helvetica;sans-serif" w:hAnsi="Arial;Helvetica;sans-serif"/>
          <w:b/>
          <w:i w:val="false"/>
          <w:caps w:val="false"/>
          <w:smallCaps w:val="false"/>
          <w:color w:val="1F2668"/>
          <w:spacing w:val="-3"/>
          <w:sz w:val="26"/>
        </w:rPr>
        <w:t>All Other Fees</w:t>
      </w:r>
      <w:r>
        <w:rPr>
          <w:rFonts w:ascii="Arial;Helvetica;sans-serif" w:hAnsi="Arial;Helvetica;sans-serif"/>
          <w:b/>
          <w:i w:val="false"/>
          <w:caps w:val="false"/>
          <w:smallCaps w:val="false"/>
          <w:color w:val="000000"/>
          <w:spacing w:val="5"/>
          <w:sz w:val="26"/>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Fees for software licensing totaled approximately $2,000 in each of 2025 and 2024.</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Our Audit Committee considers whether the provision by Deloitte &amp; Touche LLP of any services that would be required to be described under “All Other Fees” would be compatible with maintaining Deloitte &amp; Touche LLP’s independence from both management and the Company.</w:t>
      </w:r>
      <w:r>
        <w:rPr>
          <w:rFonts w:ascii="Arial;Helvetica;sans-serif" w:hAnsi="Arial;Helvetic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6" w:name="tSOI"/>
      <w:bookmarkEnd w:id="26"/>
      <w:r>
        <w:rPr>
          <w:rFonts w:ascii="calibri;arial;sans-serif" w:hAnsi="calibri;arial;sans-serif"/>
          <w:b w:val="false"/>
          <w:i w:val="false"/>
          <w:caps w:val="false"/>
          <w:smallCaps w:val="false"/>
          <w:color w:val="000000"/>
          <w:sz w:val="16"/>
        </w:rPr>
        <w:t>​</w:t>
      </w:r>
      <w:bookmarkStart w:id="27" w:name="tSOOC"/>
      <w:bookmarkEnd w:id="27"/>
      <w:r>
        <w:rPr>
          <w:rFonts w:ascii="calibri;arial;sans-serif" w:hAnsi="calibri;arial;sans-serif"/>
          <w:b w:val="false"/>
          <w:i w:val="false"/>
          <w:caps w:val="false"/>
          <w:smallCaps w:val="false"/>
          <w:color w:val="000000"/>
          <w:sz w:val="16"/>
        </w:rPr>
        <w:t xml:space="preserve">​ </w:t>
      </w:r>
    </w:p>
    <w:tbl>
      <w:tblPr>
        <w:tblW w:w="951" w:type="dxa"/>
        <w:jc w:val="left"/>
        <w:tblInd w:w="900" w:type="dxa"/>
        <w:tblLayout w:type="fixed"/>
        <w:tblCellMar>
          <w:top w:w="0" w:type="dxa"/>
          <w:left w:w="0" w:type="dxa"/>
          <w:bottom w:w="0" w:type="dxa"/>
          <w:right w:w="0" w:type="dxa"/>
        </w:tblCellMar>
      </w:tblPr>
      <w:tblGrid>
        <w:gridCol w:w="124"/>
        <w:gridCol w:w="109"/>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pPr>
            <w:r>
              <w:rPr/>
              <w:t>85</w:t>
              <w:b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520" w:before="560" w:after="154"/>
        <w:ind w:left="900" w:right="0" w:hanging="0"/>
        <w:jc w:val="left"/>
        <w:rPr>
          <w:rFonts w:ascii="Arial;Helvetica;sans-serif" w:hAnsi="Arial;Helvetica;sans-serif"/>
          <w:b/>
          <w:i w:val="false"/>
          <w:caps w:val="false"/>
          <w:smallCaps w:val="false"/>
          <w:color w:val="1F2668"/>
          <w:sz w:val="42"/>
        </w:rPr>
      </w:pPr>
      <w:r>
        <w:rPr>
          <w:rFonts w:ascii="Arial;Helvetica;sans-serif" w:hAnsi="Arial;Helvetica;sans-serif"/>
          <w:b/>
          <w:i w:val="false"/>
          <w:caps/>
          <w:color w:val="1F2668"/>
          <w:spacing w:val="-4"/>
          <w:sz w:val="42"/>
        </w:rPr>
        <w:t>STOCK OWNERSHIP INFORMATION</w:t>
      </w:r>
      <w:r>
        <w:rPr>
          <w:rFonts w:ascii="Arial;Helvetica;sans-serif" w:hAnsi="Arial;Helvetica;sans-serif"/>
          <w:b/>
          <w:i w:val="false"/>
          <w:caps w:val="false"/>
          <w:smallCaps w:val="false"/>
          <w:color w:val="000000"/>
          <w:spacing w:val="8"/>
          <w:sz w:val="42"/>
        </w:rPr>
        <w:t xml:space="preserve"> </w:t>
      </w:r>
    </w:p>
    <w:p>
      <w:pPr>
        <w:pStyle w:val="TextBody"/>
        <w:bidi w:val="0"/>
        <w:spacing w:lineRule="atLeast" w:line="360" w:before="400" w:after="283"/>
        <w:jc w:val="left"/>
        <w:rPr>
          <w:rFonts w:ascii="Arial;Helvetica;sans-serif" w:hAnsi="Arial;Helvetica;sans-serif"/>
          <w:b/>
          <w:i w:val="false"/>
          <w:caps/>
          <w:color w:val="83AD40"/>
          <w:spacing w:val="-3"/>
          <w:sz w:val="32"/>
        </w:rPr>
      </w:pPr>
      <w:r>
        <w:rPr>
          <w:rFonts w:ascii="Arial;Helvetica;sans-serif" w:hAnsi="Arial;Helvetica;sans-serif"/>
          <w:b/>
          <w:i w:val="false"/>
          <w:caps/>
          <w:color w:val="83AD40"/>
          <w:spacing w:val="-3"/>
          <w:sz w:val="32"/>
        </w:rPr>
        <w:t xml:space="preserve">SECURITY OWNERSHIP OF CERTAIN BENEFICIAL </w:t>
        <w:br/>
        <w:t xml:space="preserve">OWNERS AND MANAGEMENT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The following table sets forth the beneficial ownership of our common stock, $0.01 par value per share, and our common stock and common units in our operating partnership as of March 31, 2026, unless otherwise noted, for (i) each person known to us to be the beneficial owner of more than 5% of our outstanding common stock, (ii) each of our directors, (iii) each of our named executive officers who is not a director and (iv) our directors and executive officers as a group. All information in the following table is based on Schedules 13D, 13G and/or any amendments thereto filed with the SEC, and on information supplied to us by our directors and officers. Except as otherwise described in the notes below, the following beneficial owners have sole voting power and sole investment power with respect to all shares set forth opposite their respective names.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As of March 31, 2026, the following shares and units were outstanding: (i) 71,116,386 shares of our common stock, (ii) 943,023 common units in our operating partnership (other than the units held by us) and (iii) 4,761,038 LTIP units (excluding unearned performance-based LTIP units, which may be earned based on the achievement of performance-based vesting hurdles).</w:t>
      </w:r>
      <w:r>
        <w:rPr>
          <w:rFonts w:ascii="Arial;Helvetica;sans-serif" w:hAnsi="Arial;Helvetica;sans-serif"/>
          <w:b w:val="false"/>
          <w:i w:val="false"/>
          <w:caps w:val="false"/>
          <w:smallCaps w:val="false"/>
          <w:color w:val="000000"/>
          <w:spacing w:val="4"/>
          <w:sz w:val="18"/>
        </w:rPr>
        <w:t xml:space="preserve"> </w:t>
      </w:r>
    </w:p>
    <w:tbl>
      <w:tblPr>
        <w:tblW w:w="9305" w:type="dxa"/>
        <w:jc w:val="left"/>
        <w:tblInd w:w="900" w:type="dxa"/>
        <w:tblLayout w:type="fixed"/>
        <w:tblCellMar>
          <w:top w:w="0" w:type="dxa"/>
          <w:left w:w="0" w:type="dxa"/>
          <w:bottom w:w="0" w:type="dxa"/>
          <w:right w:w="0" w:type="dxa"/>
        </w:tblCellMar>
      </w:tblPr>
      <w:tblGrid>
        <w:gridCol w:w="3148"/>
        <w:gridCol w:w="109"/>
        <w:gridCol w:w="109"/>
        <w:gridCol w:w="109"/>
        <w:gridCol w:w="109"/>
        <w:gridCol w:w="1186"/>
        <w:gridCol w:w="109"/>
        <w:gridCol w:w="109"/>
        <w:gridCol w:w="109"/>
        <w:gridCol w:w="109"/>
        <w:gridCol w:w="109"/>
        <w:gridCol w:w="722"/>
        <w:gridCol w:w="109"/>
        <w:gridCol w:w="109"/>
        <w:gridCol w:w="109"/>
        <w:gridCol w:w="109"/>
        <w:gridCol w:w="109"/>
        <w:gridCol w:w="1186"/>
        <w:gridCol w:w="109"/>
        <w:gridCol w:w="109"/>
        <w:gridCol w:w="109"/>
        <w:gridCol w:w="109"/>
        <w:gridCol w:w="109"/>
        <w:gridCol w:w="727"/>
        <w:gridCol w:w="109"/>
        <w:gridCol w:w="156"/>
      </w:tblGrid>
      <w:tr>
        <w:trPr/>
        <w:tc>
          <w:tcPr>
            <w:tcW w:w="314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780" w:type="dxa"/>
            <w:gridSpan w:val="10"/>
            <w:tcBorders>
              <w:bottom w:val="single" w:sz="2" w:space="0" w:color="1F2668"/>
            </w:tcBorders>
            <w:tcMar>
              <w:bottom w:w="70" w:type="dxa"/>
            </w:tcMar>
            <w:vAlign w:val="center"/>
          </w:tcPr>
          <w:p>
            <w:pPr>
              <w:pStyle w:val="TableContents"/>
              <w:bidi w:val="0"/>
              <w:spacing w:before="0" w:after="0"/>
              <w:jc w:val="center"/>
              <w:rPr>
                <w:spacing w:val="-2"/>
              </w:rPr>
            </w:pPr>
            <w:r>
              <w:rPr>
                <w:spacing w:val="-2"/>
              </w:rPr>
              <w:t xml:space="preserve">Common Stock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785" w:type="dxa"/>
            <w:gridSpan w:val="10"/>
            <w:tcBorders>
              <w:bottom w:val="single" w:sz="2" w:space="0" w:color="1F2668"/>
            </w:tcBorders>
            <w:tcMar>
              <w:bottom w:w="70" w:type="dxa"/>
            </w:tcMar>
            <w:vAlign w:val="center"/>
          </w:tcPr>
          <w:p>
            <w:pPr>
              <w:pStyle w:val="TableContents"/>
              <w:bidi w:val="0"/>
              <w:spacing w:before="0" w:after="0"/>
              <w:jc w:val="center"/>
              <w:rPr>
                <w:spacing w:val="-2"/>
              </w:rPr>
            </w:pPr>
            <w:r>
              <w:rPr>
                <w:spacing w:val="-2"/>
              </w:rPr>
              <w:t xml:space="preserve">Common Stock and Units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148" w:type="dxa"/>
            <w:tcBorders>
              <w:bottom w:val="single" w:sz="2" w:space="0" w:color="1F2668"/>
            </w:tcBorders>
            <w:tcMar>
              <w:bottom w:w="63" w:type="dxa"/>
            </w:tcMar>
            <w:vAlign w:val="center"/>
          </w:tcPr>
          <w:p>
            <w:pPr>
              <w:pStyle w:val="TableContents"/>
              <w:bidi w:val="0"/>
              <w:spacing w:before="0" w:after="0"/>
              <w:jc w:val="left"/>
              <w:rPr>
                <w:spacing w:val="-2"/>
              </w:rPr>
            </w:pPr>
            <w:r>
              <w:rPr>
                <w:spacing w:val="-2"/>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3" w:type="dxa"/>
            <w:gridSpan w:val="4"/>
            <w:tcBorders>
              <w:bottom w:val="single" w:sz="2" w:space="0" w:color="1F2668"/>
            </w:tcBorders>
            <w:tcMar>
              <w:bottom w:w="63" w:type="dxa"/>
            </w:tcMar>
            <w:vAlign w:val="center"/>
          </w:tcPr>
          <w:p>
            <w:pPr>
              <w:pStyle w:val="TableContents"/>
              <w:bidi w:val="0"/>
              <w:spacing w:lineRule="atLeast" w:line="142" w:before="0" w:after="0"/>
              <w:jc w:val="right"/>
              <w:rPr/>
            </w:pPr>
            <w:r>
              <w:rPr>
                <w:spacing w:val="-2"/>
              </w:rPr>
              <w:t xml:space="preserve">Number </w:t>
              <w:br/>
              <w:t xml:space="preserve">of Shares </w:t>
              <w:br/>
              <w:t xml:space="preserve">Beneficially </w:t>
              <w:br/>
              <w:t>Owned</w:t>
            </w:r>
            <w:r>
              <w:rPr>
                <w:spacing w:val="-1"/>
                <w:sz w:val="10"/>
              </w:rPr>
              <w:t>(1)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49" w:type="dxa"/>
            <w:gridSpan w:val="4"/>
            <w:tcBorders>
              <w:bottom w:val="single" w:sz="2" w:space="0" w:color="1F2668"/>
            </w:tcBorders>
            <w:tcMar>
              <w:bottom w:w="63" w:type="dxa"/>
            </w:tcMar>
            <w:vAlign w:val="center"/>
          </w:tcPr>
          <w:p>
            <w:pPr>
              <w:pStyle w:val="TableContents"/>
              <w:bidi w:val="0"/>
              <w:spacing w:lineRule="atLeast" w:line="142" w:before="0" w:after="0"/>
              <w:jc w:val="right"/>
              <w:rPr/>
            </w:pPr>
            <w:r>
              <w:rPr>
                <w:spacing w:val="-2"/>
              </w:rPr>
              <w:t xml:space="preserve">Percent of </w:t>
              <w:br/>
              <w:t xml:space="preserve">Common </w:t>
              <w:br/>
              <w:t>Stock</w:t>
            </w:r>
            <w:r>
              <w:rPr>
                <w:spacing w:val="-1"/>
                <w:sz w:val="10"/>
              </w:rPr>
              <w:t>(2)</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3" w:type="dxa"/>
            <w:gridSpan w:val="4"/>
            <w:tcBorders>
              <w:bottom w:val="single" w:sz="2" w:space="0" w:color="1F2668"/>
            </w:tcBorders>
            <w:tcMar>
              <w:bottom w:w="63" w:type="dxa"/>
            </w:tcMar>
            <w:vAlign w:val="center"/>
          </w:tcPr>
          <w:p>
            <w:pPr>
              <w:pStyle w:val="TableContents"/>
              <w:bidi w:val="0"/>
              <w:spacing w:lineRule="atLeast" w:line="142" w:before="0" w:after="0"/>
              <w:jc w:val="right"/>
              <w:rPr/>
            </w:pPr>
            <w:r>
              <w:rPr>
                <w:spacing w:val="-2"/>
              </w:rPr>
              <w:t xml:space="preserve">Number of </w:t>
              <w:br/>
              <w:t xml:space="preserve">Shares and </w:t>
              <w:br/>
              <w:t xml:space="preserve">Units </w:t>
              <w:br/>
              <w:t xml:space="preserve">Beneficially </w:t>
              <w:br/>
              <w:t>Owned</w:t>
            </w:r>
            <w:r>
              <w:rPr>
                <w:spacing w:val="-1"/>
                <w:sz w:val="10"/>
              </w:rPr>
              <w:t>(1)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54" w:type="dxa"/>
            <w:gridSpan w:val="4"/>
            <w:tcBorders>
              <w:bottom w:val="single" w:sz="2" w:space="0" w:color="1F2668"/>
            </w:tcBorders>
            <w:tcMar>
              <w:bottom w:w="63" w:type="dxa"/>
            </w:tcMar>
            <w:vAlign w:val="center"/>
          </w:tcPr>
          <w:p>
            <w:pPr>
              <w:pStyle w:val="TableContents"/>
              <w:bidi w:val="0"/>
              <w:spacing w:lineRule="atLeast" w:line="142" w:before="0" w:after="0"/>
              <w:jc w:val="right"/>
              <w:rPr/>
            </w:pPr>
            <w:r>
              <w:rPr>
                <w:spacing w:val="-2"/>
              </w:rPr>
              <w:t xml:space="preserve">Percent of </w:t>
              <w:br/>
              <w:t xml:space="preserve">Common </w:t>
              <w:br/>
              <w:t xml:space="preserve">Stock </w:t>
              <w:br/>
              <w:t>and Units</w:t>
            </w:r>
            <w:r>
              <w:rPr>
                <w:spacing w:val="-1"/>
                <w:sz w:val="10"/>
              </w:rPr>
              <w:t>(2)</w:t>
            </w:r>
            <w:r>
              <w:rPr/>
              <w:t xml:space="preserve">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148" w:type="dxa"/>
            <w:tcBorders>
              <w:bottom w:val="single" w:sz="2" w:space="0" w:color="4B5088"/>
            </w:tcBorders>
            <w:tcMar>
              <w:bottom w:w="70" w:type="dxa"/>
            </w:tcMar>
            <w:vAlign w:val="center"/>
          </w:tcPr>
          <w:p>
            <w:pPr>
              <w:pStyle w:val="TableContents"/>
              <w:bidi w:val="0"/>
              <w:spacing w:before="0" w:after="283"/>
              <w:jc w:val="left"/>
              <w:rPr/>
            </w:pPr>
            <w:r>
              <w:rPr>
                <w:spacing w:val="-2"/>
              </w:rPr>
              <w:t>5% HOLDERS</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1186" w:type="dxa"/>
            <w:tcBorders>
              <w:bottom w:val="single" w:sz="2" w:space="0" w:color="4B5088"/>
            </w:tcBorders>
            <w:tcMar>
              <w:bottom w:w="70"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722" w:type="dxa"/>
            <w:tcBorders>
              <w:bottom w:val="single" w:sz="2" w:space="0" w:color="4B5088"/>
            </w:tcBorders>
            <w:tcMar>
              <w:bottom w:w="70"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1186" w:type="dxa"/>
            <w:tcBorders>
              <w:bottom w:val="single" w:sz="2" w:space="0" w:color="4B5088"/>
            </w:tcBorders>
            <w:tcMar>
              <w:bottom w:w="70"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727" w:type="dxa"/>
            <w:tcBorders>
              <w:bottom w:val="single" w:sz="2" w:space="0" w:color="4B5088"/>
            </w:tcBorders>
            <w:tcMar>
              <w:bottom w:w="70"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148" w:type="dxa"/>
            <w:tcBorders>
              <w:bottom w:val="single" w:sz="2" w:space="0" w:color="4B5088"/>
            </w:tcBorders>
            <w:tcMar>
              <w:bottom w:w="70" w:type="dxa"/>
            </w:tcMar>
            <w:vAlign w:val="center"/>
          </w:tcPr>
          <w:p>
            <w:pPr>
              <w:pStyle w:val="TableContents"/>
              <w:bidi w:val="0"/>
              <w:spacing w:before="0" w:after="283"/>
              <w:jc w:val="left"/>
              <w:rPr/>
            </w:pPr>
            <w:r>
              <w:rPr>
                <w:spacing w:val="-2"/>
              </w:rPr>
              <w:t>BlackRock, Inc.</w:t>
            </w:r>
            <w:r>
              <w:rPr>
                <w:spacing w:val="-1"/>
                <w:sz w:val="11"/>
              </w:rPr>
              <w:t>(3)</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1186" w:type="dxa"/>
            <w:tcBorders>
              <w:bottom w:val="single" w:sz="2" w:space="0" w:color="4B5088"/>
            </w:tcBorders>
            <w:tcMar>
              <w:bottom w:w="70" w:type="dxa"/>
            </w:tcMar>
            <w:vAlign w:val="center"/>
          </w:tcPr>
          <w:p>
            <w:pPr>
              <w:pStyle w:val="TableContents"/>
              <w:bidi w:val="0"/>
              <w:spacing w:before="0" w:after="283"/>
              <w:jc w:val="right"/>
              <w:rPr/>
            </w:pPr>
            <w:r>
              <w:rPr/>
              <w:t>12,715,531</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722" w:type="dxa"/>
            <w:tcBorders>
              <w:bottom w:val="single" w:sz="2" w:space="0" w:color="4B5088"/>
            </w:tcBorders>
            <w:tcMar>
              <w:bottom w:w="70" w:type="dxa"/>
            </w:tcMar>
            <w:vAlign w:val="center"/>
          </w:tcPr>
          <w:p>
            <w:pPr>
              <w:pStyle w:val="TableContents"/>
              <w:bidi w:val="0"/>
              <w:spacing w:before="0" w:after="283"/>
              <w:jc w:val="right"/>
              <w:rPr/>
            </w:pPr>
            <w:r>
              <w:rPr/>
              <w:t>17.88%</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1186" w:type="dxa"/>
            <w:tcBorders>
              <w:bottom w:val="single" w:sz="2" w:space="0" w:color="4B5088"/>
            </w:tcBorders>
            <w:tcMar>
              <w:bottom w:w="70" w:type="dxa"/>
            </w:tcMar>
            <w:vAlign w:val="center"/>
          </w:tcPr>
          <w:p>
            <w:pPr>
              <w:pStyle w:val="TableContents"/>
              <w:bidi w:val="0"/>
              <w:spacing w:before="0" w:after="283"/>
              <w:jc w:val="right"/>
              <w:rPr/>
            </w:pPr>
            <w:r>
              <w:rPr/>
              <w:t>12,715,531</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727" w:type="dxa"/>
            <w:tcBorders>
              <w:bottom w:val="single" w:sz="2" w:space="0" w:color="4B5088"/>
            </w:tcBorders>
            <w:tcMar>
              <w:bottom w:w="70" w:type="dxa"/>
            </w:tcMar>
            <w:vAlign w:val="center"/>
          </w:tcPr>
          <w:p>
            <w:pPr>
              <w:pStyle w:val="TableContents"/>
              <w:bidi w:val="0"/>
              <w:spacing w:before="0" w:after="283"/>
              <w:jc w:val="right"/>
              <w:rPr/>
            </w:pPr>
            <w:r>
              <w:rPr/>
              <w:t>16.55%</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148" w:type="dxa"/>
            <w:tcBorders>
              <w:bottom w:val="single" w:sz="2" w:space="0" w:color="4B5088"/>
            </w:tcBorders>
            <w:tcMar>
              <w:bottom w:w="70" w:type="dxa"/>
            </w:tcMar>
            <w:vAlign w:val="center"/>
          </w:tcPr>
          <w:p>
            <w:pPr>
              <w:pStyle w:val="TableContents"/>
              <w:bidi w:val="0"/>
              <w:spacing w:before="0" w:after="283"/>
              <w:jc w:val="left"/>
              <w:rPr/>
            </w:pPr>
            <w:r>
              <w:rPr>
                <w:spacing w:val="-2"/>
              </w:rPr>
              <w:t>The Vanguard Group</w:t>
            </w:r>
            <w:r>
              <w:rPr>
                <w:spacing w:val="-1"/>
                <w:sz w:val="11"/>
              </w:rPr>
              <w:t>(4)</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1186" w:type="dxa"/>
            <w:tcBorders>
              <w:bottom w:val="single" w:sz="2" w:space="0" w:color="4B5088"/>
            </w:tcBorders>
            <w:tcMar>
              <w:bottom w:w="70" w:type="dxa"/>
            </w:tcMar>
            <w:vAlign w:val="center"/>
          </w:tcPr>
          <w:p>
            <w:pPr>
              <w:pStyle w:val="TableContents"/>
              <w:bidi w:val="0"/>
              <w:spacing w:before="0" w:after="283"/>
              <w:jc w:val="right"/>
              <w:rPr/>
            </w:pPr>
            <w:r>
              <w:rPr/>
              <w:t>10,324,945</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722" w:type="dxa"/>
            <w:tcBorders>
              <w:bottom w:val="single" w:sz="2" w:space="0" w:color="4B5088"/>
            </w:tcBorders>
            <w:tcMar>
              <w:bottom w:w="70" w:type="dxa"/>
            </w:tcMar>
            <w:vAlign w:val="center"/>
          </w:tcPr>
          <w:p>
            <w:pPr>
              <w:pStyle w:val="TableContents"/>
              <w:bidi w:val="0"/>
              <w:spacing w:before="0" w:after="283"/>
              <w:jc w:val="right"/>
              <w:rPr/>
            </w:pPr>
            <w:r>
              <w:rPr/>
              <w:t>14.52%</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1186" w:type="dxa"/>
            <w:tcBorders>
              <w:bottom w:val="single" w:sz="2" w:space="0" w:color="4B5088"/>
            </w:tcBorders>
            <w:tcMar>
              <w:bottom w:w="70" w:type="dxa"/>
            </w:tcMar>
            <w:vAlign w:val="center"/>
          </w:tcPr>
          <w:p>
            <w:pPr>
              <w:pStyle w:val="TableContents"/>
              <w:bidi w:val="0"/>
              <w:spacing w:before="0" w:after="283"/>
              <w:jc w:val="right"/>
              <w:rPr/>
            </w:pPr>
            <w:r>
              <w:rPr/>
              <w:t>10,324,945</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727" w:type="dxa"/>
            <w:tcBorders>
              <w:bottom w:val="single" w:sz="2" w:space="0" w:color="4B5088"/>
            </w:tcBorders>
            <w:tcMar>
              <w:bottom w:w="70" w:type="dxa"/>
            </w:tcMar>
            <w:vAlign w:val="center"/>
          </w:tcPr>
          <w:p>
            <w:pPr>
              <w:pStyle w:val="TableContents"/>
              <w:bidi w:val="0"/>
              <w:spacing w:before="0" w:after="283"/>
              <w:jc w:val="right"/>
              <w:rPr/>
            </w:pPr>
            <w:r>
              <w:rPr/>
              <w:t>13.44%</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148" w:type="dxa"/>
            <w:tcBorders>
              <w:bottom w:val="single" w:sz="2" w:space="0" w:color="4B5088"/>
            </w:tcBorders>
            <w:tcMar>
              <w:bottom w:w="70" w:type="dxa"/>
            </w:tcMar>
            <w:vAlign w:val="center"/>
          </w:tcPr>
          <w:p>
            <w:pPr>
              <w:pStyle w:val="TableContents"/>
              <w:bidi w:val="0"/>
              <w:spacing w:before="0" w:after="283"/>
              <w:jc w:val="left"/>
              <w:rPr/>
            </w:pPr>
            <w:r>
              <w:rPr>
                <w:spacing w:val="-2"/>
              </w:rPr>
              <w:t>State Street Corporation</w:t>
            </w:r>
            <w:r>
              <w:rPr>
                <w:spacing w:val="-1"/>
                <w:sz w:val="11"/>
              </w:rPr>
              <w:t>(5)</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1186" w:type="dxa"/>
            <w:tcBorders>
              <w:bottom w:val="single" w:sz="2" w:space="0" w:color="4B5088"/>
            </w:tcBorders>
            <w:tcMar>
              <w:bottom w:w="70" w:type="dxa"/>
            </w:tcMar>
            <w:vAlign w:val="center"/>
          </w:tcPr>
          <w:p>
            <w:pPr>
              <w:pStyle w:val="TableContents"/>
              <w:bidi w:val="0"/>
              <w:spacing w:before="0" w:after="283"/>
              <w:jc w:val="right"/>
              <w:rPr/>
            </w:pPr>
            <w:r>
              <w:rPr/>
              <w:t>4,423,621</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722" w:type="dxa"/>
            <w:tcBorders>
              <w:bottom w:val="single" w:sz="2" w:space="0" w:color="4B5088"/>
            </w:tcBorders>
            <w:tcMar>
              <w:bottom w:w="70" w:type="dxa"/>
            </w:tcMar>
            <w:vAlign w:val="center"/>
          </w:tcPr>
          <w:p>
            <w:pPr>
              <w:pStyle w:val="TableContents"/>
              <w:bidi w:val="0"/>
              <w:spacing w:before="0" w:after="283"/>
              <w:jc w:val="right"/>
              <w:rPr/>
            </w:pPr>
            <w:r>
              <w:rPr/>
              <w:t>6.22%</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1186" w:type="dxa"/>
            <w:tcBorders>
              <w:bottom w:val="single" w:sz="2" w:space="0" w:color="4B5088"/>
            </w:tcBorders>
            <w:tcMar>
              <w:bottom w:w="70" w:type="dxa"/>
            </w:tcMar>
            <w:vAlign w:val="center"/>
          </w:tcPr>
          <w:p>
            <w:pPr>
              <w:pStyle w:val="TableContents"/>
              <w:bidi w:val="0"/>
              <w:spacing w:before="0" w:after="283"/>
              <w:jc w:val="right"/>
              <w:rPr/>
            </w:pPr>
            <w:r>
              <w:rPr/>
              <w:t>4,423,621</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727" w:type="dxa"/>
            <w:tcBorders>
              <w:bottom w:val="single" w:sz="2" w:space="0" w:color="4B5088"/>
            </w:tcBorders>
            <w:tcMar>
              <w:bottom w:w="70" w:type="dxa"/>
            </w:tcMar>
            <w:vAlign w:val="center"/>
          </w:tcPr>
          <w:p>
            <w:pPr>
              <w:pStyle w:val="TableContents"/>
              <w:bidi w:val="0"/>
              <w:spacing w:before="0" w:after="283"/>
              <w:jc w:val="right"/>
              <w:rPr/>
            </w:pPr>
            <w:r>
              <w:rPr/>
              <w:t>5.76%</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148" w:type="dxa"/>
            <w:tcBorders>
              <w:bottom w:val="single" w:sz="2" w:space="0" w:color="4B5088"/>
            </w:tcBorders>
            <w:tcMar>
              <w:bottom w:w="70" w:type="dxa"/>
            </w:tcMar>
            <w:vAlign w:val="center"/>
          </w:tcPr>
          <w:p>
            <w:pPr>
              <w:pStyle w:val="TableContents"/>
              <w:bidi w:val="0"/>
              <w:spacing w:before="0" w:after="283"/>
              <w:jc w:val="left"/>
              <w:rPr/>
            </w:pPr>
            <w:r>
              <w:rPr>
                <w:spacing w:val="-2"/>
              </w:rPr>
              <w:t>Directors, Nominees for Director and Named Executive Officers</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1186" w:type="dxa"/>
            <w:tcBorders>
              <w:bottom w:val="single" w:sz="2" w:space="0" w:color="4B5088"/>
            </w:tcBorders>
            <w:tcMar>
              <w:bottom w:w="70"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722" w:type="dxa"/>
            <w:tcBorders>
              <w:bottom w:val="single" w:sz="2" w:space="0" w:color="4B5088"/>
            </w:tcBorders>
            <w:tcMar>
              <w:bottom w:w="70"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1186" w:type="dxa"/>
            <w:tcBorders>
              <w:bottom w:val="single" w:sz="2" w:space="0" w:color="4B5088"/>
            </w:tcBorders>
            <w:tcMar>
              <w:bottom w:w="70"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727" w:type="dxa"/>
            <w:tcBorders>
              <w:bottom w:val="single" w:sz="2" w:space="0" w:color="4B5088"/>
            </w:tcBorders>
            <w:tcMar>
              <w:bottom w:w="70"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148" w:type="dxa"/>
            <w:tcBorders>
              <w:bottom w:val="single" w:sz="2" w:space="0" w:color="4B5088"/>
            </w:tcBorders>
            <w:tcMar>
              <w:bottom w:w="70" w:type="dxa"/>
            </w:tcMar>
            <w:vAlign w:val="center"/>
          </w:tcPr>
          <w:p>
            <w:pPr>
              <w:pStyle w:val="TableContents"/>
              <w:bidi w:val="0"/>
              <w:spacing w:before="0" w:after="283"/>
              <w:jc w:val="left"/>
              <w:rPr/>
            </w:pPr>
            <w:r>
              <w:rPr>
                <w:spacing w:val="-2"/>
              </w:rPr>
              <w:t>John H. Alschuler</w:t>
            </w:r>
            <w:r>
              <w:rPr>
                <w:spacing w:val="-1"/>
                <w:sz w:val="11"/>
              </w:rPr>
              <w:t>(6)</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1186" w:type="dxa"/>
            <w:tcBorders>
              <w:bottom w:val="single" w:sz="2" w:space="0" w:color="4B5088"/>
            </w:tcBorders>
            <w:tcMar>
              <w:bottom w:w="70" w:type="dxa"/>
            </w:tcMar>
            <w:vAlign w:val="center"/>
          </w:tcPr>
          <w:p>
            <w:pPr>
              <w:pStyle w:val="TableContents"/>
              <w:bidi w:val="0"/>
              <w:spacing w:before="0" w:after="283"/>
              <w:jc w:val="right"/>
              <w:rPr/>
            </w:pPr>
            <w:r>
              <w:rPr/>
              <w:t>585</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722" w:type="dxa"/>
            <w:tcBorders>
              <w:bottom w:val="single" w:sz="2" w:space="0" w:color="4B5088"/>
            </w:tcBorders>
            <w:tcMar>
              <w:bottom w:w="70"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1186" w:type="dxa"/>
            <w:tcBorders>
              <w:bottom w:val="single" w:sz="2" w:space="0" w:color="4B5088"/>
            </w:tcBorders>
            <w:tcMar>
              <w:bottom w:w="70" w:type="dxa"/>
            </w:tcMar>
            <w:vAlign w:val="center"/>
          </w:tcPr>
          <w:p>
            <w:pPr>
              <w:pStyle w:val="TableContents"/>
              <w:bidi w:val="0"/>
              <w:spacing w:before="0" w:after="283"/>
              <w:jc w:val="right"/>
              <w:rPr/>
            </w:pPr>
            <w:r>
              <w:rPr/>
              <w:t>15,437</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727" w:type="dxa"/>
            <w:tcBorders>
              <w:bottom w:val="single" w:sz="2" w:space="0" w:color="4B5088"/>
            </w:tcBorders>
            <w:tcMar>
              <w:bottom w:w="70"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148" w:type="dxa"/>
            <w:tcBorders>
              <w:bottom w:val="single" w:sz="2" w:space="0" w:color="4B5088"/>
            </w:tcBorders>
            <w:tcMar>
              <w:bottom w:w="70" w:type="dxa"/>
            </w:tcMar>
            <w:vAlign w:val="center"/>
          </w:tcPr>
          <w:p>
            <w:pPr>
              <w:pStyle w:val="TableContents"/>
              <w:bidi w:val="0"/>
              <w:spacing w:before="0" w:after="283"/>
              <w:jc w:val="left"/>
              <w:rPr/>
            </w:pPr>
            <w:r>
              <w:rPr>
                <w:spacing w:val="-2"/>
              </w:rPr>
              <w:t>Carol N. Brown</w:t>
            </w:r>
            <w:r>
              <w:rPr>
                <w:spacing w:val="-1"/>
                <w:sz w:val="11"/>
              </w:rPr>
              <w:t>(7)</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1186" w:type="dxa"/>
            <w:tcBorders>
              <w:bottom w:val="single" w:sz="2" w:space="0" w:color="4B5088"/>
            </w:tcBorders>
            <w:tcMar>
              <w:bottom w:w="70"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722" w:type="dxa"/>
            <w:tcBorders>
              <w:bottom w:val="single" w:sz="2" w:space="0" w:color="4B5088"/>
            </w:tcBorders>
            <w:tcMar>
              <w:bottom w:w="70"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1186" w:type="dxa"/>
            <w:tcBorders>
              <w:bottom w:val="single" w:sz="2" w:space="0" w:color="4B5088"/>
            </w:tcBorders>
            <w:tcMar>
              <w:bottom w:w="70" w:type="dxa"/>
            </w:tcMar>
            <w:vAlign w:val="center"/>
          </w:tcPr>
          <w:p>
            <w:pPr>
              <w:pStyle w:val="TableContents"/>
              <w:bidi w:val="0"/>
              <w:spacing w:before="0" w:after="283"/>
              <w:jc w:val="right"/>
              <w:rPr/>
            </w:pPr>
            <w:r>
              <w:rPr/>
              <w:t>9,784</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727" w:type="dxa"/>
            <w:tcBorders>
              <w:bottom w:val="single" w:sz="2" w:space="0" w:color="4B5088"/>
            </w:tcBorders>
            <w:tcMar>
              <w:bottom w:w="70"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148" w:type="dxa"/>
            <w:tcBorders>
              <w:bottom w:val="single" w:sz="2" w:space="0" w:color="4B5088"/>
            </w:tcBorders>
            <w:tcMar>
              <w:bottom w:w="70" w:type="dxa"/>
            </w:tcMar>
            <w:vAlign w:val="center"/>
          </w:tcPr>
          <w:p>
            <w:pPr>
              <w:pStyle w:val="TableContents"/>
              <w:bidi w:val="0"/>
              <w:spacing w:before="0" w:after="283"/>
              <w:jc w:val="left"/>
              <w:rPr/>
            </w:pPr>
            <w:r>
              <w:rPr>
                <w:spacing w:val="-2"/>
              </w:rPr>
              <w:t>Matthew J. DiLiberto</w:t>
            </w:r>
            <w:r>
              <w:rPr>
                <w:spacing w:val="-1"/>
                <w:sz w:val="11"/>
              </w:rPr>
              <w:t>(8)</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1186" w:type="dxa"/>
            <w:tcBorders>
              <w:bottom w:val="single" w:sz="2" w:space="0" w:color="4B5088"/>
            </w:tcBorders>
            <w:tcMar>
              <w:bottom w:w="70" w:type="dxa"/>
            </w:tcMar>
            <w:vAlign w:val="center"/>
          </w:tcPr>
          <w:p>
            <w:pPr>
              <w:pStyle w:val="TableContents"/>
              <w:bidi w:val="0"/>
              <w:spacing w:before="0" w:after="283"/>
              <w:jc w:val="right"/>
              <w:rPr/>
            </w:pPr>
            <w:r>
              <w:rPr/>
              <w:t xml:space="preserve">4,739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722" w:type="dxa"/>
            <w:tcBorders>
              <w:bottom w:val="single" w:sz="2" w:space="0" w:color="4B5088"/>
            </w:tcBorders>
            <w:tcMar>
              <w:bottom w:w="70"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1186" w:type="dxa"/>
            <w:tcBorders>
              <w:bottom w:val="single" w:sz="2" w:space="0" w:color="4B5088"/>
            </w:tcBorders>
            <w:tcMar>
              <w:bottom w:w="70" w:type="dxa"/>
            </w:tcMar>
            <w:vAlign w:val="center"/>
          </w:tcPr>
          <w:p>
            <w:pPr>
              <w:pStyle w:val="TableContents"/>
              <w:bidi w:val="0"/>
              <w:spacing w:before="0" w:after="283"/>
              <w:jc w:val="right"/>
              <w:rPr/>
            </w:pPr>
            <w:r>
              <w:rPr/>
              <w:t>322,044</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727" w:type="dxa"/>
            <w:tcBorders>
              <w:bottom w:val="single" w:sz="2" w:space="0" w:color="4B5088"/>
            </w:tcBorders>
            <w:tcMar>
              <w:bottom w:w="70"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148" w:type="dxa"/>
            <w:tcBorders>
              <w:bottom w:val="single" w:sz="2" w:space="0" w:color="4B5088"/>
            </w:tcBorders>
            <w:tcMar>
              <w:bottom w:w="70" w:type="dxa"/>
            </w:tcMar>
            <w:vAlign w:val="center"/>
          </w:tcPr>
          <w:p>
            <w:pPr>
              <w:pStyle w:val="TableContents"/>
              <w:bidi w:val="0"/>
              <w:spacing w:before="0" w:after="283"/>
              <w:jc w:val="left"/>
              <w:rPr/>
            </w:pPr>
            <w:r>
              <w:rPr>
                <w:spacing w:val="-2"/>
              </w:rPr>
              <w:t>Lauren B. Dillard</w:t>
            </w:r>
            <w:r>
              <w:rPr>
                <w:spacing w:val="-1"/>
                <w:sz w:val="11"/>
              </w:rPr>
              <w:t>(9)</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1186" w:type="dxa"/>
            <w:tcBorders>
              <w:bottom w:val="single" w:sz="2" w:space="0" w:color="4B5088"/>
            </w:tcBorders>
            <w:tcMar>
              <w:bottom w:w="70" w:type="dxa"/>
            </w:tcMar>
            <w:vAlign w:val="center"/>
          </w:tcPr>
          <w:p>
            <w:pPr>
              <w:pStyle w:val="TableContents"/>
              <w:bidi w:val="0"/>
              <w:spacing w:before="0" w:after="283"/>
              <w:jc w:val="right"/>
              <w:rPr/>
            </w:pPr>
            <w:r>
              <w:rPr/>
              <w:t>20,448</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722" w:type="dxa"/>
            <w:tcBorders>
              <w:bottom w:val="single" w:sz="2" w:space="0" w:color="4B5088"/>
            </w:tcBorders>
            <w:tcMar>
              <w:bottom w:w="70"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1186" w:type="dxa"/>
            <w:tcBorders>
              <w:bottom w:val="single" w:sz="2" w:space="0" w:color="4B5088"/>
            </w:tcBorders>
            <w:tcMar>
              <w:bottom w:w="70" w:type="dxa"/>
            </w:tcMar>
            <w:vAlign w:val="center"/>
          </w:tcPr>
          <w:p>
            <w:pPr>
              <w:pStyle w:val="TableContents"/>
              <w:bidi w:val="0"/>
              <w:spacing w:before="0" w:after="283"/>
              <w:jc w:val="right"/>
              <w:rPr/>
            </w:pPr>
            <w:r>
              <w:rPr/>
              <w:t>54,454</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727" w:type="dxa"/>
            <w:tcBorders>
              <w:bottom w:val="single" w:sz="2" w:space="0" w:color="4B5088"/>
            </w:tcBorders>
            <w:tcMar>
              <w:bottom w:w="70"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148" w:type="dxa"/>
            <w:tcBorders>
              <w:bottom w:val="single" w:sz="2" w:space="0" w:color="4B5088"/>
            </w:tcBorders>
            <w:tcMar>
              <w:bottom w:w="70" w:type="dxa"/>
            </w:tcMar>
            <w:vAlign w:val="center"/>
          </w:tcPr>
          <w:p>
            <w:pPr>
              <w:pStyle w:val="TableContents"/>
              <w:bidi w:val="0"/>
              <w:spacing w:before="0" w:after="283"/>
              <w:jc w:val="left"/>
              <w:rPr/>
            </w:pPr>
            <w:r>
              <w:rPr>
                <w:spacing w:val="-2"/>
              </w:rPr>
              <w:t>Stephen L. Green</w:t>
            </w:r>
            <w:r>
              <w:rPr>
                <w:spacing w:val="-1"/>
                <w:sz w:val="11"/>
              </w:rPr>
              <w:t>(10)</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1186" w:type="dxa"/>
            <w:tcBorders>
              <w:bottom w:val="single" w:sz="2" w:space="0" w:color="4B5088"/>
            </w:tcBorders>
            <w:tcMar>
              <w:bottom w:w="70"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722" w:type="dxa"/>
            <w:tcBorders>
              <w:bottom w:val="single" w:sz="2" w:space="0" w:color="4B5088"/>
            </w:tcBorders>
            <w:tcMar>
              <w:bottom w:w="70"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1186" w:type="dxa"/>
            <w:tcBorders>
              <w:bottom w:val="single" w:sz="2" w:space="0" w:color="4B5088"/>
            </w:tcBorders>
            <w:tcMar>
              <w:bottom w:w="70" w:type="dxa"/>
            </w:tcMar>
            <w:vAlign w:val="center"/>
          </w:tcPr>
          <w:p>
            <w:pPr>
              <w:pStyle w:val="TableContents"/>
              <w:bidi w:val="0"/>
              <w:spacing w:before="0" w:after="283"/>
              <w:jc w:val="right"/>
              <w:rPr/>
            </w:pPr>
            <w:r>
              <w:rPr/>
              <w:t>859,164</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727" w:type="dxa"/>
            <w:tcBorders>
              <w:bottom w:val="single" w:sz="2" w:space="0" w:color="4B5088"/>
            </w:tcBorders>
            <w:tcMar>
              <w:bottom w:w="70" w:type="dxa"/>
            </w:tcMar>
            <w:vAlign w:val="center"/>
          </w:tcPr>
          <w:p>
            <w:pPr>
              <w:pStyle w:val="TableContents"/>
              <w:bidi w:val="0"/>
              <w:spacing w:before="0" w:after="283"/>
              <w:jc w:val="right"/>
              <w:rPr/>
            </w:pPr>
            <w:r>
              <w:rPr/>
              <w:t>1.12%</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148" w:type="dxa"/>
            <w:tcBorders>
              <w:bottom w:val="single" w:sz="2" w:space="0" w:color="4B5088"/>
            </w:tcBorders>
            <w:tcMar>
              <w:bottom w:w="70" w:type="dxa"/>
            </w:tcMar>
            <w:vAlign w:val="center"/>
          </w:tcPr>
          <w:p>
            <w:pPr>
              <w:pStyle w:val="TableContents"/>
              <w:bidi w:val="0"/>
              <w:spacing w:before="0" w:after="283"/>
              <w:jc w:val="left"/>
              <w:rPr>
                <w:spacing w:val="-2"/>
              </w:rPr>
            </w:pPr>
            <w:r>
              <w:rPr>
                <w:spacing w:val="-2"/>
              </w:rPr>
              <w:t xml:space="preserve">Craig M. Hatkoff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1186" w:type="dxa"/>
            <w:tcBorders>
              <w:bottom w:val="single" w:sz="2" w:space="0" w:color="4B5088"/>
            </w:tcBorders>
            <w:tcMar>
              <w:bottom w:w="70" w:type="dxa"/>
            </w:tcMar>
            <w:vAlign w:val="center"/>
          </w:tcPr>
          <w:p>
            <w:pPr>
              <w:pStyle w:val="TableContents"/>
              <w:bidi w:val="0"/>
              <w:spacing w:before="0" w:after="283"/>
              <w:jc w:val="right"/>
              <w:rPr/>
            </w:pPr>
            <w:r>
              <w:rPr/>
              <w:t>2,052</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722" w:type="dxa"/>
            <w:tcBorders>
              <w:bottom w:val="single" w:sz="2" w:space="0" w:color="4B5088"/>
            </w:tcBorders>
            <w:tcMar>
              <w:bottom w:w="70"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1186" w:type="dxa"/>
            <w:tcBorders>
              <w:bottom w:val="single" w:sz="2" w:space="0" w:color="4B5088"/>
            </w:tcBorders>
            <w:tcMar>
              <w:bottom w:w="70" w:type="dxa"/>
            </w:tcMar>
            <w:vAlign w:val="center"/>
          </w:tcPr>
          <w:p>
            <w:pPr>
              <w:pStyle w:val="TableContents"/>
              <w:bidi w:val="0"/>
              <w:spacing w:before="0" w:after="283"/>
              <w:jc w:val="right"/>
              <w:rPr/>
            </w:pPr>
            <w:r>
              <w:rPr/>
              <w:t>2,052</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727" w:type="dxa"/>
            <w:tcBorders>
              <w:bottom w:val="single" w:sz="2" w:space="0" w:color="4B5088"/>
            </w:tcBorders>
            <w:tcMar>
              <w:bottom w:w="70"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148" w:type="dxa"/>
            <w:tcBorders>
              <w:bottom w:val="single" w:sz="2" w:space="0" w:color="4B5088"/>
            </w:tcBorders>
            <w:tcMar>
              <w:bottom w:w="70" w:type="dxa"/>
            </w:tcMar>
            <w:vAlign w:val="center"/>
          </w:tcPr>
          <w:p>
            <w:pPr>
              <w:pStyle w:val="TableContents"/>
              <w:bidi w:val="0"/>
              <w:spacing w:before="0" w:after="283"/>
              <w:jc w:val="left"/>
              <w:rPr/>
            </w:pPr>
            <w:r>
              <w:rPr>
                <w:spacing w:val="-2"/>
              </w:rPr>
              <w:t>Marc Holliday</w:t>
            </w:r>
            <w:r>
              <w:rPr>
                <w:spacing w:val="-1"/>
                <w:sz w:val="11"/>
              </w:rPr>
              <w:t>(11)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1186" w:type="dxa"/>
            <w:tcBorders>
              <w:bottom w:val="single" w:sz="2" w:space="0" w:color="4B5088"/>
            </w:tcBorders>
            <w:tcMar>
              <w:bottom w:w="70" w:type="dxa"/>
            </w:tcMar>
            <w:vAlign w:val="center"/>
          </w:tcPr>
          <w:p>
            <w:pPr>
              <w:pStyle w:val="TableContents"/>
              <w:bidi w:val="0"/>
              <w:spacing w:before="0" w:after="283"/>
              <w:jc w:val="right"/>
              <w:rPr/>
            </w:pPr>
            <w:r>
              <w:rPr/>
              <w:t xml:space="preserve">9,859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722" w:type="dxa"/>
            <w:tcBorders>
              <w:bottom w:val="single" w:sz="2" w:space="0" w:color="4B5088"/>
            </w:tcBorders>
            <w:tcMar>
              <w:bottom w:w="70"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1186" w:type="dxa"/>
            <w:tcBorders>
              <w:bottom w:val="single" w:sz="2" w:space="0" w:color="4B5088"/>
            </w:tcBorders>
            <w:tcMar>
              <w:bottom w:w="70" w:type="dxa"/>
            </w:tcMar>
            <w:vAlign w:val="center"/>
          </w:tcPr>
          <w:p>
            <w:pPr>
              <w:pStyle w:val="TableContents"/>
              <w:bidi w:val="0"/>
              <w:spacing w:before="0" w:after="283"/>
              <w:jc w:val="right"/>
              <w:rPr/>
            </w:pPr>
            <w:r>
              <w:rPr/>
              <w:t>1,594,066</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727" w:type="dxa"/>
            <w:tcBorders>
              <w:bottom w:val="single" w:sz="2" w:space="0" w:color="4B5088"/>
            </w:tcBorders>
            <w:tcMar>
              <w:bottom w:w="70" w:type="dxa"/>
            </w:tcMar>
            <w:vAlign w:val="center"/>
          </w:tcPr>
          <w:p>
            <w:pPr>
              <w:pStyle w:val="TableContents"/>
              <w:bidi w:val="0"/>
              <w:spacing w:before="0" w:after="283"/>
              <w:jc w:val="right"/>
              <w:rPr/>
            </w:pPr>
            <w:r>
              <w:rPr/>
              <w:t>2.08%</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148" w:type="dxa"/>
            <w:tcBorders>
              <w:bottom w:val="single" w:sz="2" w:space="0" w:color="4B5088"/>
            </w:tcBorders>
            <w:tcMar>
              <w:bottom w:w="70" w:type="dxa"/>
            </w:tcMar>
            <w:vAlign w:val="center"/>
          </w:tcPr>
          <w:p>
            <w:pPr>
              <w:pStyle w:val="TableContents"/>
              <w:bidi w:val="0"/>
              <w:spacing w:before="0" w:after="283"/>
              <w:jc w:val="left"/>
              <w:rPr/>
            </w:pPr>
            <w:r>
              <w:rPr>
                <w:spacing w:val="-2"/>
              </w:rPr>
              <w:t>Peggy Lamb</w:t>
            </w:r>
            <w:r>
              <w:rPr>
                <w:spacing w:val="-1"/>
                <w:sz w:val="11"/>
              </w:rPr>
              <w:t>(12)</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1186" w:type="dxa"/>
            <w:tcBorders>
              <w:bottom w:val="single" w:sz="2" w:space="0" w:color="4B5088"/>
            </w:tcBorders>
            <w:tcMar>
              <w:bottom w:w="70"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722" w:type="dxa"/>
            <w:tcBorders>
              <w:bottom w:val="single" w:sz="2" w:space="0" w:color="4B5088"/>
            </w:tcBorders>
            <w:tcMar>
              <w:bottom w:w="70"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1186" w:type="dxa"/>
            <w:tcBorders>
              <w:bottom w:val="single" w:sz="2" w:space="0" w:color="4B5088"/>
            </w:tcBorders>
            <w:tcMar>
              <w:bottom w:w="70" w:type="dxa"/>
            </w:tcMar>
            <w:vAlign w:val="center"/>
          </w:tcPr>
          <w:p>
            <w:pPr>
              <w:pStyle w:val="TableContents"/>
              <w:bidi w:val="0"/>
              <w:spacing w:before="0" w:after="283"/>
              <w:jc w:val="right"/>
              <w:rPr/>
            </w:pPr>
            <w:r>
              <w:rPr/>
              <w:t>9,263</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727" w:type="dxa"/>
            <w:tcBorders>
              <w:bottom w:val="single" w:sz="2" w:space="0" w:color="4B5088"/>
            </w:tcBorders>
            <w:tcMar>
              <w:bottom w:w="70"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148" w:type="dxa"/>
            <w:tcBorders>
              <w:bottom w:val="single" w:sz="2" w:space="0" w:color="4B5088"/>
            </w:tcBorders>
            <w:tcMar>
              <w:bottom w:w="70" w:type="dxa"/>
            </w:tcMar>
            <w:vAlign w:val="center"/>
          </w:tcPr>
          <w:p>
            <w:pPr>
              <w:pStyle w:val="TableContents"/>
              <w:bidi w:val="0"/>
              <w:spacing w:before="0" w:after="283"/>
              <w:jc w:val="left"/>
              <w:rPr/>
            </w:pPr>
            <w:r>
              <w:rPr>
                <w:spacing w:val="-2"/>
              </w:rPr>
              <w:t>Andrew S. Levine</w:t>
            </w:r>
            <w:r>
              <w:rPr>
                <w:spacing w:val="-1"/>
                <w:sz w:val="11"/>
              </w:rPr>
              <w:t>(13)</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1186" w:type="dxa"/>
            <w:tcBorders>
              <w:bottom w:val="single" w:sz="2" w:space="0" w:color="4B5088"/>
            </w:tcBorders>
            <w:tcMar>
              <w:bottom w:w="70" w:type="dxa"/>
            </w:tcMar>
            <w:vAlign w:val="center"/>
          </w:tcPr>
          <w:p>
            <w:pPr>
              <w:pStyle w:val="TableContents"/>
              <w:bidi w:val="0"/>
              <w:spacing w:before="0" w:after="283"/>
              <w:jc w:val="right"/>
              <w:rPr/>
            </w:pPr>
            <w:r>
              <w:rPr/>
              <w:t xml:space="preserve">7,206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722" w:type="dxa"/>
            <w:tcBorders>
              <w:bottom w:val="single" w:sz="2" w:space="0" w:color="4B5088"/>
            </w:tcBorders>
            <w:tcMar>
              <w:bottom w:w="70"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1186" w:type="dxa"/>
            <w:tcBorders>
              <w:bottom w:val="single" w:sz="2" w:space="0" w:color="4B5088"/>
            </w:tcBorders>
            <w:tcMar>
              <w:bottom w:w="70" w:type="dxa"/>
            </w:tcMar>
            <w:vAlign w:val="center"/>
          </w:tcPr>
          <w:p>
            <w:pPr>
              <w:pStyle w:val="TableContents"/>
              <w:bidi w:val="0"/>
              <w:spacing w:before="0" w:after="283"/>
              <w:jc w:val="right"/>
              <w:rPr/>
            </w:pPr>
            <w:r>
              <w:rPr/>
              <w:t xml:space="preserve">292,189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727" w:type="dxa"/>
            <w:tcBorders>
              <w:bottom w:val="single" w:sz="2" w:space="0" w:color="4B5088"/>
            </w:tcBorders>
            <w:tcMar>
              <w:bottom w:w="70"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148" w:type="dxa"/>
            <w:tcBorders>
              <w:bottom w:val="single" w:sz="2" w:space="0" w:color="4B5088"/>
            </w:tcBorders>
            <w:tcMar>
              <w:bottom w:w="70" w:type="dxa"/>
            </w:tcMar>
            <w:vAlign w:val="center"/>
          </w:tcPr>
          <w:p>
            <w:pPr>
              <w:pStyle w:val="TableContents"/>
              <w:bidi w:val="0"/>
              <w:spacing w:before="0" w:after="283"/>
              <w:jc w:val="left"/>
              <w:rPr/>
            </w:pPr>
            <w:r>
              <w:rPr>
                <w:spacing w:val="-2"/>
              </w:rPr>
              <w:t>Andrew Mathias</w:t>
            </w:r>
            <w:r>
              <w:rPr>
                <w:spacing w:val="-1"/>
                <w:sz w:val="11"/>
              </w:rPr>
              <w:t>(14)</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1186" w:type="dxa"/>
            <w:tcBorders>
              <w:bottom w:val="single" w:sz="2" w:space="0" w:color="4B5088"/>
            </w:tcBorders>
            <w:tcMar>
              <w:bottom w:w="70" w:type="dxa"/>
            </w:tcMar>
            <w:vAlign w:val="center"/>
          </w:tcPr>
          <w:p>
            <w:pPr>
              <w:pStyle w:val="TableContents"/>
              <w:bidi w:val="0"/>
              <w:spacing w:before="0" w:after="283"/>
              <w:jc w:val="right"/>
              <w:rPr/>
            </w:pPr>
            <w:r>
              <w:rPr/>
              <w:t xml:space="preserve">6,189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722" w:type="dxa"/>
            <w:tcBorders>
              <w:bottom w:val="single" w:sz="2" w:space="0" w:color="4B5088"/>
            </w:tcBorders>
            <w:tcMar>
              <w:bottom w:w="70"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1186" w:type="dxa"/>
            <w:tcBorders>
              <w:bottom w:val="single" w:sz="2" w:space="0" w:color="4B5088"/>
            </w:tcBorders>
            <w:tcMar>
              <w:bottom w:w="70" w:type="dxa"/>
            </w:tcMar>
            <w:vAlign w:val="center"/>
          </w:tcPr>
          <w:p>
            <w:pPr>
              <w:pStyle w:val="TableContents"/>
              <w:bidi w:val="0"/>
              <w:spacing w:before="0" w:after="283"/>
              <w:jc w:val="right"/>
              <w:rPr/>
            </w:pPr>
            <w:r>
              <w:rPr/>
              <w:t>1,230,558</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727" w:type="dxa"/>
            <w:tcBorders>
              <w:bottom w:val="single" w:sz="2" w:space="0" w:color="4B5088"/>
            </w:tcBorders>
            <w:tcMar>
              <w:bottom w:w="70" w:type="dxa"/>
            </w:tcMar>
            <w:vAlign w:val="center"/>
          </w:tcPr>
          <w:p>
            <w:pPr>
              <w:pStyle w:val="TableContents"/>
              <w:bidi w:val="0"/>
              <w:spacing w:before="0" w:after="283"/>
              <w:jc w:val="right"/>
              <w:rPr/>
            </w:pPr>
            <w:r>
              <w:rPr/>
              <w:t>1.60%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148" w:type="dxa"/>
            <w:tcBorders>
              <w:bottom w:val="single" w:sz="2" w:space="0" w:color="4B5088"/>
            </w:tcBorders>
            <w:tcMar>
              <w:bottom w:w="70" w:type="dxa"/>
            </w:tcMar>
            <w:vAlign w:val="center"/>
          </w:tcPr>
          <w:p>
            <w:pPr>
              <w:pStyle w:val="TableContents"/>
              <w:bidi w:val="0"/>
              <w:spacing w:before="0" w:after="283"/>
              <w:jc w:val="left"/>
              <w:rPr/>
            </w:pPr>
            <w:r>
              <w:rPr>
                <w:spacing w:val="-2"/>
              </w:rPr>
              <w:t>Harrison Sitomer</w:t>
            </w:r>
            <w:r>
              <w:rPr>
                <w:spacing w:val="-1"/>
                <w:sz w:val="11"/>
              </w:rPr>
              <w:t>(15)</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1186" w:type="dxa"/>
            <w:tcBorders>
              <w:bottom w:val="single" w:sz="2" w:space="0" w:color="4B5088"/>
            </w:tcBorders>
            <w:tcMar>
              <w:bottom w:w="70" w:type="dxa"/>
            </w:tcMar>
            <w:vAlign w:val="center"/>
          </w:tcPr>
          <w:p>
            <w:pPr>
              <w:pStyle w:val="TableContents"/>
              <w:bidi w:val="0"/>
              <w:spacing w:before="0" w:after="283"/>
              <w:jc w:val="right"/>
              <w:rPr/>
            </w:pPr>
            <w:r>
              <w:rPr/>
              <w:t>149,468</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722" w:type="dxa"/>
            <w:tcBorders>
              <w:bottom w:val="single" w:sz="2" w:space="0" w:color="4B5088"/>
            </w:tcBorders>
            <w:tcMar>
              <w:bottom w:w="70"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1186" w:type="dxa"/>
            <w:tcBorders>
              <w:bottom w:val="single" w:sz="2" w:space="0" w:color="4B5088"/>
            </w:tcBorders>
            <w:tcMar>
              <w:bottom w:w="70" w:type="dxa"/>
            </w:tcMar>
            <w:vAlign w:val="center"/>
          </w:tcPr>
          <w:p>
            <w:pPr>
              <w:pStyle w:val="TableContents"/>
              <w:bidi w:val="0"/>
              <w:spacing w:before="0" w:after="283"/>
              <w:jc w:val="right"/>
              <w:rPr/>
            </w:pPr>
            <w:r>
              <w:rPr/>
              <w:t>182,833</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727" w:type="dxa"/>
            <w:tcBorders>
              <w:bottom w:val="single" w:sz="2" w:space="0" w:color="4B5088"/>
            </w:tcBorders>
            <w:tcMar>
              <w:bottom w:w="70"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148" w:type="dxa"/>
            <w:tcBorders>
              <w:bottom w:val="single" w:sz="2" w:space="0" w:color="1F2668"/>
            </w:tcBorders>
            <w:tcMar>
              <w:bottom w:w="70" w:type="dxa"/>
            </w:tcMar>
            <w:vAlign w:val="center"/>
          </w:tcPr>
          <w:p>
            <w:pPr>
              <w:pStyle w:val="TableContents"/>
              <w:bidi w:val="0"/>
              <w:spacing w:before="0" w:after="0"/>
              <w:jc w:val="left"/>
              <w:rPr>
                <w:b/>
              </w:rPr>
            </w:pPr>
            <w:r>
              <w:rPr>
                <w:b/>
                <w:spacing w:val="-2"/>
              </w:rPr>
              <w:t>All Directors and Executive Officers as a Group (11 Persons)</w:t>
            </w:r>
            <w:r>
              <w:rPr>
                <w:b/>
                <w:spacing w:val="-1"/>
                <w:sz w:val="11"/>
              </w:rPr>
              <w:t>(16)</w:t>
            </w:r>
            <w:r>
              <w:rPr>
                <w:b/>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70" w:type="dxa"/>
            </w:tcMar>
            <w:vAlign w:val="center"/>
          </w:tcPr>
          <w:p>
            <w:pPr>
              <w:pStyle w:val="TableContents"/>
              <w:bidi w:val="0"/>
              <w:spacing w:before="0" w:after="283"/>
              <w:jc w:val="right"/>
              <w:rPr/>
            </w:pPr>
            <w:r>
              <w:rPr/>
              <w:t>​</w:t>
            </w:r>
          </w:p>
        </w:tc>
        <w:tc>
          <w:tcPr>
            <w:tcW w:w="1186" w:type="dxa"/>
            <w:tcBorders>
              <w:bottom w:val="single" w:sz="2" w:space="0" w:color="1F2668"/>
            </w:tcBorders>
            <w:tcMar>
              <w:bottom w:w="70" w:type="dxa"/>
            </w:tcMar>
            <w:vAlign w:val="center"/>
          </w:tcPr>
          <w:p>
            <w:pPr>
              <w:pStyle w:val="TableContents"/>
              <w:bidi w:val="0"/>
              <w:spacing w:before="0" w:after="283"/>
              <w:jc w:val="right"/>
              <w:rPr/>
            </w:pPr>
            <w:r>
              <w:rPr/>
              <w:t xml:space="preserve">200,546 </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70" w:type="dxa"/>
            </w:tcMar>
            <w:vAlign w:val="center"/>
          </w:tcPr>
          <w:p>
            <w:pPr>
              <w:pStyle w:val="TableContents"/>
              <w:bidi w:val="0"/>
              <w:spacing w:before="0" w:after="283"/>
              <w:jc w:val="right"/>
              <w:rPr/>
            </w:pPr>
            <w:r>
              <w:rPr/>
              <w:t>​</w:t>
            </w:r>
          </w:p>
        </w:tc>
        <w:tc>
          <w:tcPr>
            <w:tcW w:w="722" w:type="dxa"/>
            <w:tcBorders>
              <w:bottom w:val="single" w:sz="2" w:space="0" w:color="1F2668"/>
            </w:tcBorders>
            <w:tcMar>
              <w:bottom w:w="70" w:type="dxa"/>
            </w:tcMar>
            <w:vAlign w:val="center"/>
          </w:tcPr>
          <w:p>
            <w:pPr>
              <w:pStyle w:val="TableContents"/>
              <w:bidi w:val="0"/>
              <w:spacing w:before="0" w:after="283"/>
              <w:jc w:val="righ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70" w:type="dxa"/>
            </w:tcMar>
            <w:vAlign w:val="center"/>
          </w:tcPr>
          <w:p>
            <w:pPr>
              <w:pStyle w:val="TableContents"/>
              <w:bidi w:val="0"/>
              <w:spacing w:before="0" w:after="283"/>
              <w:jc w:val="right"/>
              <w:rPr/>
            </w:pPr>
            <w:r>
              <w:rPr/>
              <w:t>​</w:t>
            </w:r>
          </w:p>
        </w:tc>
        <w:tc>
          <w:tcPr>
            <w:tcW w:w="1186" w:type="dxa"/>
            <w:tcBorders>
              <w:bottom w:val="single" w:sz="2" w:space="0" w:color="1F2668"/>
            </w:tcBorders>
            <w:tcMar>
              <w:bottom w:w="70" w:type="dxa"/>
            </w:tcMar>
            <w:vAlign w:val="center"/>
          </w:tcPr>
          <w:p>
            <w:pPr>
              <w:pStyle w:val="TableContents"/>
              <w:bidi w:val="0"/>
              <w:spacing w:before="0" w:after="283"/>
              <w:jc w:val="right"/>
              <w:rPr/>
            </w:pPr>
            <w:r>
              <w:rPr/>
              <w:t xml:space="preserve">4,571,843 </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70" w:type="dxa"/>
            </w:tcMar>
            <w:vAlign w:val="center"/>
          </w:tcPr>
          <w:p>
            <w:pPr>
              <w:pStyle w:val="TableContents"/>
              <w:bidi w:val="0"/>
              <w:spacing w:before="0" w:after="283"/>
              <w:jc w:val="right"/>
              <w:rPr/>
            </w:pPr>
            <w:r>
              <w:rPr/>
              <w:t>​</w:t>
            </w:r>
          </w:p>
        </w:tc>
        <w:tc>
          <w:tcPr>
            <w:tcW w:w="727" w:type="dxa"/>
            <w:tcBorders>
              <w:bottom w:val="single" w:sz="2" w:space="0" w:color="1F2668"/>
            </w:tcBorders>
            <w:tcMar>
              <w:bottom w:w="70" w:type="dxa"/>
            </w:tcMar>
            <w:vAlign w:val="center"/>
          </w:tcPr>
          <w:p>
            <w:pPr>
              <w:pStyle w:val="TableContents"/>
              <w:bidi w:val="0"/>
              <w:spacing w:before="0" w:after="283"/>
              <w:jc w:val="right"/>
              <w:rPr/>
            </w:pPr>
            <w:r>
              <w:rPr/>
              <w:t>5.94%</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290"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Less than 1%.</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84150" distB="0" distL="0" distR="0" simplePos="0" locked="0" layoutInCell="1" allowOverlap="1" relativeHeight="822">
                <wp:simplePos x="0" y="0"/>
                <wp:positionH relativeFrom="column">
                  <wp:align>left</wp:align>
                </wp:positionH>
                <wp:positionV relativeFrom="line">
                  <wp:align>top</wp:align>
                </wp:positionV>
                <wp:extent cx="254000" cy="254000"/>
                <wp:effectExtent l="0" t="0" r="0" b="0"/>
                <wp:wrapSquare wrapText="right"/>
                <wp:docPr id="926" name="Frame572"/>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2"/>
                                <w:sz w:val="16"/>
                              </w:rPr>
                              <w:t>*</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14.5pt;mso-wrap-distance-bottom:0pt;margin-top:14.5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2"/>
                          <w:sz w:val="16"/>
                        </w:rPr>
                        <w:t>*</w:t>
                      </w:r>
                      <w:r>
                        <w:rPr>
                          <w:sz w:val="16"/>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100"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Unless otherwise indicated, the business address is One Vanderbilt Avenue, New York, New York 10017-3852.</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63500" distB="0" distL="0" distR="0" simplePos="0" locked="0" layoutInCell="1" allowOverlap="1" relativeHeight="823">
                <wp:simplePos x="0" y="0"/>
                <wp:positionH relativeFrom="column">
                  <wp:align>left</wp:align>
                </wp:positionH>
                <wp:positionV relativeFrom="line">
                  <wp:align>top</wp:align>
                </wp:positionV>
                <wp:extent cx="254000" cy="254000"/>
                <wp:effectExtent l="0" t="0" r="0" b="0"/>
                <wp:wrapSquare wrapText="right"/>
                <wp:docPr id="927" name="Frame573"/>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2"/>
                                <w:sz w:val="16"/>
                              </w:rPr>
                              <w:t>**</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00" w:before="0" w:after="283"/>
                        <w:jc w:val="left"/>
                        <w:rPr>
                          <w:sz w:val="16"/>
                        </w:rPr>
                      </w:pPr>
                      <w:r>
                        <w:rPr>
                          <w:spacing w:val="-2"/>
                          <w:sz w:val="16"/>
                        </w:rPr>
                        <w:t>**</w:t>
                      </w:r>
                      <w:r>
                        <w:rPr>
                          <w:sz w:val="16"/>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100" w:after="0"/>
        <w:ind w:left="1300" w:right="0" w:hanging="0"/>
        <w:jc w:val="left"/>
        <w:rPr>
          <w:rFonts w:ascii="Arial;Helvetica;sans-serif" w:hAnsi="Arial;Helvetica;sans-serif"/>
          <w:b w:val="false"/>
          <w:i w:val="false"/>
          <w:caps w:val="false"/>
          <w:smallCaps w:val="false"/>
          <w:color w:val="000000"/>
          <w:spacing w:val="-2"/>
          <w:sz w:val="16"/>
        </w:rPr>
      </w:pPr>
      <w:r>
        <w:rPr>
          <w:rFonts w:ascii="Arial;Helvetica;sans-serif" w:hAnsi="Arial;Helvetica;sans-serif"/>
          <w:b w:val="false"/>
          <w:i w:val="false"/>
          <w:caps w:val="false"/>
          <w:smallCaps w:val="false"/>
          <w:color w:val="000000"/>
          <w:spacing w:val="-2"/>
          <w:sz w:val="16"/>
        </w:rPr>
        <w:t xml:space="preserve">The number of shares of common stock “beneficially owned” by each beneficial owner is determined under rules issued by the SEC regarding the beneficial ownership of securities. This information is not necessarily indicative of beneficial ownership for any other purpose. “Number of Shares Beneficially Owned” includes shares of common stock that may be acquired upon the exercise of options that are exercisable on or within 60 days after March 31, 2026. The “Number of Shares and Units Beneficially Owned” includes all shares included in the “Number of Shares Beneficially Owned” column plus (i) the number of shares of common stock for which common units and LTIP units may be redeemed (assuming, in the case of LTIP units, that they have first been converted into </w:t>
      </w:r>
      <w:r>
        <mc:AlternateContent>
          <mc:Choice Requires="wps">
            <w:drawing>
              <wp:anchor behindDoc="0" distT="63500" distB="0" distL="0" distR="0" simplePos="0" locked="0" layoutInCell="1" allowOverlap="1" relativeHeight="824">
                <wp:simplePos x="0" y="0"/>
                <wp:positionH relativeFrom="column">
                  <wp:align>left</wp:align>
                </wp:positionH>
                <wp:positionV relativeFrom="line">
                  <wp:align>top</wp:align>
                </wp:positionV>
                <wp:extent cx="254000" cy="254000"/>
                <wp:effectExtent l="0" t="0" r="0" b="0"/>
                <wp:wrapSquare wrapText="right"/>
                <wp:docPr id="928" name="Frame574"/>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2"/>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2"/>
                          <w:sz w:val="16"/>
                        </w:rPr>
                        <w:t>(1)</w:t>
                      </w:r>
                      <w:r>
                        <w:rPr>
                          <w:sz w:val="16"/>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225" w:type="dxa"/>
        <w:jc w:val="left"/>
        <w:tblInd w:w="900" w:type="dxa"/>
        <w:tblLayout w:type="fixed"/>
        <w:tblCellMar>
          <w:top w:w="0" w:type="dxa"/>
          <w:left w:w="0" w:type="dxa"/>
          <w:bottom w:w="0" w:type="dxa"/>
          <w:right w:w="0" w:type="dxa"/>
        </w:tblCellMar>
      </w:tblPr>
      <w:tblGrid>
        <w:gridCol w:w="124"/>
        <w:gridCol w:w="346"/>
        <w:gridCol w:w="109"/>
        <w:gridCol w:w="109"/>
        <w:gridCol w:w="4383"/>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86</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383" w:type="dxa"/>
            <w:tcBorders/>
            <w:vAlign w:val="center"/>
          </w:tcPr>
          <w:p>
            <w:pPr>
              <w:pStyle w:val="TableContents"/>
              <w:bidi w:val="0"/>
              <w:spacing w:lineRule="atLeast" w:line="200" w:before="0" w:after="0"/>
              <w:jc w:val="left"/>
              <w:rPr/>
            </w:pPr>
            <w:r>
              <w:rPr>
                <w:spacing w:val="-2"/>
              </w:rPr>
              <w:t>    </w:t>
            </w:r>
            <w:r>
              <w:rPr>
                <w:spacing w:val="-2"/>
                <w:sz w:val="16"/>
              </w:rPr>
              <w:t>SL GREEN REALTY CORP. 2026 PROXY STATEMENT</w:t>
            </w:r>
            <w:r>
              <w:rPr>
                <w:sz w:val="16"/>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00" w:before="560" w:after="154"/>
        <w:ind w:left="1300" w:right="0" w:hanging="0"/>
        <w:jc w:val="left"/>
        <w:rPr>
          <w:rFonts w:ascii="Arial;Helvetica;sans-serif" w:hAnsi="Arial;Helvetica;sans-serif"/>
          <w:b w:val="false"/>
          <w:i w:val="false"/>
          <w:caps w:val="false"/>
          <w:smallCaps w:val="false"/>
          <w:color w:val="000000"/>
          <w:spacing w:val="-2"/>
          <w:sz w:val="16"/>
        </w:rPr>
      </w:pPr>
      <w:r>
        <w:rPr>
          <w:rFonts w:ascii="Arial;Helvetica;sans-serif" w:hAnsi="Arial;Helvetica;sans-serif"/>
          <w:b w:val="false"/>
          <w:i w:val="false"/>
          <w:caps w:val="false"/>
          <w:smallCaps w:val="false"/>
          <w:color w:val="000000"/>
          <w:spacing w:val="-2"/>
          <w:sz w:val="16"/>
        </w:rPr>
        <w:t xml:space="preserve">common units) regardless of whether such common units and LTIP units are currently redeemable, but excluding unearned performance-based LTIP units and (ii) the number of shares of common stock issuable upon settlement of outstanding phantom units. </w:t>
      </w:r>
    </w:p>
    <w:p>
      <w:pPr>
        <w:pStyle w:val="TextBody"/>
        <w:bidi w:val="0"/>
        <w:spacing w:lineRule="atLeast" w:line="200" w:before="40" w:after="283"/>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Class O LTIP units are not included in the “Number of Shares and Units Beneficially Owned.” Class O LTIP units are not economically equivalent to common units, but vested Class O LTIP units may be converted in a manner similar to a net exercise of a stock option into a number of common units that will vary based on the value of the common units upon conversion and the conversion threshold for the Class O LTIP units. Common units are generally redeemable by the holder for cash or, at our election, on a one-for-one basis into shares of our common stock. LTIP units, subject to the satisfaction of certain conditions, may be converted on a one-for-one basis into common units. Holders of common units, LTIP units and phantom units are not entitled to vote such units on any of the matters presented at the 2026 Annual Meeting.</w:t>
      </w:r>
      <w:r>
        <w:rPr>
          <w:rFonts w:ascii="Arial;Helvetica;sans-serif" w:hAnsi="Arial;Helvetica;sans-serif"/>
          <w:b w:val="false"/>
          <w:i w:val="false"/>
          <w:caps w:val="false"/>
          <w:smallCaps w:val="false"/>
          <w:color w:val="000000"/>
          <w:spacing w:val="3"/>
          <w:sz w:val="16"/>
        </w:rPr>
        <w:t xml:space="preserve"> </w:t>
      </w:r>
    </w:p>
    <w:p>
      <w:pPr>
        <w:pStyle w:val="TextBody"/>
        <w:bidi w:val="0"/>
        <w:spacing w:lineRule="atLeast" w:line="200" w:before="80"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The total number of shares outstanding used in calculating the percentage of common stock held by each person assumes the exercise of all options to acquire shares of common stock that are exercisable on or within 60 days after March 31, 2026 held by the beneficial owner and that no options held by other beneficial owners are exercised. The total number of shares and units outstanding used in calculating the percentage of common stock and units held by each person (a) assumes that all common units and LTIP units (other than unearned performance-based LTIP units) are vested in full and presented (assuming conversion in full into common units, if applicable) to our operating partnership for redemption and are acquired by us for shares of common stock, (b) does not separately include outstanding common units held by us, as these common units are already reflected in the denominator by the inclusion of all outstanding shares of common stock and (c) assumes the exercise of all options to acquire shares of common stock that are exercisable on or within 60 days after March 31, 2026 and settlement for an equal number of shares of common stock of all phantom units held by the beneficial owner and that no options or phantom units held by other beneficial owners are exercised or settled.</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825">
                <wp:simplePos x="0" y="0"/>
                <wp:positionH relativeFrom="column">
                  <wp:align>left</wp:align>
                </wp:positionH>
                <wp:positionV relativeFrom="line">
                  <wp:align>top</wp:align>
                </wp:positionV>
                <wp:extent cx="254000" cy="350520"/>
                <wp:effectExtent l="0" t="0" r="0" b="0"/>
                <wp:wrapSquare wrapText="right"/>
                <wp:docPr id="929" name="Frame57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2"/>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(2)</w:t>
                      </w:r>
                      <w:r>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Based on information provided on a Schedule 13G/A filed with the SEC on April 30, 2025, as of March 31, 2025, by BlackRock, Inc. BlackRock, Inc. reported sole voting power with respect to 12,456,713 shares and sole dispositive power with respect to 12,715,531 shares. The business address for BlackRock, Inc. is 50 Hudson Yards, New York, NY 10001.</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826">
                <wp:simplePos x="0" y="0"/>
                <wp:positionH relativeFrom="column">
                  <wp:align>left</wp:align>
                </wp:positionH>
                <wp:positionV relativeFrom="line">
                  <wp:align>top</wp:align>
                </wp:positionV>
                <wp:extent cx="254000" cy="350520"/>
                <wp:effectExtent l="0" t="0" r="0" b="0"/>
                <wp:wrapSquare wrapText="right"/>
                <wp:docPr id="930" name="Frame57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2"/>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(3)</w:t>
                      </w:r>
                      <w:r>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Based on information provided on a Schedule 13G/A filed with the SEC on February 13, 2024, as of December 29, 2023, by The Vanguard Group, or Vanguard. Vanguard reported shared voting power with respect to 96,950 shares, sole dispositive power with respect to 10,160,385 shares and shared dispositive power with respect to 164,560 shares. On March 26, 2026, The Vanguard Group subsequently reported that due to an internal realignment, it no longer has, or is deemed to have, beneficial ownership over these shares, and that certain subsidiaries or business divisions that formerly had, or were deemed to have, beneficial ownership with The Vanguard Group will report beneficial ownership separately (on a disaggregated basis) from the Vanguard Group. Vanguard Portfolio Management, or Vanguard Portfolio, filed a Schedule 13G on February 5, 2026, reporting, as of January 30, 2026, shared voting power with respect to 28,117 shares and shared dispositive power with respect to 7,124,624 shares. The business address of each of Vanguard and Vanguard Portfolio is 100 Vanguard Blvd., Malvern, PA 19355.</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827">
                <wp:simplePos x="0" y="0"/>
                <wp:positionH relativeFrom="column">
                  <wp:align>left</wp:align>
                </wp:positionH>
                <wp:positionV relativeFrom="line">
                  <wp:align>top</wp:align>
                </wp:positionV>
                <wp:extent cx="254000" cy="350520"/>
                <wp:effectExtent l="0" t="0" r="0" b="0"/>
                <wp:wrapSquare wrapText="right"/>
                <wp:docPr id="931" name="Frame57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2"/>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(4)</w:t>
                      </w:r>
                      <w:r>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Based on information provided on a Schedule 13G/A filed with the SEC on January 30, 2024 as of December 31, 2023, by State Street Corporation. State Street Corporation reported shared voting power with respect to 3,533,781 shares and shared dispositive power with respect to 4,417,247 shares. The business address for State Street Corporation is One Congress Street, Suite 1, Boston, MA 02114.</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828">
                <wp:simplePos x="0" y="0"/>
                <wp:positionH relativeFrom="column">
                  <wp:align>left</wp:align>
                </wp:positionH>
                <wp:positionV relativeFrom="line">
                  <wp:align>top</wp:align>
                </wp:positionV>
                <wp:extent cx="254000" cy="350520"/>
                <wp:effectExtent l="0" t="0" r="0" b="0"/>
                <wp:wrapSquare wrapText="right"/>
                <wp:docPr id="932" name="Frame57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2"/>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(5)</w:t>
                      </w:r>
                      <w:r>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Includes, only under the “Number of Shares and Units Beneficially Owned” column, 14,852 phantom units.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829">
                <wp:simplePos x="0" y="0"/>
                <wp:positionH relativeFrom="column">
                  <wp:align>left</wp:align>
                </wp:positionH>
                <wp:positionV relativeFrom="line">
                  <wp:align>top</wp:align>
                </wp:positionV>
                <wp:extent cx="254000" cy="350520"/>
                <wp:effectExtent l="0" t="0" r="0" b="0"/>
                <wp:wrapSquare wrapText="right"/>
                <wp:docPr id="933" name="Frame57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2"/>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(6)</w:t>
                      </w:r>
                      <w:r>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Includes, only under the “Number of Shares and Units Beneficially Owned” column, 9,784 phantom units.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830">
                <wp:simplePos x="0" y="0"/>
                <wp:positionH relativeFrom="column">
                  <wp:align>left</wp:align>
                </wp:positionH>
                <wp:positionV relativeFrom="line">
                  <wp:align>top</wp:align>
                </wp:positionV>
                <wp:extent cx="254000" cy="350520"/>
                <wp:effectExtent l="0" t="0" r="0" b="0"/>
                <wp:wrapSquare wrapText="right"/>
                <wp:docPr id="934" name="Frame58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2"/>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(7)</w:t>
                      </w:r>
                      <w:r>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Includes, only under the “Number of Shares and Units Beneficially Owned” column, 317,305 LTIP units (of which 61,817 LTIP units are subject to vesting). The totals exclude 115,000 Class O LTIP units and all unearned performance-based LTIP units.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831">
                <wp:simplePos x="0" y="0"/>
                <wp:positionH relativeFrom="column">
                  <wp:align>left</wp:align>
                </wp:positionH>
                <wp:positionV relativeFrom="line">
                  <wp:align>top</wp:align>
                </wp:positionV>
                <wp:extent cx="254000" cy="350520"/>
                <wp:effectExtent l="0" t="0" r="0" b="0"/>
                <wp:wrapSquare wrapText="right"/>
                <wp:docPr id="935" name="Frame58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2"/>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(8)</w:t>
                      </w:r>
                      <w:r>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Includes, only under the “Number of Shares and Units Beneficially Owned” column, 34,006 phantom units.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832">
                <wp:simplePos x="0" y="0"/>
                <wp:positionH relativeFrom="column">
                  <wp:align>left</wp:align>
                </wp:positionH>
                <wp:positionV relativeFrom="line">
                  <wp:align>top</wp:align>
                </wp:positionV>
                <wp:extent cx="254000" cy="350520"/>
                <wp:effectExtent l="0" t="0" r="0" b="0"/>
                <wp:wrapSquare wrapText="right"/>
                <wp:docPr id="936" name="Frame58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2"/>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(9)</w:t>
                      </w:r>
                      <w:r>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Includes, only under the “Number of Shares and Units Beneficially Owned” column, 658,697 common units, 167,134 LTIP units and 33,333 phantom units.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833">
                <wp:simplePos x="0" y="0"/>
                <wp:positionH relativeFrom="column">
                  <wp:align>left</wp:align>
                </wp:positionH>
                <wp:positionV relativeFrom="line">
                  <wp:align>top</wp:align>
                </wp:positionV>
                <wp:extent cx="254000" cy="525780"/>
                <wp:effectExtent l="0" t="0" r="0" b="0"/>
                <wp:wrapSquare wrapText="right"/>
                <wp:docPr id="937" name="Frame583"/>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00" w:before="0" w:after="283"/>
                              <w:jc w:val="left"/>
                              <w:rPr/>
                            </w:pPr>
                            <w:r>
                              <w:rPr>
                                <w:spacing w:val="-2"/>
                              </w:rPr>
                              <w:t>(10)</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(10)</w:t>
                      </w:r>
                      <w:r>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Includes, only under the “Number of Shares and Units Beneficially Owned” column, 1,584,207 LTIP units (of which 332,977 LTIP units are subject to vesting). The totals exclude 322,917 Class O LTIP units, of which 217,917 are subject to performance-based vesting conditions, and all unearned performance-based LTIP units.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834">
                <wp:simplePos x="0" y="0"/>
                <wp:positionH relativeFrom="column">
                  <wp:align>left</wp:align>
                </wp:positionH>
                <wp:positionV relativeFrom="line">
                  <wp:align>top</wp:align>
                </wp:positionV>
                <wp:extent cx="254000" cy="525780"/>
                <wp:effectExtent l="0" t="0" r="0" b="0"/>
                <wp:wrapSquare wrapText="right"/>
                <wp:docPr id="938" name="Frame584"/>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00" w:before="0" w:after="283"/>
                              <w:jc w:val="left"/>
                              <w:rPr/>
                            </w:pPr>
                            <w:r>
                              <w:rPr>
                                <w:spacing w:val="-2"/>
                              </w:rPr>
                              <w:t>(11)</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00" w:before="0" w:after="283"/>
                        <w:jc w:val="left"/>
                        <w:rPr/>
                      </w:pPr>
                      <w:r>
                        <w:rPr>
                          <w:spacing w:val="-2"/>
                        </w:rPr>
                        <w:t>(11)</w:t>
                      </w:r>
                      <w:r>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Includes, only under the “Number of Shares and Units Beneficially Owned” column, 9,263 phantom units.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835">
                <wp:simplePos x="0" y="0"/>
                <wp:positionH relativeFrom="column">
                  <wp:align>left</wp:align>
                </wp:positionH>
                <wp:positionV relativeFrom="line">
                  <wp:align>top</wp:align>
                </wp:positionV>
                <wp:extent cx="254000" cy="525780"/>
                <wp:effectExtent l="0" t="0" r="0" b="0"/>
                <wp:wrapSquare wrapText="right"/>
                <wp:docPr id="939" name="Frame585"/>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00" w:before="0" w:after="283"/>
                              <w:jc w:val="left"/>
                              <w:rPr/>
                            </w:pPr>
                            <w:r>
                              <w:rPr>
                                <w:spacing w:val="-2"/>
                              </w:rPr>
                              <w:t>(12)</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(12)</w:t>
                      </w:r>
                      <w:r>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Includes, only under the “Number of Shares and Units Beneficially Owned” column, 284,982 LTIP units (of which 71,529 LTIP units are subject to vesting). The totals exclude 15,000 Class O LTIP units and all unearned performance-based LTIP units.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836">
                <wp:simplePos x="0" y="0"/>
                <wp:positionH relativeFrom="column">
                  <wp:align>left</wp:align>
                </wp:positionH>
                <wp:positionV relativeFrom="line">
                  <wp:align>top</wp:align>
                </wp:positionV>
                <wp:extent cx="254000" cy="525780"/>
                <wp:effectExtent l="0" t="0" r="0" b="0"/>
                <wp:wrapSquare wrapText="right"/>
                <wp:docPr id="940" name="Frame586"/>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00" w:before="0" w:after="283"/>
                              <w:jc w:val="left"/>
                              <w:rPr/>
                            </w:pPr>
                            <w:r>
                              <w:rPr>
                                <w:spacing w:val="-2"/>
                              </w:rPr>
                              <w:t>(13)</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00" w:before="0" w:after="283"/>
                        <w:jc w:val="left"/>
                        <w:rPr/>
                      </w:pPr>
                      <w:r>
                        <w:rPr>
                          <w:spacing w:val="-2"/>
                        </w:rPr>
                        <w:t>(13)</w:t>
                      </w:r>
                      <w:r>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Includes, only under the “Number of Shares and Units Beneficially Owned” column, 1,224,369 LTIP units.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837">
                <wp:simplePos x="0" y="0"/>
                <wp:positionH relativeFrom="column">
                  <wp:align>left</wp:align>
                </wp:positionH>
                <wp:positionV relativeFrom="line">
                  <wp:align>top</wp:align>
                </wp:positionV>
                <wp:extent cx="254000" cy="525780"/>
                <wp:effectExtent l="0" t="0" r="0" b="0"/>
                <wp:wrapSquare wrapText="right"/>
                <wp:docPr id="941" name="Frame587"/>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00" w:before="0" w:after="283"/>
                              <w:jc w:val="left"/>
                              <w:rPr/>
                            </w:pPr>
                            <w:r>
                              <w:rPr>
                                <w:spacing w:val="-2"/>
                              </w:rPr>
                              <w:t>(14)</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(14)</w:t>
                      </w:r>
                      <w:r>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Includes, only under the “Number of Shares and Units Beneficially Owned” column, 33,365 LTIP units (of which 16,650 LTIP units are subject to vesting). The totals exclude 150,000 Class O LTIP units and all unearned performance-based LTIP units.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838">
                <wp:simplePos x="0" y="0"/>
                <wp:positionH relativeFrom="column">
                  <wp:align>left</wp:align>
                </wp:positionH>
                <wp:positionV relativeFrom="line">
                  <wp:align>top</wp:align>
                </wp:positionV>
                <wp:extent cx="254000" cy="525780"/>
                <wp:effectExtent l="0" t="0" r="0" b="0"/>
                <wp:wrapSquare wrapText="right"/>
                <wp:docPr id="942" name="Frame588"/>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00" w:before="0" w:after="283"/>
                              <w:jc w:val="left"/>
                              <w:rPr/>
                            </w:pPr>
                            <w:r>
                              <w:rPr>
                                <w:spacing w:val="-2"/>
                              </w:rPr>
                              <w:t>(15)</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(15)</w:t>
                      </w:r>
                      <w:r>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300" w:right="0" w:hanging="0"/>
        <w:jc w:val="left"/>
        <w:rPr>
          <w:rFonts w:ascii="Arial;Helvetica;sans-serif" w:hAnsi="Arial;Helvetica;sans-serif"/>
          <w:b w:val="false"/>
          <w:i w:val="false"/>
          <w:caps w:val="false"/>
          <w:smallCaps w:val="false"/>
          <w:color w:val="000000"/>
          <w:spacing w:val="-2"/>
          <w:sz w:val="16"/>
        </w:rPr>
      </w:pPr>
      <w:r>
        <w:rPr>
          <w:rFonts w:ascii="Arial;Helvetica;sans-serif" w:hAnsi="Arial;Helvetica;sans-serif"/>
          <w:b w:val="false"/>
          <w:i w:val="false"/>
          <w:caps w:val="false"/>
          <w:smallCaps w:val="false"/>
          <w:color w:val="000000"/>
          <w:spacing w:val="-2"/>
          <w:sz w:val="16"/>
        </w:rPr>
        <w:t xml:space="preserve">Includes an aggregate of 197,069 shares of common stock. Also includes, only under the “Number of Shares and Units Beneficially Owned” column, 658,697 common units, 3,611,362 LTIP units and 101,238 phantom units. See also Notes (6) – (15) above. Excludes unearned performance-based LTIP units and Class O LTIP units. </w:t>
      </w:r>
      <w:r>
        <mc:AlternateContent>
          <mc:Choice Requires="wps">
            <w:drawing>
              <wp:anchor behindDoc="0" distT="50800" distB="0" distL="0" distR="0" simplePos="0" locked="0" layoutInCell="1" allowOverlap="1" relativeHeight="839">
                <wp:simplePos x="0" y="0"/>
                <wp:positionH relativeFrom="column">
                  <wp:align>left</wp:align>
                </wp:positionH>
                <wp:positionV relativeFrom="line">
                  <wp:align>top</wp:align>
                </wp:positionV>
                <wp:extent cx="254000" cy="525780"/>
                <wp:effectExtent l="0" t="0" r="0" b="0"/>
                <wp:wrapSquare wrapText="right"/>
                <wp:docPr id="943" name="Frame589"/>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00" w:before="0" w:after="283"/>
                              <w:jc w:val="left"/>
                              <w:rPr/>
                            </w:pPr>
                            <w:r>
                              <w:rPr>
                                <w:spacing w:val="-2"/>
                              </w:rPr>
                              <w:t>(16)</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(16)</w:t>
                      </w:r>
                      <w:r>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8" w:name="tDS1R"/>
      <w:bookmarkEnd w:id="28"/>
      <w:r>
        <w:rPr>
          <w:rFonts w:ascii="calibri;arial;sans-serif" w:hAnsi="calibri;arial;sans-serif"/>
          <w:b w:val="false"/>
          <w:i w:val="false"/>
          <w:caps w:val="false"/>
          <w:smallCaps w:val="false"/>
          <w:color w:val="000000"/>
          <w:sz w:val="16"/>
        </w:rPr>
        <w:t xml:space="preserve">​ </w:t>
      </w:r>
    </w:p>
    <w:tbl>
      <w:tblPr>
        <w:tblW w:w="5029" w:type="dxa"/>
        <w:jc w:val="left"/>
        <w:tblInd w:w="900" w:type="dxa"/>
        <w:tblLayout w:type="fixed"/>
        <w:tblCellMar>
          <w:top w:w="0" w:type="dxa"/>
          <w:left w:w="0" w:type="dxa"/>
          <w:bottom w:w="0" w:type="dxa"/>
          <w:right w:w="0" w:type="dxa"/>
        </w:tblCellMar>
      </w:tblPr>
      <w:tblGrid>
        <w:gridCol w:w="124"/>
        <w:gridCol w:w="4187"/>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4187" w:type="dxa"/>
            <w:tcBorders/>
            <w:vAlign w:val="center"/>
          </w:tcPr>
          <w:p>
            <w:pPr>
              <w:pStyle w:val="TableContents"/>
              <w:bidi w:val="0"/>
              <w:spacing w:lineRule="atLeast" w:line="200" w:before="0" w:after="0"/>
              <w:jc w:val="left"/>
              <w:rPr/>
            </w:pPr>
            <w:r>
              <w:rPr>
                <w:spacing w:val="-2"/>
              </w:rPr>
              <w:t>STOCK OWNERSHIP INFORMATION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color w:val="1F2668"/>
                <w:sz w:val="24"/>
              </w:rPr>
            </w:pPr>
            <w:r>
              <w:rPr>
                <w:color w:val="1F2668"/>
                <w:sz w:val="24"/>
              </w:rPr>
              <w:t>87</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300" w:before="560" w:after="154"/>
        <w:ind w:left="900" w:right="0" w:hanging="0"/>
        <w:jc w:val="left"/>
        <w:rPr>
          <w:rFonts w:ascii="Arial;Helvetica;sans-serif" w:hAnsi="Arial;Helvetica;sans-serif"/>
          <w:b/>
          <w:i w:val="false"/>
          <w:caps w:val="false"/>
          <w:smallCaps w:val="false"/>
          <w:color w:val="1F2668"/>
          <w:sz w:val="26"/>
        </w:rPr>
      </w:pPr>
      <w:r>
        <w:rPr>
          <w:rFonts w:ascii="Arial;Helvetica;sans-serif" w:hAnsi="Arial;Helvetica;sans-serif"/>
          <w:b/>
          <w:i w:val="false"/>
          <w:caps w:val="false"/>
          <w:smallCaps w:val="false"/>
          <w:color w:val="1F2668"/>
          <w:spacing w:val="-3"/>
          <w:sz w:val="26"/>
        </w:rPr>
        <w:t>Series I Preferred Stock</w:t>
      </w:r>
      <w:r>
        <w:rPr>
          <w:rFonts w:ascii="Arial;Helvetica;sans-serif" w:hAnsi="Arial;Helvetica;sans-serif"/>
          <w:b/>
          <w:i w:val="false"/>
          <w:caps w:val="false"/>
          <w:smallCaps w:val="false"/>
          <w:color w:val="000000"/>
          <w:spacing w:val="5"/>
          <w:sz w:val="26"/>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The following table sets forth the beneficial ownership of our Series I Cumulative Redeemable Preferred Stock, $0.01 par value, as of March 31, 2026, for (i) each of our directors, (ii) each of our named executive officers who is not a director and (iii) our directors and executive officers as a group. None of our executive officers or directors own any shares of our Series I Cumulative Redeemable Preferred Stock except as set forth below. As of March 31, 2026, there were 9,200,000 shares of our Series I Cumulative Redeemable Preferred Stock outstanding.</w:t>
      </w:r>
      <w:r>
        <w:rPr>
          <w:rFonts w:ascii="Arial;Helvetica;sans-serif" w:hAnsi="Arial;Helvetica;sans-serif"/>
          <w:b w:val="false"/>
          <w:i w:val="false"/>
          <w:caps w:val="false"/>
          <w:smallCaps w:val="false"/>
          <w:color w:val="000000"/>
          <w:spacing w:val="4"/>
          <w:sz w:val="18"/>
        </w:rPr>
        <w:t xml:space="preserve"> </w:t>
      </w:r>
    </w:p>
    <w:tbl>
      <w:tblPr>
        <w:tblW w:w="9305" w:type="dxa"/>
        <w:jc w:val="left"/>
        <w:tblInd w:w="900" w:type="dxa"/>
        <w:tblLayout w:type="fixed"/>
        <w:tblCellMar>
          <w:top w:w="0" w:type="dxa"/>
          <w:left w:w="0" w:type="dxa"/>
          <w:bottom w:w="0" w:type="dxa"/>
          <w:right w:w="0" w:type="dxa"/>
        </w:tblCellMar>
      </w:tblPr>
      <w:tblGrid>
        <w:gridCol w:w="6137"/>
        <w:gridCol w:w="109"/>
        <w:gridCol w:w="109"/>
        <w:gridCol w:w="113"/>
        <w:gridCol w:w="113"/>
        <w:gridCol w:w="936"/>
        <w:gridCol w:w="116"/>
        <w:gridCol w:w="109"/>
        <w:gridCol w:w="109"/>
        <w:gridCol w:w="164"/>
        <w:gridCol w:w="164"/>
        <w:gridCol w:w="800"/>
        <w:gridCol w:w="166"/>
        <w:gridCol w:w="160"/>
      </w:tblGrid>
      <w:tr>
        <w:trPr/>
        <w:tc>
          <w:tcPr>
            <w:tcW w:w="613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790" w:type="dxa"/>
            <w:gridSpan w:val="10"/>
            <w:tcBorders>
              <w:bottom w:val="single" w:sz="2" w:space="0" w:color="1F2668"/>
            </w:tcBorders>
            <w:tcMar>
              <w:bottom w:w="63" w:type="dxa"/>
            </w:tcMar>
            <w:vAlign w:val="center"/>
          </w:tcPr>
          <w:p>
            <w:pPr>
              <w:pStyle w:val="TableContents"/>
              <w:bidi w:val="0"/>
              <w:spacing w:before="0" w:after="0"/>
              <w:jc w:val="center"/>
              <w:rPr>
                <w:spacing w:val="-2"/>
              </w:rPr>
            </w:pPr>
            <w:r>
              <w:rPr>
                <w:spacing w:val="-2"/>
              </w:rPr>
              <w:t xml:space="preserve">Series I Cumulative </w:t>
              <w:br/>
              <w:t xml:space="preserve">Redeemable </w:t>
              <w:br/>
              <w:t xml:space="preserve">Preferred Stock </w:t>
            </w:r>
          </w:p>
        </w:tc>
        <w:tc>
          <w:tcPr>
            <w:tcW w:w="160"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137" w:type="dxa"/>
            <w:tcBorders>
              <w:bottom w:val="single" w:sz="2" w:space="0" w:color="1F2668"/>
            </w:tcBorders>
            <w:tcMar>
              <w:bottom w:w="63" w:type="dxa"/>
            </w:tcMar>
            <w:vAlign w:val="center"/>
          </w:tcPr>
          <w:p>
            <w:pPr>
              <w:pStyle w:val="TableContents"/>
              <w:bidi w:val="0"/>
              <w:spacing w:before="0" w:after="0"/>
              <w:jc w:val="left"/>
              <w:rPr>
                <w:spacing w:val="-2"/>
              </w:rPr>
            </w:pPr>
            <w:r>
              <w:rPr>
                <w:spacing w:val="-2"/>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78" w:type="dxa"/>
            <w:gridSpan w:val="4"/>
            <w:tcBorders>
              <w:bottom w:val="single" w:sz="2" w:space="0" w:color="1F2668"/>
            </w:tcBorders>
            <w:tcMar>
              <w:bottom w:w="63" w:type="dxa"/>
            </w:tcMar>
            <w:vAlign w:val="center"/>
          </w:tcPr>
          <w:p>
            <w:pPr>
              <w:pStyle w:val="TableContents"/>
              <w:bidi w:val="0"/>
              <w:spacing w:before="0" w:after="0"/>
              <w:jc w:val="right"/>
              <w:rPr/>
            </w:pPr>
            <w:r>
              <w:rPr>
                <w:spacing w:val="-2"/>
              </w:rPr>
              <w:t xml:space="preserve">Number </w:t>
              <w:br/>
              <w:t xml:space="preserve">of Shares </w:t>
              <w:br/>
              <w:t xml:space="preserve">Beneficially </w:t>
              <w:br/>
              <w:t>Owned</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94" w:type="dxa"/>
            <w:gridSpan w:val="4"/>
            <w:tcBorders>
              <w:bottom w:val="single" w:sz="2" w:space="0" w:color="1F2668"/>
            </w:tcBorders>
            <w:tcMar>
              <w:bottom w:w="63" w:type="dxa"/>
            </w:tcMar>
            <w:vAlign w:val="center"/>
          </w:tcPr>
          <w:p>
            <w:pPr>
              <w:pStyle w:val="TableContents"/>
              <w:bidi w:val="0"/>
              <w:spacing w:before="0" w:after="0"/>
              <w:jc w:val="right"/>
              <w:rPr/>
            </w:pPr>
            <w:r>
              <w:rPr>
                <w:spacing w:val="-2"/>
              </w:rPr>
              <w:t xml:space="preserve">Percent of </w:t>
              <w:br/>
              <w:t>Outstanding</w:t>
            </w:r>
            <w:r>
              <w:rPr/>
              <w:t xml:space="preserve"> </w:t>
            </w:r>
          </w:p>
        </w:tc>
        <w:tc>
          <w:tcPr>
            <w:tcW w:w="160"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137" w:type="dxa"/>
            <w:tcBorders>
              <w:bottom w:val="single" w:sz="2" w:space="0" w:color="4B5088"/>
            </w:tcBorders>
            <w:tcMar>
              <w:bottom w:w="70" w:type="dxa"/>
            </w:tcMar>
            <w:vAlign w:val="center"/>
          </w:tcPr>
          <w:p>
            <w:pPr>
              <w:pStyle w:val="TableContents"/>
              <w:bidi w:val="0"/>
              <w:spacing w:before="0" w:after="0"/>
              <w:jc w:val="left"/>
              <w:rPr>
                <w:b/>
                <w:color w:val="1F2668"/>
              </w:rPr>
            </w:pPr>
            <w:r>
              <w:rPr>
                <w:b/>
                <w:color w:val="1F2668"/>
                <w:spacing w:val="-2"/>
              </w:rPr>
              <w:t>Matthew J. DiLiberto</w:t>
            </w:r>
            <w:r>
              <w:rPr>
                <w:b/>
                <w:color w:val="1F2668"/>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3" w:type="dxa"/>
            <w:tcBorders>
              <w:bottom w:val="single" w:sz="2" w:space="0" w:color="4B5088"/>
            </w:tcBorders>
            <w:tcMar>
              <w:bottom w:w="28" w:type="dxa"/>
            </w:tcMar>
            <w:vAlign w:val="center"/>
          </w:tcPr>
          <w:p>
            <w:pPr>
              <w:pStyle w:val="TableContents"/>
              <w:bidi w:val="0"/>
              <w:spacing w:before="0" w:after="283"/>
              <w:jc w:val="left"/>
              <w:rPr/>
            </w:pPr>
            <w:r>
              <w:rPr/>
              <w:t>​</w:t>
            </w:r>
          </w:p>
        </w:tc>
        <w:tc>
          <w:tcPr>
            <w:tcW w:w="113" w:type="dxa"/>
            <w:tcBorders>
              <w:bottom w:val="single" w:sz="2" w:space="0" w:color="4B5088"/>
            </w:tcBorders>
            <w:tcMar>
              <w:bottom w:w="70" w:type="dxa"/>
            </w:tcMar>
            <w:vAlign w:val="center"/>
          </w:tcPr>
          <w:p>
            <w:pPr>
              <w:pStyle w:val="TableContents"/>
              <w:bidi w:val="0"/>
              <w:spacing w:before="0" w:after="283"/>
              <w:jc w:val="right"/>
              <w:rPr/>
            </w:pPr>
            <w:r>
              <w:rPr/>
              <w:t>​</w:t>
            </w:r>
          </w:p>
        </w:tc>
        <w:tc>
          <w:tcPr>
            <w:tcW w:w="936" w:type="dxa"/>
            <w:tcBorders>
              <w:bottom w:val="single" w:sz="2" w:space="0" w:color="4B5088"/>
            </w:tcBorders>
            <w:tcMar>
              <w:bottom w:w="70" w:type="dxa"/>
            </w:tcMar>
            <w:vAlign w:val="center"/>
          </w:tcPr>
          <w:p>
            <w:pPr>
              <w:pStyle w:val="TableContents"/>
              <w:bidi w:val="0"/>
              <w:spacing w:before="0" w:after="283"/>
              <w:jc w:val="right"/>
              <w:rPr/>
            </w:pPr>
            <w:r>
              <w:rPr/>
              <w:t>13,000</w:t>
            </w:r>
          </w:p>
        </w:tc>
        <w:tc>
          <w:tcPr>
            <w:tcW w:w="116"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4" w:type="dxa"/>
            <w:tcBorders>
              <w:bottom w:val="single" w:sz="2" w:space="0" w:color="4B5088"/>
            </w:tcBorders>
            <w:tcMar>
              <w:bottom w:w="28" w:type="dxa"/>
            </w:tcMar>
            <w:vAlign w:val="center"/>
          </w:tcPr>
          <w:p>
            <w:pPr>
              <w:pStyle w:val="TableContents"/>
              <w:bidi w:val="0"/>
              <w:spacing w:before="0" w:after="283"/>
              <w:jc w:val="left"/>
              <w:rPr/>
            </w:pPr>
            <w:r>
              <w:rPr/>
              <w:t>​</w:t>
            </w:r>
          </w:p>
        </w:tc>
        <w:tc>
          <w:tcPr>
            <w:tcW w:w="164" w:type="dxa"/>
            <w:tcBorders>
              <w:bottom w:val="single" w:sz="2" w:space="0" w:color="4B5088"/>
            </w:tcBorders>
            <w:tcMar>
              <w:bottom w:w="70" w:type="dxa"/>
            </w:tcMar>
            <w:vAlign w:val="center"/>
          </w:tcPr>
          <w:p>
            <w:pPr>
              <w:pStyle w:val="TableContents"/>
              <w:bidi w:val="0"/>
              <w:spacing w:before="0" w:after="283"/>
              <w:jc w:val="right"/>
              <w:rPr/>
            </w:pPr>
            <w:r>
              <w:rPr/>
              <w:t>​</w:t>
            </w:r>
          </w:p>
        </w:tc>
        <w:tc>
          <w:tcPr>
            <w:tcW w:w="800" w:type="dxa"/>
            <w:tcBorders>
              <w:bottom w:val="single" w:sz="2" w:space="0" w:color="4B5088"/>
            </w:tcBorders>
            <w:tcMar>
              <w:bottom w:w="70" w:type="dxa"/>
            </w:tcMar>
            <w:vAlign w:val="center"/>
          </w:tcPr>
          <w:p>
            <w:pPr>
              <w:pStyle w:val="TableContents"/>
              <w:bidi w:val="0"/>
              <w:spacing w:before="0" w:after="283"/>
              <w:jc w:val="right"/>
              <w:rPr/>
            </w:pPr>
            <w:r>
              <w:rPr/>
              <w:t>*</w:t>
            </w:r>
          </w:p>
        </w:tc>
        <w:tc>
          <w:tcPr>
            <w:tcW w:w="166" w:type="dxa"/>
            <w:tcBorders>
              <w:bottom w:val="single" w:sz="2" w:space="0" w:color="4B5088"/>
            </w:tcBorders>
            <w:tcMar>
              <w:bottom w:w="28" w:type="dxa"/>
            </w:tcMar>
            <w:vAlign w:val="center"/>
          </w:tcPr>
          <w:p>
            <w:pPr>
              <w:pStyle w:val="TableContents"/>
              <w:bidi w:val="0"/>
              <w:spacing w:before="0" w:after="283"/>
              <w:jc w:val="left"/>
              <w:rPr/>
            </w:pPr>
            <w:r>
              <w:rPr/>
              <w:t>​</w:t>
            </w:r>
          </w:p>
        </w:tc>
        <w:tc>
          <w:tcPr>
            <w:tcW w:w="160"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137" w:type="dxa"/>
            <w:tcBorders>
              <w:bottom w:val="single" w:sz="2" w:space="0" w:color="4B5088"/>
            </w:tcBorders>
            <w:tcMar>
              <w:bottom w:w="70" w:type="dxa"/>
            </w:tcMar>
            <w:vAlign w:val="center"/>
          </w:tcPr>
          <w:p>
            <w:pPr>
              <w:pStyle w:val="TableContents"/>
              <w:bidi w:val="0"/>
              <w:spacing w:before="0" w:after="0"/>
              <w:jc w:val="left"/>
              <w:rPr>
                <w:b/>
                <w:color w:val="1F2668"/>
              </w:rPr>
            </w:pPr>
            <w:r>
              <w:rPr>
                <w:b/>
                <w:color w:val="1F2668"/>
                <w:spacing w:val="-2"/>
              </w:rPr>
              <w:t>Marc Holliday</w:t>
            </w:r>
            <w:r>
              <w:rPr>
                <w:b/>
                <w:color w:val="1F2668"/>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3" w:type="dxa"/>
            <w:tcBorders>
              <w:bottom w:val="single" w:sz="2" w:space="0" w:color="4B5088"/>
            </w:tcBorders>
            <w:tcMar>
              <w:bottom w:w="28" w:type="dxa"/>
            </w:tcMar>
            <w:vAlign w:val="center"/>
          </w:tcPr>
          <w:p>
            <w:pPr>
              <w:pStyle w:val="TableContents"/>
              <w:bidi w:val="0"/>
              <w:spacing w:before="0" w:after="283"/>
              <w:jc w:val="left"/>
              <w:rPr/>
            </w:pPr>
            <w:r>
              <w:rPr/>
              <w:t>​</w:t>
            </w:r>
          </w:p>
        </w:tc>
        <w:tc>
          <w:tcPr>
            <w:tcW w:w="113" w:type="dxa"/>
            <w:tcBorders>
              <w:bottom w:val="single" w:sz="2" w:space="0" w:color="4B5088"/>
            </w:tcBorders>
            <w:tcMar>
              <w:bottom w:w="70" w:type="dxa"/>
            </w:tcMar>
            <w:vAlign w:val="center"/>
          </w:tcPr>
          <w:p>
            <w:pPr>
              <w:pStyle w:val="TableContents"/>
              <w:bidi w:val="0"/>
              <w:spacing w:before="0" w:after="283"/>
              <w:jc w:val="right"/>
              <w:rPr/>
            </w:pPr>
            <w:r>
              <w:rPr/>
              <w:t>​</w:t>
            </w:r>
          </w:p>
        </w:tc>
        <w:tc>
          <w:tcPr>
            <w:tcW w:w="936" w:type="dxa"/>
            <w:tcBorders>
              <w:bottom w:val="single" w:sz="2" w:space="0" w:color="4B5088"/>
            </w:tcBorders>
            <w:tcMar>
              <w:bottom w:w="70" w:type="dxa"/>
            </w:tcMar>
            <w:vAlign w:val="center"/>
          </w:tcPr>
          <w:p>
            <w:pPr>
              <w:pStyle w:val="TableContents"/>
              <w:bidi w:val="0"/>
              <w:spacing w:before="0" w:after="283"/>
              <w:jc w:val="right"/>
              <w:rPr/>
            </w:pPr>
            <w:r>
              <w:rPr/>
              <w:t>111,473</w:t>
            </w:r>
          </w:p>
        </w:tc>
        <w:tc>
          <w:tcPr>
            <w:tcW w:w="116"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4" w:type="dxa"/>
            <w:tcBorders>
              <w:bottom w:val="single" w:sz="2" w:space="0" w:color="4B5088"/>
            </w:tcBorders>
            <w:tcMar>
              <w:bottom w:w="28" w:type="dxa"/>
            </w:tcMar>
            <w:vAlign w:val="center"/>
          </w:tcPr>
          <w:p>
            <w:pPr>
              <w:pStyle w:val="TableContents"/>
              <w:bidi w:val="0"/>
              <w:spacing w:before="0" w:after="283"/>
              <w:jc w:val="left"/>
              <w:rPr/>
            </w:pPr>
            <w:r>
              <w:rPr/>
              <w:t>​</w:t>
            </w:r>
          </w:p>
        </w:tc>
        <w:tc>
          <w:tcPr>
            <w:tcW w:w="164" w:type="dxa"/>
            <w:tcBorders>
              <w:bottom w:val="single" w:sz="2" w:space="0" w:color="4B5088"/>
            </w:tcBorders>
            <w:tcMar>
              <w:bottom w:w="70" w:type="dxa"/>
            </w:tcMar>
            <w:vAlign w:val="center"/>
          </w:tcPr>
          <w:p>
            <w:pPr>
              <w:pStyle w:val="TableContents"/>
              <w:bidi w:val="0"/>
              <w:spacing w:before="0" w:after="283"/>
              <w:jc w:val="right"/>
              <w:rPr/>
            </w:pPr>
            <w:r>
              <w:rPr/>
              <w:t>​</w:t>
            </w:r>
          </w:p>
        </w:tc>
        <w:tc>
          <w:tcPr>
            <w:tcW w:w="800" w:type="dxa"/>
            <w:tcBorders>
              <w:bottom w:val="single" w:sz="2" w:space="0" w:color="4B5088"/>
            </w:tcBorders>
            <w:tcMar>
              <w:bottom w:w="70" w:type="dxa"/>
            </w:tcMar>
            <w:vAlign w:val="center"/>
          </w:tcPr>
          <w:p>
            <w:pPr>
              <w:pStyle w:val="TableContents"/>
              <w:bidi w:val="0"/>
              <w:spacing w:before="0" w:after="283"/>
              <w:jc w:val="right"/>
              <w:rPr/>
            </w:pPr>
            <w:r>
              <w:rPr/>
              <w:t>1.21%</w:t>
            </w:r>
          </w:p>
        </w:tc>
        <w:tc>
          <w:tcPr>
            <w:tcW w:w="166" w:type="dxa"/>
            <w:tcBorders>
              <w:bottom w:val="single" w:sz="2" w:space="0" w:color="4B5088"/>
            </w:tcBorders>
            <w:tcMar>
              <w:bottom w:w="28" w:type="dxa"/>
            </w:tcMar>
            <w:vAlign w:val="center"/>
          </w:tcPr>
          <w:p>
            <w:pPr>
              <w:pStyle w:val="TableContents"/>
              <w:bidi w:val="0"/>
              <w:spacing w:before="0" w:after="283"/>
              <w:jc w:val="left"/>
              <w:rPr/>
            </w:pPr>
            <w:r>
              <w:rPr/>
              <w:t>​</w:t>
            </w:r>
          </w:p>
        </w:tc>
        <w:tc>
          <w:tcPr>
            <w:tcW w:w="160"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137" w:type="dxa"/>
            <w:tcBorders>
              <w:bottom w:val="single" w:sz="2" w:space="0" w:color="4B5088"/>
            </w:tcBorders>
            <w:tcMar>
              <w:bottom w:w="70" w:type="dxa"/>
            </w:tcMar>
            <w:vAlign w:val="center"/>
          </w:tcPr>
          <w:p>
            <w:pPr>
              <w:pStyle w:val="TableContents"/>
              <w:bidi w:val="0"/>
              <w:spacing w:before="0" w:after="0"/>
              <w:jc w:val="left"/>
              <w:rPr>
                <w:b/>
                <w:color w:val="1F2668"/>
              </w:rPr>
            </w:pPr>
            <w:r>
              <w:rPr>
                <w:b/>
                <w:color w:val="1F2668"/>
                <w:spacing w:val="-2"/>
              </w:rPr>
              <w:t>Andrew S. Levine</w:t>
            </w:r>
            <w:r>
              <w:rPr>
                <w:b/>
                <w:color w:val="1F2668"/>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3" w:type="dxa"/>
            <w:tcBorders>
              <w:bottom w:val="single" w:sz="2" w:space="0" w:color="4B5088"/>
            </w:tcBorders>
            <w:tcMar>
              <w:bottom w:w="28" w:type="dxa"/>
            </w:tcMar>
            <w:vAlign w:val="center"/>
          </w:tcPr>
          <w:p>
            <w:pPr>
              <w:pStyle w:val="TableContents"/>
              <w:bidi w:val="0"/>
              <w:spacing w:before="0" w:after="283"/>
              <w:jc w:val="left"/>
              <w:rPr/>
            </w:pPr>
            <w:r>
              <w:rPr/>
              <w:t>​</w:t>
            </w:r>
          </w:p>
        </w:tc>
        <w:tc>
          <w:tcPr>
            <w:tcW w:w="113" w:type="dxa"/>
            <w:tcBorders>
              <w:bottom w:val="single" w:sz="2" w:space="0" w:color="4B5088"/>
            </w:tcBorders>
            <w:tcMar>
              <w:bottom w:w="70" w:type="dxa"/>
            </w:tcMar>
            <w:vAlign w:val="center"/>
          </w:tcPr>
          <w:p>
            <w:pPr>
              <w:pStyle w:val="TableContents"/>
              <w:bidi w:val="0"/>
              <w:spacing w:before="0" w:after="283"/>
              <w:jc w:val="right"/>
              <w:rPr/>
            </w:pPr>
            <w:r>
              <w:rPr/>
              <w:t>​</w:t>
            </w:r>
          </w:p>
        </w:tc>
        <w:tc>
          <w:tcPr>
            <w:tcW w:w="936" w:type="dxa"/>
            <w:tcBorders>
              <w:bottom w:val="single" w:sz="2" w:space="0" w:color="4B5088"/>
            </w:tcBorders>
            <w:tcMar>
              <w:bottom w:w="70" w:type="dxa"/>
            </w:tcMar>
            <w:vAlign w:val="center"/>
          </w:tcPr>
          <w:p>
            <w:pPr>
              <w:pStyle w:val="TableContents"/>
              <w:bidi w:val="0"/>
              <w:spacing w:before="0" w:after="283"/>
              <w:jc w:val="right"/>
              <w:rPr/>
            </w:pPr>
            <w:r>
              <w:rPr/>
              <w:t>15,000</w:t>
            </w:r>
          </w:p>
        </w:tc>
        <w:tc>
          <w:tcPr>
            <w:tcW w:w="116"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4" w:type="dxa"/>
            <w:tcBorders>
              <w:bottom w:val="single" w:sz="2" w:space="0" w:color="4B5088"/>
            </w:tcBorders>
            <w:tcMar>
              <w:bottom w:w="28" w:type="dxa"/>
            </w:tcMar>
            <w:vAlign w:val="center"/>
          </w:tcPr>
          <w:p>
            <w:pPr>
              <w:pStyle w:val="TableContents"/>
              <w:bidi w:val="0"/>
              <w:spacing w:before="0" w:after="283"/>
              <w:jc w:val="left"/>
              <w:rPr/>
            </w:pPr>
            <w:r>
              <w:rPr/>
              <w:t>​</w:t>
            </w:r>
          </w:p>
        </w:tc>
        <w:tc>
          <w:tcPr>
            <w:tcW w:w="164" w:type="dxa"/>
            <w:tcBorders>
              <w:bottom w:val="single" w:sz="2" w:space="0" w:color="4B5088"/>
            </w:tcBorders>
            <w:tcMar>
              <w:bottom w:w="70" w:type="dxa"/>
            </w:tcMar>
            <w:vAlign w:val="center"/>
          </w:tcPr>
          <w:p>
            <w:pPr>
              <w:pStyle w:val="TableContents"/>
              <w:bidi w:val="0"/>
              <w:spacing w:before="0" w:after="283"/>
              <w:jc w:val="right"/>
              <w:rPr/>
            </w:pPr>
            <w:r>
              <w:rPr/>
              <w:t>​</w:t>
            </w:r>
          </w:p>
        </w:tc>
        <w:tc>
          <w:tcPr>
            <w:tcW w:w="800" w:type="dxa"/>
            <w:tcBorders>
              <w:bottom w:val="single" w:sz="2" w:space="0" w:color="4B5088"/>
            </w:tcBorders>
            <w:tcMar>
              <w:bottom w:w="70" w:type="dxa"/>
            </w:tcMar>
            <w:vAlign w:val="center"/>
          </w:tcPr>
          <w:p>
            <w:pPr>
              <w:pStyle w:val="TableContents"/>
              <w:bidi w:val="0"/>
              <w:spacing w:before="0" w:after="283"/>
              <w:jc w:val="right"/>
              <w:rPr/>
            </w:pPr>
            <w:r>
              <w:rPr/>
              <w:t>*</w:t>
            </w:r>
          </w:p>
        </w:tc>
        <w:tc>
          <w:tcPr>
            <w:tcW w:w="166" w:type="dxa"/>
            <w:tcBorders>
              <w:bottom w:val="single" w:sz="2" w:space="0" w:color="4B5088"/>
            </w:tcBorders>
            <w:tcMar>
              <w:bottom w:w="28" w:type="dxa"/>
            </w:tcMar>
            <w:vAlign w:val="center"/>
          </w:tcPr>
          <w:p>
            <w:pPr>
              <w:pStyle w:val="TableContents"/>
              <w:bidi w:val="0"/>
              <w:spacing w:before="0" w:after="283"/>
              <w:jc w:val="left"/>
              <w:rPr/>
            </w:pPr>
            <w:r>
              <w:rPr/>
              <w:t>​</w:t>
            </w:r>
          </w:p>
        </w:tc>
        <w:tc>
          <w:tcPr>
            <w:tcW w:w="160"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137" w:type="dxa"/>
            <w:tcBorders>
              <w:bottom w:val="single" w:sz="2" w:space="0" w:color="4B5088"/>
            </w:tcBorders>
            <w:tcMar>
              <w:bottom w:w="70" w:type="dxa"/>
            </w:tcMar>
            <w:vAlign w:val="center"/>
          </w:tcPr>
          <w:p>
            <w:pPr>
              <w:pStyle w:val="TableContents"/>
              <w:bidi w:val="0"/>
              <w:spacing w:before="0" w:after="0"/>
              <w:jc w:val="left"/>
              <w:rPr>
                <w:b/>
                <w:color w:val="1F2668"/>
              </w:rPr>
            </w:pPr>
            <w:r>
              <w:rPr>
                <w:b/>
                <w:color w:val="1F2668"/>
                <w:spacing w:val="-2"/>
              </w:rPr>
              <w:t>Harrison Sitomer</w:t>
            </w:r>
            <w:r>
              <w:rPr>
                <w:b/>
                <w:color w:val="1F2668"/>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3" w:type="dxa"/>
            <w:tcBorders>
              <w:bottom w:val="single" w:sz="2" w:space="0" w:color="4B5088"/>
            </w:tcBorders>
            <w:tcMar>
              <w:bottom w:w="28" w:type="dxa"/>
            </w:tcMar>
            <w:vAlign w:val="center"/>
          </w:tcPr>
          <w:p>
            <w:pPr>
              <w:pStyle w:val="TableContents"/>
              <w:bidi w:val="0"/>
              <w:spacing w:before="0" w:after="283"/>
              <w:jc w:val="left"/>
              <w:rPr/>
            </w:pPr>
            <w:r>
              <w:rPr/>
              <w:t>​</w:t>
            </w:r>
          </w:p>
        </w:tc>
        <w:tc>
          <w:tcPr>
            <w:tcW w:w="113" w:type="dxa"/>
            <w:tcBorders>
              <w:bottom w:val="single" w:sz="2" w:space="0" w:color="4B5088"/>
            </w:tcBorders>
            <w:tcMar>
              <w:bottom w:w="70" w:type="dxa"/>
            </w:tcMar>
            <w:vAlign w:val="center"/>
          </w:tcPr>
          <w:p>
            <w:pPr>
              <w:pStyle w:val="TableContents"/>
              <w:bidi w:val="0"/>
              <w:spacing w:before="0" w:after="283"/>
              <w:jc w:val="right"/>
              <w:rPr/>
            </w:pPr>
            <w:r>
              <w:rPr/>
              <w:t>​</w:t>
            </w:r>
          </w:p>
        </w:tc>
        <w:tc>
          <w:tcPr>
            <w:tcW w:w="936" w:type="dxa"/>
            <w:tcBorders>
              <w:bottom w:val="single" w:sz="2" w:space="0" w:color="4B5088"/>
            </w:tcBorders>
            <w:tcMar>
              <w:bottom w:w="70" w:type="dxa"/>
            </w:tcMar>
            <w:vAlign w:val="center"/>
          </w:tcPr>
          <w:p>
            <w:pPr>
              <w:pStyle w:val="TableContents"/>
              <w:bidi w:val="0"/>
              <w:spacing w:before="0" w:after="283"/>
              <w:jc w:val="right"/>
              <w:rPr/>
            </w:pPr>
            <w:r>
              <w:rPr/>
              <w:t>—</w:t>
            </w:r>
          </w:p>
        </w:tc>
        <w:tc>
          <w:tcPr>
            <w:tcW w:w="116"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4" w:type="dxa"/>
            <w:tcBorders>
              <w:bottom w:val="single" w:sz="2" w:space="0" w:color="4B5088"/>
            </w:tcBorders>
            <w:tcMar>
              <w:bottom w:w="28" w:type="dxa"/>
            </w:tcMar>
            <w:vAlign w:val="center"/>
          </w:tcPr>
          <w:p>
            <w:pPr>
              <w:pStyle w:val="TableContents"/>
              <w:bidi w:val="0"/>
              <w:spacing w:before="0" w:after="283"/>
              <w:jc w:val="left"/>
              <w:rPr/>
            </w:pPr>
            <w:r>
              <w:rPr/>
              <w:t>​</w:t>
            </w:r>
          </w:p>
        </w:tc>
        <w:tc>
          <w:tcPr>
            <w:tcW w:w="164" w:type="dxa"/>
            <w:tcBorders>
              <w:bottom w:val="single" w:sz="2" w:space="0" w:color="4B5088"/>
            </w:tcBorders>
            <w:tcMar>
              <w:bottom w:w="70" w:type="dxa"/>
            </w:tcMar>
            <w:vAlign w:val="center"/>
          </w:tcPr>
          <w:p>
            <w:pPr>
              <w:pStyle w:val="TableContents"/>
              <w:bidi w:val="0"/>
              <w:spacing w:before="0" w:after="283"/>
              <w:jc w:val="right"/>
              <w:rPr/>
            </w:pPr>
            <w:r>
              <w:rPr/>
              <w:t>​</w:t>
            </w:r>
          </w:p>
        </w:tc>
        <w:tc>
          <w:tcPr>
            <w:tcW w:w="800" w:type="dxa"/>
            <w:tcBorders>
              <w:bottom w:val="single" w:sz="2" w:space="0" w:color="4B5088"/>
            </w:tcBorders>
            <w:tcMar>
              <w:bottom w:w="70" w:type="dxa"/>
            </w:tcMar>
            <w:vAlign w:val="center"/>
          </w:tcPr>
          <w:p>
            <w:pPr>
              <w:pStyle w:val="TableContents"/>
              <w:bidi w:val="0"/>
              <w:spacing w:before="0" w:after="283"/>
              <w:jc w:val="right"/>
              <w:rPr/>
            </w:pPr>
            <w:r>
              <w:rPr/>
              <w:t>*</w:t>
            </w:r>
          </w:p>
        </w:tc>
        <w:tc>
          <w:tcPr>
            <w:tcW w:w="166" w:type="dxa"/>
            <w:tcBorders>
              <w:bottom w:val="single" w:sz="2" w:space="0" w:color="4B5088"/>
            </w:tcBorders>
            <w:tcMar>
              <w:bottom w:w="28" w:type="dxa"/>
            </w:tcMar>
            <w:vAlign w:val="center"/>
          </w:tcPr>
          <w:p>
            <w:pPr>
              <w:pStyle w:val="TableContents"/>
              <w:bidi w:val="0"/>
              <w:spacing w:before="0" w:after="283"/>
              <w:jc w:val="left"/>
              <w:rPr/>
            </w:pPr>
            <w:r>
              <w:rPr/>
              <w:t>​</w:t>
            </w:r>
          </w:p>
        </w:tc>
        <w:tc>
          <w:tcPr>
            <w:tcW w:w="160"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137" w:type="dxa"/>
            <w:tcBorders>
              <w:bottom w:val="single" w:sz="2" w:space="0" w:color="1F2668"/>
            </w:tcBorders>
            <w:tcMar>
              <w:bottom w:w="70" w:type="dxa"/>
            </w:tcMar>
            <w:vAlign w:val="center"/>
          </w:tcPr>
          <w:p>
            <w:pPr>
              <w:pStyle w:val="TableContents"/>
              <w:bidi w:val="0"/>
              <w:spacing w:before="0" w:after="0"/>
              <w:jc w:val="left"/>
              <w:rPr>
                <w:b/>
                <w:color w:val="1F2668"/>
              </w:rPr>
            </w:pPr>
            <w:r>
              <w:rPr>
                <w:b/>
                <w:color w:val="1F2668"/>
                <w:spacing w:val="-2"/>
              </w:rPr>
              <w:t>All Directors and Executive Officers as a Group (11 Persons)</w:t>
            </w:r>
            <w:r>
              <w:rPr>
                <w:b/>
                <w:color w:val="1F2668"/>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3" w:type="dxa"/>
            <w:tcBorders>
              <w:bottom w:val="single" w:sz="2" w:space="0" w:color="1F2668"/>
            </w:tcBorders>
            <w:tcMar>
              <w:bottom w:w="28" w:type="dxa"/>
            </w:tcMar>
            <w:vAlign w:val="center"/>
          </w:tcPr>
          <w:p>
            <w:pPr>
              <w:pStyle w:val="TableContents"/>
              <w:bidi w:val="0"/>
              <w:spacing w:before="0" w:after="283"/>
              <w:jc w:val="left"/>
              <w:rPr/>
            </w:pPr>
            <w:r>
              <w:rPr/>
              <w:t>​</w:t>
            </w:r>
          </w:p>
        </w:tc>
        <w:tc>
          <w:tcPr>
            <w:tcW w:w="113" w:type="dxa"/>
            <w:tcBorders>
              <w:bottom w:val="single" w:sz="2" w:space="0" w:color="1F2668"/>
            </w:tcBorders>
            <w:tcMar>
              <w:bottom w:w="70" w:type="dxa"/>
            </w:tcMar>
            <w:vAlign w:val="center"/>
          </w:tcPr>
          <w:p>
            <w:pPr>
              <w:pStyle w:val="TableContents"/>
              <w:bidi w:val="0"/>
              <w:spacing w:before="0" w:after="283"/>
              <w:jc w:val="right"/>
              <w:rPr/>
            </w:pPr>
            <w:r>
              <w:rPr/>
              <w:t>​</w:t>
            </w:r>
          </w:p>
        </w:tc>
        <w:tc>
          <w:tcPr>
            <w:tcW w:w="936" w:type="dxa"/>
            <w:tcBorders>
              <w:bottom w:val="single" w:sz="2" w:space="0" w:color="1F2668"/>
            </w:tcBorders>
            <w:tcMar>
              <w:bottom w:w="70" w:type="dxa"/>
            </w:tcMar>
            <w:vAlign w:val="center"/>
          </w:tcPr>
          <w:p>
            <w:pPr>
              <w:pStyle w:val="TableContents"/>
              <w:bidi w:val="0"/>
              <w:spacing w:before="0" w:after="283"/>
              <w:jc w:val="right"/>
              <w:rPr/>
            </w:pPr>
            <w:r>
              <w:rPr/>
              <w:t>139,473</w:t>
            </w:r>
          </w:p>
        </w:tc>
        <w:tc>
          <w:tcPr>
            <w:tcW w:w="116"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4" w:type="dxa"/>
            <w:tcBorders>
              <w:bottom w:val="single" w:sz="2" w:space="0" w:color="1F2668"/>
            </w:tcBorders>
            <w:tcMar>
              <w:bottom w:w="28" w:type="dxa"/>
            </w:tcMar>
            <w:vAlign w:val="center"/>
          </w:tcPr>
          <w:p>
            <w:pPr>
              <w:pStyle w:val="TableContents"/>
              <w:bidi w:val="0"/>
              <w:spacing w:before="0" w:after="283"/>
              <w:jc w:val="left"/>
              <w:rPr/>
            </w:pPr>
            <w:r>
              <w:rPr/>
              <w:t>​</w:t>
            </w:r>
          </w:p>
        </w:tc>
        <w:tc>
          <w:tcPr>
            <w:tcW w:w="164" w:type="dxa"/>
            <w:tcBorders>
              <w:bottom w:val="single" w:sz="2" w:space="0" w:color="1F2668"/>
            </w:tcBorders>
            <w:tcMar>
              <w:bottom w:w="70" w:type="dxa"/>
            </w:tcMar>
            <w:vAlign w:val="center"/>
          </w:tcPr>
          <w:p>
            <w:pPr>
              <w:pStyle w:val="TableContents"/>
              <w:bidi w:val="0"/>
              <w:spacing w:before="0" w:after="283"/>
              <w:jc w:val="right"/>
              <w:rPr/>
            </w:pPr>
            <w:r>
              <w:rPr/>
              <w:t>​</w:t>
            </w:r>
          </w:p>
        </w:tc>
        <w:tc>
          <w:tcPr>
            <w:tcW w:w="800" w:type="dxa"/>
            <w:tcBorders>
              <w:bottom w:val="single" w:sz="2" w:space="0" w:color="1F2668"/>
            </w:tcBorders>
            <w:tcMar>
              <w:bottom w:w="70" w:type="dxa"/>
            </w:tcMar>
            <w:vAlign w:val="center"/>
          </w:tcPr>
          <w:p>
            <w:pPr>
              <w:pStyle w:val="TableContents"/>
              <w:bidi w:val="0"/>
              <w:spacing w:before="0" w:after="283"/>
              <w:jc w:val="right"/>
              <w:rPr/>
            </w:pPr>
            <w:r>
              <w:rPr/>
              <w:t>1.52%</w:t>
            </w:r>
          </w:p>
        </w:tc>
        <w:tc>
          <w:tcPr>
            <w:tcW w:w="166" w:type="dxa"/>
            <w:tcBorders>
              <w:bottom w:val="single" w:sz="2" w:space="0" w:color="1F2668"/>
            </w:tcBorders>
            <w:tcMar>
              <w:bottom w:w="28" w:type="dxa"/>
            </w:tcMar>
            <w:vAlign w:val="center"/>
          </w:tcPr>
          <w:p>
            <w:pPr>
              <w:pStyle w:val="TableContents"/>
              <w:bidi w:val="0"/>
              <w:spacing w:before="0" w:after="283"/>
              <w:jc w:val="left"/>
              <w:rPr/>
            </w:pPr>
            <w:r>
              <w:rPr/>
              <w:t>​</w:t>
            </w:r>
          </w:p>
        </w:tc>
        <w:tc>
          <w:tcPr>
            <w:tcW w:w="160"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280"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Less than 1%.</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77800" distB="0" distL="0" distR="0" simplePos="0" locked="0" layoutInCell="1" allowOverlap="1" relativeHeight="840">
                <wp:simplePos x="0" y="0"/>
                <wp:positionH relativeFrom="column">
                  <wp:align>left</wp:align>
                </wp:positionH>
                <wp:positionV relativeFrom="line">
                  <wp:align>top</wp:align>
                </wp:positionV>
                <wp:extent cx="254000" cy="254000"/>
                <wp:effectExtent l="0" t="0" r="0" b="0"/>
                <wp:wrapSquare wrapText="right"/>
                <wp:docPr id="944" name="Frame590"/>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2"/>
                                <w:sz w:val="16"/>
                              </w:rPr>
                              <w:t>*</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14pt;mso-wrap-distance-bottom:0pt;margin-top:14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2"/>
                          <w:sz w:val="16"/>
                        </w:rPr>
                        <w:t>*</w:t>
                      </w:r>
                      <w:r>
                        <w:rPr>
                          <w:sz w:val="16"/>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360" w:before="400" w:after="283"/>
        <w:jc w:val="left"/>
        <w:rPr>
          <w:rFonts w:ascii="Arial;Helvetica;sans-serif" w:hAnsi="Arial;Helvetica;sans-serif"/>
          <w:b/>
          <w:i w:val="false"/>
          <w:caps w:val="false"/>
          <w:smallCaps w:val="false"/>
          <w:color w:val="83AD40"/>
          <w:sz w:val="32"/>
        </w:rPr>
      </w:pPr>
      <w:r>
        <w:rPr>
          <w:rFonts w:ascii="Arial;Helvetica;sans-serif" w:hAnsi="Arial;Helvetica;sans-serif"/>
          <w:b/>
          <w:i w:val="false"/>
          <w:caps/>
          <w:color w:val="83AD40"/>
          <w:spacing w:val="-3"/>
          <w:sz w:val="32"/>
        </w:rPr>
        <w:t>DELINQUENT SECTION 16(</w:t>
      </w:r>
      <w:r>
        <w:rPr>
          <w:rFonts w:ascii="Arial;Helvetica;sans-serif" w:hAnsi="Arial;Helvetica;sans-serif"/>
          <w:b/>
          <w:i w:val="false"/>
          <w:caps w:val="false"/>
          <w:smallCaps w:val="false"/>
          <w:color w:val="83AD40"/>
          <w:spacing w:val="-3"/>
          <w:sz w:val="32"/>
        </w:rPr>
        <w:t>a</w:t>
      </w:r>
      <w:r>
        <w:rPr>
          <w:rFonts w:ascii="Arial;Helvetica;sans-serif" w:hAnsi="Arial;Helvetica;sans-serif"/>
          <w:b/>
          <w:i w:val="false"/>
          <w:caps/>
          <w:color w:val="83AD40"/>
          <w:spacing w:val="-3"/>
          <w:sz w:val="32"/>
        </w:rPr>
        <w:t>) REPORTS</w:t>
      </w:r>
      <w:r>
        <w:rPr>
          <w:rFonts w:ascii="Arial;Helvetica;sans-serif" w:hAnsi="Arial;Helvetica;sans-serif"/>
          <w:b/>
          <w:i w:val="false"/>
          <w:caps w:val="false"/>
          <w:smallCaps w:val="false"/>
          <w:color w:val="000000"/>
          <w:spacing w:val="6"/>
          <w:sz w:val="32"/>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Section 16(a) of the Securities Exchange Act of 1934, as amended, requires our executive officers and directors and persons who own more than 10% of a registered class of our equity securities to file reports of ownership and changes in ownership with the SEC and the NYSE. Officers, directors and persons who own more than 10% of a registered class of our equity securities are required by SEC regulation to furnish us with copies of all Section 16(a) forms that they file. To our knowledge, based solely on review of the copies of such reports and any amendments thereto furnished to us during or with respect to our most recent fiscal year, all Section 16(a) filing requirements applicable to our executive officers, directors and persons who own more than 10% of a registered class of our equity securities were satisfied, with the exception of (i) Marc Holliday, in connection with a failure to timely file a Form 4 relating to the disposition of LTIP Units that were converted into Common Units and redeemed for cash on June 23, 2025, which was subsequently filed on June 30, 2025; (ii) John Alschuler, in connection with a failure to timely file a Form 4 relating to the cash settlement of Phantom Stock Units on January 5, 2026, which was subsequently filed on January 9, 2026; and (iii) Harrison Sitomer, who inadvertently (A) failed to timely file a Form 3 due to a delay in submission and approval of his Form ID, which was subsequently filed on March 10, 2026 and (B) failed to timely file a Form 4 relating to an award of restricted common stock on February 27, 2026 due to a delay in the submission and approval of his Form ID, which was subsequently filed on March 10, 2026.</w:t>
      </w:r>
      <w:r>
        <w:rPr>
          <w:rFonts w:ascii="Arial;Helvetica;sans-serif" w:hAnsi="Arial;Helvetic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9" w:name="tCRAR"/>
      <w:bookmarkEnd w:id="29"/>
      <w:r>
        <w:rPr>
          <w:rFonts w:ascii="calibri;arial;sans-serif" w:hAnsi="calibri;arial;sans-serif"/>
          <w:b w:val="false"/>
          <w:i w:val="false"/>
          <w:caps w:val="false"/>
          <w:smallCaps w:val="false"/>
          <w:color w:val="000000"/>
          <w:sz w:val="16"/>
        </w:rPr>
        <w:t xml:space="preserve">​ </w:t>
      </w:r>
    </w:p>
    <w:tbl>
      <w:tblPr>
        <w:tblW w:w="951" w:type="dxa"/>
        <w:jc w:val="left"/>
        <w:tblInd w:w="900" w:type="dxa"/>
        <w:tblLayout w:type="fixed"/>
        <w:tblCellMar>
          <w:top w:w="0" w:type="dxa"/>
          <w:left w:w="0" w:type="dxa"/>
          <w:bottom w:w="0" w:type="dxa"/>
          <w:right w:w="0" w:type="dxa"/>
        </w:tblCellMar>
      </w:tblPr>
      <w:tblGrid>
        <w:gridCol w:w="124"/>
        <w:gridCol w:w="346"/>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88</w:t>
              <w:br/>
              <w: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520" w:before="560" w:after="154"/>
        <w:ind w:left="900" w:right="0" w:hanging="0"/>
        <w:jc w:val="left"/>
        <w:rPr>
          <w:rFonts w:ascii="Arial;Helvetica;sans-serif" w:hAnsi="Arial;Helvetica;sans-serif"/>
          <w:b/>
          <w:i w:val="false"/>
          <w:caps/>
          <w:color w:val="1F2668"/>
          <w:spacing w:val="-4"/>
          <w:sz w:val="42"/>
        </w:rPr>
      </w:pPr>
      <w:r>
        <w:rPr>
          <w:rFonts w:ascii="Arial;Helvetica;sans-serif" w:hAnsi="Arial;Helvetica;sans-serif"/>
          <w:b/>
          <w:i w:val="false"/>
          <w:caps/>
          <w:color w:val="1F2668"/>
          <w:spacing w:val="-4"/>
          <w:sz w:val="42"/>
        </w:rPr>
        <w:t xml:space="preserve">CERTAIN RELATIONSHIPS AND </w:t>
      </w:r>
    </w:p>
    <w:p>
      <w:pPr>
        <w:pStyle w:val="TextBody"/>
        <w:bidi w:val="0"/>
        <w:spacing w:lineRule="atLeast" w:line="420" w:before="560" w:after="154"/>
        <w:jc w:val="left"/>
        <w:rPr>
          <w:rFonts w:ascii="Arial;Helvetica;sans-serif" w:hAnsi="Arial;Helvetica;sans-serif"/>
          <w:b/>
          <w:i w:val="false"/>
          <w:caps w:val="false"/>
          <w:smallCaps w:val="false"/>
          <w:color w:val="1F2668"/>
          <w:sz w:val="42"/>
        </w:rPr>
      </w:pPr>
      <w:r>
        <w:rPr>
          <w:rFonts w:ascii="Arial;Helvetica;sans-serif" w:hAnsi="Arial;Helvetica;sans-serif"/>
          <w:b/>
          <w:i w:val="false"/>
          <w:caps/>
          <w:color w:val="1F2668"/>
          <w:spacing w:val="-4"/>
          <w:sz w:val="42"/>
        </w:rPr>
        <w:t>RELATED PARTY TRANSACTIONS</w:t>
      </w:r>
      <w:r>
        <w:rPr>
          <w:rFonts w:ascii="Arial;Helvetica;sans-serif" w:hAnsi="Arial;Helvetica;sans-serif"/>
          <w:b/>
          <w:i w:val="false"/>
          <w:caps w:val="false"/>
          <w:smallCaps w:val="false"/>
          <w:color w:val="1F2668"/>
          <w:sz w:val="42"/>
        </w:rPr>
        <w:t xml:space="preserve"> </w:t>
      </w:r>
    </w:p>
    <w:p>
      <w:pPr>
        <w:pStyle w:val="TextBody"/>
        <w:bidi w:val="0"/>
        <w:spacing w:lineRule="atLeast" w:line="360" w:before="400" w:after="283"/>
        <w:jc w:val="left"/>
        <w:rPr>
          <w:rFonts w:ascii="Arial;Helvetica;sans-serif" w:hAnsi="Arial;Helvetica;sans-serif"/>
          <w:b/>
          <w:i w:val="false"/>
          <w:caps w:val="false"/>
          <w:smallCaps w:val="false"/>
          <w:color w:val="83AD40"/>
          <w:sz w:val="32"/>
        </w:rPr>
      </w:pPr>
      <w:r>
        <w:rPr>
          <w:rFonts w:ascii="Arial;Helvetica;sans-serif" w:hAnsi="Arial;Helvetica;sans-serif"/>
          <w:b/>
          <w:i w:val="false"/>
          <w:caps/>
          <w:color w:val="83AD40"/>
          <w:spacing w:val="-3"/>
          <w:sz w:val="32"/>
        </w:rPr>
        <w:t xml:space="preserve">POLICIES AND PROCEDURES WITH RESPECT </w:t>
        <w:br/>
        <w:t>TO RELATED PARTY TRANSACTIONS</w:t>
      </w:r>
      <w:r>
        <w:rPr>
          <w:rFonts w:ascii="Arial;Helvetica;sans-serif" w:hAnsi="Arial;Helvetica;sans-serif"/>
          <w:b/>
          <w:i w:val="false"/>
          <w:caps w:val="false"/>
          <w:smallCaps w:val="false"/>
          <w:color w:val="000000"/>
          <w:spacing w:val="6"/>
          <w:sz w:val="32"/>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All related party transactions (generally, transactions involving amounts exceeding $120,000 in which directors and executive officers or their immediate family members, or stockholders owning 5% of more of our outstanding common stock have an interest) are subject to approval or ratification in accordance with the procedures described below.</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Our Nominating and Corporate Governance Committee reviews the material facts of all related party transactions and provides a recommendation to the independent directors as a group who then determine whether to approve the entry into such related party transaction. If the Company becomes aware of a related party transaction that has not been approved under the Company’s policy, then the related party transaction will be considered and, if the independent directors determine it to be appropriate, ratified, or terminated. In determining whether to approve or ratify a related party transaction, our Nominating and Corporate Governance Committee and the independent directors take into account, among other factors they deem appropriate, whether the related party transaction is on terms no less favorable than terms generally available to an unaffiliated third-party under the same or similar circumstances and the extent of the related party’s interest in the transaction.</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No director may participate in any discussion or approval of a related party transaction for which he or she is a related party, except that the director must provide all material information concerning the related party transaction to our Nominating and Corporate Governance Committee and the independent directors.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If a related party transaction will be ongoing, the independent directors may establish guidelines for our management to follow in its ongoing dealings with the related party. Thereafter, the independent directors, on at least an annual basis, review and assess ongoing relationships with such related party to see that our management is in compliance with our independent directors’ guidelines and that such related party transaction remains appropriate.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Related party transactions are disclosed in our SEC filings.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360" w:before="400" w:after="283"/>
        <w:jc w:val="left"/>
        <w:rPr>
          <w:rFonts w:ascii="Arial;Helvetica;sans-serif" w:hAnsi="Arial;Helvetica;sans-serif"/>
          <w:b/>
          <w:i w:val="false"/>
          <w:caps w:val="false"/>
          <w:smallCaps w:val="false"/>
          <w:color w:val="83AD40"/>
          <w:sz w:val="32"/>
        </w:rPr>
      </w:pPr>
      <w:r>
        <w:rPr>
          <w:rFonts w:ascii="Arial;Helvetica;sans-serif" w:hAnsi="Arial;Helvetica;sans-serif"/>
          <w:b/>
          <w:i w:val="false"/>
          <w:caps/>
          <w:color w:val="83AD40"/>
          <w:spacing w:val="-3"/>
          <w:sz w:val="32"/>
        </w:rPr>
        <w:t>ONE VANDERBILT AVENUE INVESTMENT</w:t>
      </w:r>
      <w:r>
        <w:rPr>
          <w:rFonts w:ascii="Arial;Helvetica;sans-serif" w:hAnsi="Arial;Helvetica;sans-serif"/>
          <w:b/>
          <w:i w:val="false"/>
          <w:caps w:val="false"/>
          <w:smallCaps w:val="false"/>
          <w:color w:val="000000"/>
          <w:spacing w:val="6"/>
          <w:sz w:val="32"/>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In December 2016, we entered into agreements with entities owned and controlled by our Chairman and Chief Executive Officer, Marc Holliday, and our former President, and current director, Andrew Mathias, pursuant to which they agreed to make an investment in our One Vanderbilt project (inclusive of the property and SUMMIT One Vanderbilt) at the appraised fair market value for the interests acquired. This investment entitles these entities to receive a percentage of any profits realized by the Company from its One Vanderbilt project in excess of the Company’s capital contributions, of approximately 1.27% and 0.85%, respectively, on account of the property and 1.92% and 1.28%, respectively, on account of SUMMIT One Vanderbilt. The entities had no right to any return of capital. Accordingly, subject to previously disclosed repurchase rights, these interests had no value and these entities were not entitled to any amounts (other than limited distributions to cover tax liabilities incurred) unless and until the Company received distributions from the One Vanderbilt project in excess of the Company’s aggregate investment in the project. The entities owned and controlled by Mr. Holliday and Mr. Mathias paid $1.4 million and $1.0 million, respectively, which equaled the fair market value of the interests acquired as of the date the investment agreements were entered into as determined by an independent third-party appraisal that we obtained.</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pacing w:val="-2"/>
          <w:sz w:val="18"/>
        </w:rPr>
      </w:pPr>
      <w:r>
        <w:rPr>
          <w:rFonts w:ascii="Arial;Helvetica;sans-serif" w:hAnsi="Arial;Helvetica;sans-serif"/>
          <w:b w:val="false"/>
          <w:i w:val="false"/>
          <w:caps w:val="false"/>
          <w:smallCaps w:val="false"/>
          <w:color w:val="000000"/>
          <w:spacing w:val="-2"/>
          <w:sz w:val="18"/>
        </w:rPr>
        <w:t xml:space="preserve">Mr. Holliday and Mr. Mathias have the right to tender their interests in the project upon stabilization (50% within three years after stabilization and 100% three years or more after stabilization). In addition, the agreement calls for us to repurchase these interests in the event of a sale of One Vanderbilt or a transactional change of control of the Company. We also have the right to repurchase these interests on the seven-year anniversary of the stabilization of the project or upon the occurrence of certain separation events prior to the stabilization of the project relating to each of Mr. Holliday’s and Mr. Mathias’ continued service with us. The price paid upon a tender of the interests will equal the liquidation value of the interests at the time, with the value based on the project’s sale price, if applicable, or fair market value as determined by an independent third-party appraiser. In 2022, stabilization of the property (excluding SUMMIT One Vanderbilt) was achieved. Therefore, Mr. Holliday and Mr. Mathias exercised their rights to tender 50% of their interests in the property (excluding SUMMIT One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0" w:name="tNADS"/>
      <w:bookmarkEnd w:id="30"/>
      <w:r>
        <w:rPr>
          <w:rFonts w:ascii="calibri;arial;sans-serif" w:hAnsi="calibri;arial;sans-serif"/>
          <w:b w:val="false"/>
          <w:i w:val="false"/>
          <w:caps w:val="false"/>
          <w:smallCaps w:val="false"/>
          <w:color w:val="000000"/>
          <w:sz w:val="16"/>
        </w:rPr>
        <w:t xml:space="preserve">​ </w:t>
      </w:r>
    </w:p>
    <w:tbl>
      <w:tblPr>
        <w:tblW w:w="8531" w:type="dxa"/>
        <w:jc w:val="left"/>
        <w:tblInd w:w="900" w:type="dxa"/>
        <w:tblLayout w:type="fixed"/>
        <w:tblCellMar>
          <w:top w:w="0" w:type="dxa"/>
          <w:left w:w="0" w:type="dxa"/>
          <w:bottom w:w="0" w:type="dxa"/>
          <w:right w:w="0" w:type="dxa"/>
        </w:tblCellMar>
      </w:tblPr>
      <w:tblGrid>
        <w:gridCol w:w="124"/>
        <w:gridCol w:w="7689"/>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7689" w:type="dxa"/>
            <w:tcBorders/>
            <w:vAlign w:val="center"/>
          </w:tcPr>
          <w:p>
            <w:pPr>
              <w:pStyle w:val="TableContents"/>
              <w:bidi w:val="0"/>
              <w:spacing w:lineRule="atLeast" w:line="200" w:before="0" w:after="0"/>
              <w:jc w:val="left"/>
              <w:rPr/>
            </w:pPr>
            <w:r>
              <w:rPr>
                <w:spacing w:val="-2"/>
              </w:rPr>
              <w:t>CERTAIN RELATIONSHIPS AND RELATED PARTY TRANSACTIONS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color w:val="1F2668"/>
                <w:sz w:val="24"/>
              </w:rPr>
            </w:pPr>
            <w:r>
              <w:rPr>
                <w:color w:val="1F2668"/>
                <w:sz w:val="24"/>
              </w:rPr>
              <w:t>89</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560" w:after="154"/>
        <w:ind w:left="9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Vanderbilt) for liquidation values of $17.9 million and $11.9 million, respectively, which were paid in July 2022. In 2023, stabilization of SUMMIT One Vanderbilt was achieved.</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pacing w:val="-2"/>
          <w:sz w:val="18"/>
        </w:rPr>
      </w:pPr>
      <w:r>
        <w:rPr>
          <w:rFonts w:ascii="Arial;Helvetica;sans-serif" w:hAnsi="Arial;Helvetica;sans-serif"/>
          <w:b w:val="false"/>
          <w:i w:val="false"/>
          <w:caps w:val="false"/>
          <w:smallCaps w:val="false"/>
          <w:color w:val="000000"/>
          <w:spacing w:val="-2"/>
          <w:sz w:val="18"/>
        </w:rPr>
        <w:t xml:space="preserve">As of December 31, 2025, Mr. Holliday’s and Mr. Mathias’ remaining interests in the One Vanderbilt project are included in preferred units and redeemable equity in the mezzanine equity section of the Company’s consolidated financial statements. </w:t>
      </w:r>
    </w:p>
    <w:p>
      <w:pPr>
        <w:pStyle w:val="TextBody"/>
        <w:bidi w:val="0"/>
        <w:spacing w:lineRule="atLeast" w:line="360" w:before="400" w:after="283"/>
        <w:jc w:val="left"/>
        <w:rPr>
          <w:rFonts w:ascii="Arial;Helvetica;sans-serif" w:hAnsi="Arial;Helvetica;sans-serif"/>
          <w:b/>
          <w:i w:val="false"/>
          <w:caps w:val="false"/>
          <w:smallCaps w:val="false"/>
          <w:color w:val="83AD40"/>
          <w:sz w:val="32"/>
        </w:rPr>
      </w:pPr>
      <w:r>
        <w:rPr>
          <w:rFonts w:ascii="Arial;Helvetica;sans-serif" w:hAnsi="Arial;Helvetica;sans-serif"/>
          <w:b/>
          <w:i w:val="false"/>
          <w:caps/>
          <w:color w:val="83AD40"/>
          <w:spacing w:val="-3"/>
          <w:sz w:val="32"/>
        </w:rPr>
        <w:t>760 MADISON AVENUE CONDOMINIUM UNIT</w:t>
      </w:r>
      <w:r>
        <w:rPr>
          <w:rFonts w:ascii="Arial;Helvetica;sans-serif" w:hAnsi="Arial;Helvetica;sans-serif"/>
          <w:b/>
          <w:i w:val="false"/>
          <w:caps w:val="false"/>
          <w:smallCaps w:val="false"/>
          <w:color w:val="000000"/>
          <w:spacing w:val="6"/>
          <w:sz w:val="32"/>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In July 2024, the Company entered into an agreement to sell one of the condominium units located at 760 Madison Avenue to an entity owned by a trust of which the beneficiaries are the family members of our Chairman and Chief Executive Officer, Marc Holliday, for $8.4 million. The transaction closed in the first quarter of 2025.</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360" w:before="400" w:after="283"/>
        <w:jc w:val="left"/>
        <w:rPr>
          <w:rFonts w:ascii="Arial;Helvetica;sans-serif" w:hAnsi="Arial;Helvetica;sans-serif"/>
          <w:b/>
          <w:i w:val="false"/>
          <w:caps w:val="false"/>
          <w:smallCaps w:val="false"/>
          <w:color w:val="83AD40"/>
          <w:sz w:val="32"/>
        </w:rPr>
      </w:pPr>
      <w:r>
        <w:rPr>
          <w:rFonts w:ascii="Arial;Helvetica;sans-serif" w:hAnsi="Arial;Helvetica;sans-serif"/>
          <w:b/>
          <w:i w:val="false"/>
          <w:caps/>
          <w:color w:val="83AD40"/>
          <w:spacing w:val="-3"/>
          <w:sz w:val="32"/>
        </w:rPr>
        <w:t>NON-RENEWAL AND ADVISORY AGREEMENT</w:t>
      </w:r>
      <w:r>
        <w:rPr>
          <w:rFonts w:ascii="Arial;Helvetica;sans-serif" w:hAnsi="Arial;Helvetica;sans-serif"/>
          <w:b/>
          <w:i w:val="false"/>
          <w:caps w:val="false"/>
          <w:smallCaps w:val="false"/>
          <w:color w:val="000000"/>
          <w:spacing w:val="6"/>
          <w:sz w:val="32"/>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On October 9, 2023, the Company entered into a Non-Renewal and Advisory Agreement (the “Advisory Agreement”) with Andrew Mathias, our former President and a current director, to transition Mr. Mathias into a consultancy role for the Company upon the termination of his employment agreement on December 31, 2023. The term of the Advisory Agreement is January 1, 2024 through December 31, 2024, subject to successive one-year renewal periods. Mr. Mathias receives an advisory fee of $8,333 monthly for his services and certain perks generally consistent with those he received as an executive officer, in addition to any fees to which Mr. Mathias is entitled to as a director.</w:t>
      </w:r>
      <w:r>
        <w:rPr>
          <w:rFonts w:ascii="Arial;Helvetica;sans-serif" w:hAnsi="Arial;Helvetic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1" w:name="tOTIN"/>
      <w:bookmarkEnd w:id="31"/>
      <w:r>
        <w:rPr>
          <w:rFonts w:ascii="calibri;arial;sans-serif" w:hAnsi="calibri;arial;sans-serif"/>
          <w:b w:val="false"/>
          <w:i w:val="false"/>
          <w:caps w:val="false"/>
          <w:smallCaps w:val="false"/>
          <w:color w:val="000000"/>
          <w:sz w:val="16"/>
        </w:rPr>
        <w:t>​</w:t>
      </w:r>
      <w:bookmarkStart w:id="32" w:name="tQAAA"/>
      <w:bookmarkEnd w:id="32"/>
      <w:r>
        <w:rPr>
          <w:rFonts w:ascii="calibri;arial;sans-serif" w:hAnsi="calibri;arial;sans-serif"/>
          <w:b w:val="false"/>
          <w:i w:val="false"/>
          <w:caps w:val="false"/>
          <w:smallCaps w:val="false"/>
          <w:color w:val="000000"/>
          <w:sz w:val="16"/>
        </w:rPr>
        <w:t xml:space="preserve">​ </w:t>
      </w:r>
    </w:p>
    <w:tbl>
      <w:tblPr>
        <w:tblW w:w="951" w:type="dxa"/>
        <w:jc w:val="left"/>
        <w:tblInd w:w="900" w:type="dxa"/>
        <w:tblLayout w:type="fixed"/>
        <w:tblCellMar>
          <w:top w:w="0" w:type="dxa"/>
          <w:left w:w="0" w:type="dxa"/>
          <w:bottom w:w="0" w:type="dxa"/>
          <w:right w:w="0" w:type="dxa"/>
        </w:tblCellMar>
      </w:tblPr>
      <w:tblGrid>
        <w:gridCol w:w="124"/>
        <w:gridCol w:w="346"/>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90</w:t>
              <w:br/>
              <w: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520" w:before="560" w:after="154"/>
        <w:ind w:left="900" w:right="0" w:hanging="0"/>
        <w:jc w:val="left"/>
        <w:rPr>
          <w:rFonts w:ascii="Arial;Helvetica;sans-serif" w:hAnsi="Arial;Helvetica;sans-serif"/>
          <w:b/>
          <w:i w:val="false"/>
          <w:caps w:val="false"/>
          <w:smallCaps w:val="false"/>
          <w:color w:val="1F2668"/>
          <w:sz w:val="42"/>
        </w:rPr>
      </w:pPr>
      <w:r>
        <w:rPr>
          <w:rFonts w:ascii="Arial;Helvetica;sans-serif" w:hAnsi="Arial;Helvetica;sans-serif"/>
          <w:b/>
          <w:i w:val="false"/>
          <w:caps/>
          <w:color w:val="1F2668"/>
          <w:spacing w:val="-4"/>
          <w:sz w:val="42"/>
        </w:rPr>
        <w:t>OTHER INFORMATION</w:t>
      </w:r>
      <w:r>
        <w:rPr>
          <w:rFonts w:ascii="Arial;Helvetica;sans-serif" w:hAnsi="Arial;Helvetica;sans-serif"/>
          <w:b/>
          <w:i w:val="false"/>
          <w:caps w:val="false"/>
          <w:smallCaps w:val="false"/>
          <w:color w:val="000000"/>
          <w:spacing w:val="8"/>
          <w:sz w:val="42"/>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These proxy materials are being made available in connection with the solicitation of proxies by the Board of Directors, or the Board, of SL Green Realty Corp., a Maryland corporation, for use at our 2026 Annual Meeting of stockholders to be held on June 2, 2026 at 12:00 p.m., Eastern Time, in the auditorium at One Vanderbilt Avenue, New York, New York 10017 or at any postponement or adjournment of the Annual Meeting.</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360" w:before="400" w:after="283"/>
        <w:jc w:val="left"/>
        <w:rPr>
          <w:rFonts w:ascii="Arial;Helvetica;sans-serif" w:hAnsi="Arial;Helvetica;sans-serif"/>
          <w:b/>
          <w:i w:val="false"/>
          <w:caps w:val="false"/>
          <w:smallCaps w:val="false"/>
          <w:color w:val="83AD40"/>
          <w:sz w:val="32"/>
        </w:rPr>
      </w:pPr>
      <w:r>
        <w:rPr>
          <w:rFonts w:ascii="Arial;Helvetica;sans-serif" w:hAnsi="Arial;Helvetica;sans-serif"/>
          <w:b/>
          <w:i w:val="false"/>
          <w:caps/>
          <w:color w:val="83AD40"/>
          <w:spacing w:val="-3"/>
          <w:sz w:val="32"/>
        </w:rPr>
        <w:t xml:space="preserve">QUESTIONS AND ANSWERS ABOUT </w:t>
        <w:br/>
        <w:t>THE ANNUAL MEETING</w:t>
      </w:r>
      <w:r>
        <w:rPr>
          <w:rFonts w:ascii="Arial;Helvetica;sans-serif" w:hAnsi="Arial;Helvetica;sans-serif"/>
          <w:b/>
          <w:i w:val="false"/>
          <w:caps w:val="false"/>
          <w:smallCaps w:val="false"/>
          <w:color w:val="000000"/>
          <w:spacing w:val="6"/>
          <w:sz w:val="32"/>
        </w:rPr>
        <w:t xml:space="preserve"> </w:t>
      </w:r>
    </w:p>
    <w:p>
      <w:pPr>
        <w:pStyle w:val="TextBody"/>
        <w:bidi w:val="0"/>
        <w:spacing w:lineRule="atLeast" w:line="300" w:before="320" w:after="283"/>
        <w:jc w:val="left"/>
        <w:rPr>
          <w:rFonts w:ascii="Arial;Helvetica;sans-serif" w:hAnsi="Arial;Helvetica;sans-serif"/>
          <w:b/>
          <w:i w:val="false"/>
          <w:caps w:val="false"/>
          <w:smallCaps w:val="false"/>
          <w:color w:val="1F2668"/>
          <w:sz w:val="26"/>
        </w:rPr>
      </w:pPr>
      <w:r>
        <w:rPr>
          <w:rFonts w:ascii="Arial;Helvetica;sans-serif" w:hAnsi="Arial;Helvetica;sans-serif"/>
          <w:b/>
          <w:i w:val="false"/>
          <w:caps w:val="false"/>
          <w:smallCaps w:val="false"/>
          <w:color w:val="1F2668"/>
          <w:spacing w:val="-3"/>
          <w:sz w:val="26"/>
        </w:rPr>
        <w:t>What is the Notice of Internet Availability of Proxy Materials that I received in the mail this year instead of a full set of proxy materials?</w:t>
      </w:r>
      <w:r>
        <w:rPr>
          <w:rFonts w:ascii="Arial;Helvetica;sans-serif" w:hAnsi="Arial;Helvetica;sans-serif"/>
          <w:b/>
          <w:i w:val="false"/>
          <w:caps w:val="false"/>
          <w:smallCaps w:val="false"/>
          <w:color w:val="000000"/>
          <w:spacing w:val="5"/>
          <w:sz w:val="26"/>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In accordance with rules adopted by the Securities and Exchange Commission, or SEC, we may furnish proxy materials, including this proxy statement and our 2025 annual report to stockholders, by providing access to these documents on the Internet instead of mailing a printed copy of our proxy materials to our stockholders. On or about April 22, 2026, we began mailing a Notice of Internet Availability of Proxy Materials, or the Notice, containing instructions on how to access this proxy statement and our 2025 annual report online, as well as instructions on how to vote.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We believe the delivery option that we have chosen this year allows us to provide our stockholders with the proxy materials they need, while lowering the cost of delivery of the materials and reducing the environmental impact of printing and mailing printed copies. If you would like to receive a paper or an e-mail copy of our proxy materials for the 2026 Annual Meeting or for all future annual meetings, you should follow the instructions for requesting such materials included in the Notice.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300" w:before="360" w:after="283"/>
        <w:jc w:val="left"/>
        <w:rPr>
          <w:rFonts w:ascii="Arial;Helvetica;sans-serif" w:hAnsi="Arial;Helvetica;sans-serif"/>
          <w:b/>
          <w:i w:val="false"/>
          <w:caps w:val="false"/>
          <w:smallCaps w:val="false"/>
          <w:color w:val="1F2668"/>
          <w:sz w:val="26"/>
        </w:rPr>
      </w:pPr>
      <w:r>
        <w:rPr>
          <w:rFonts w:ascii="Arial;Helvetica;sans-serif" w:hAnsi="Arial;Helvetica;sans-serif"/>
          <w:b/>
          <w:i w:val="false"/>
          <w:caps w:val="false"/>
          <w:smallCaps w:val="false"/>
          <w:color w:val="1F2668"/>
          <w:spacing w:val="-3"/>
          <w:sz w:val="26"/>
        </w:rPr>
        <w:t>Who is entitled to vote at the Annual Meeting?</w:t>
      </w:r>
      <w:r>
        <w:rPr>
          <w:rFonts w:ascii="Arial;Helvetica;sans-serif" w:hAnsi="Arial;Helvetica;sans-serif"/>
          <w:b/>
          <w:i w:val="false"/>
          <w:caps w:val="false"/>
          <w:smallCaps w:val="false"/>
          <w:color w:val="000000"/>
          <w:spacing w:val="5"/>
          <w:sz w:val="26"/>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Holders of record of our common stock, $0.01 par value per share, at the close of business on March 31, 2026, the record date for the Annual Meeting, are entitled to receive notice of the Annual Meeting and to vote at the Annual Meeting. If you are a holder of record of our common stock as of the record date, you may vote the shares that you held on the record date even if you sell such shares after the record date. Each outstanding share as of the record date entitles its holder to cast one vote for each matter to be voted upon and, with respect to the election of directors, one vote for each director to be elected. Stockholders do not have the right to cumulate voting for the election of directors.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300" w:before="360" w:after="283"/>
        <w:jc w:val="left"/>
        <w:rPr>
          <w:rFonts w:ascii="Arial;Helvetica;sans-serif" w:hAnsi="Arial;Helvetica;sans-serif"/>
          <w:b/>
          <w:i w:val="false"/>
          <w:caps w:val="false"/>
          <w:smallCaps w:val="false"/>
          <w:color w:val="1F2668"/>
          <w:sz w:val="26"/>
        </w:rPr>
      </w:pPr>
      <w:r>
        <w:rPr>
          <w:rFonts w:ascii="Arial;Helvetica;sans-serif" w:hAnsi="Arial;Helvetica;sans-serif"/>
          <w:b/>
          <w:i w:val="false"/>
          <w:caps w:val="false"/>
          <w:smallCaps w:val="false"/>
          <w:color w:val="1F2668"/>
          <w:spacing w:val="-3"/>
          <w:sz w:val="26"/>
        </w:rPr>
        <w:t>What is the purpose of the Annual Meeting?</w:t>
      </w:r>
      <w:r>
        <w:rPr>
          <w:rFonts w:ascii="Arial;Helvetica;sans-serif" w:hAnsi="Arial;Helvetica;sans-serif"/>
          <w:b/>
          <w:i w:val="false"/>
          <w:caps w:val="false"/>
          <w:smallCaps w:val="false"/>
          <w:color w:val="000000"/>
          <w:spacing w:val="5"/>
          <w:sz w:val="26"/>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At the Annual Meeting, you will be asked to vote on the following proposals: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80" w:after="0"/>
        <w:ind w:left="11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caps w:val="false"/>
          <w:smallCaps w:val="false"/>
          <w:color w:val="000000"/>
          <w:sz w:val="18"/>
        </w:rPr>
        <w:t>Proposal 1:</w:t>
      </w:r>
      <w:r>
        <w:rPr>
          <w:rFonts w:ascii="Arial;Helvetica;sans-serif" w:hAnsi="Arial;Helvetica;sans-serif"/>
          <w:b w:val="false"/>
          <w:i w:val="false"/>
          <w:caps w:val="false"/>
          <w:smallCaps w:val="false"/>
          <w:color w:val="000000"/>
          <w:spacing w:val="-2"/>
          <w:sz w:val="18"/>
        </w:rPr>
        <w:t xml:space="preserve"> the election of the eight director nominees named in this proxy statement to serve on the Board for a one-year term and until their successors are duly elected and qualify</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14300" distB="0" distL="0" distR="0" simplePos="0" locked="0" layoutInCell="1" allowOverlap="1" relativeHeight="841">
                <wp:simplePos x="0" y="0"/>
                <wp:positionH relativeFrom="column">
                  <wp:align>left</wp:align>
                </wp:positionH>
                <wp:positionV relativeFrom="line">
                  <wp:align>top</wp:align>
                </wp:positionV>
                <wp:extent cx="127000" cy="350520"/>
                <wp:effectExtent l="0" t="0" r="0" b="0"/>
                <wp:wrapSquare wrapText="right"/>
                <wp:docPr id="945" name="Frame5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9pt;mso-wrap-distance-bottom:0pt;margin-top:9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20" w:before="60" w:after="0"/>
        <w:ind w:left="11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caps w:val="false"/>
          <w:smallCaps w:val="false"/>
          <w:color w:val="000000"/>
          <w:sz w:val="18"/>
        </w:rPr>
        <w:t>Proposal 2:</w:t>
      </w:r>
      <w:r>
        <w:rPr>
          <w:rFonts w:ascii="Arial;Helvetica;sans-serif" w:hAnsi="Arial;Helvetica;sans-serif"/>
          <w:b w:val="false"/>
          <w:i w:val="false"/>
          <w:caps w:val="false"/>
          <w:smallCaps w:val="false"/>
          <w:color w:val="000000"/>
          <w:spacing w:val="-2"/>
          <w:sz w:val="18"/>
        </w:rPr>
        <w:t xml:space="preserve"> the approval of an advisory resolution approving the compensation of our named executive officers as disclosed in this proxy statement pursuant to Item 402 of Regulation S-K</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38100" distB="0" distL="0" distR="0" simplePos="0" locked="0" layoutInCell="1" allowOverlap="1" relativeHeight="842">
                <wp:simplePos x="0" y="0"/>
                <wp:positionH relativeFrom="column">
                  <wp:align>left</wp:align>
                </wp:positionH>
                <wp:positionV relativeFrom="line">
                  <wp:align>top</wp:align>
                </wp:positionV>
                <wp:extent cx="127000" cy="350520"/>
                <wp:effectExtent l="0" t="0" r="0" b="0"/>
                <wp:wrapSquare wrapText="right"/>
                <wp:docPr id="946" name="Frame5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20" w:before="60" w:after="0"/>
        <w:ind w:left="11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caps w:val="false"/>
          <w:smallCaps w:val="false"/>
          <w:color w:val="000000"/>
          <w:sz w:val="18"/>
        </w:rPr>
        <w:t>Proposal 3:</w:t>
      </w:r>
      <w:r>
        <w:rPr>
          <w:rFonts w:ascii="Arial;Helvetica;sans-serif" w:hAnsi="Arial;Helvetica;sans-serif"/>
          <w:b w:val="false"/>
          <w:i w:val="false"/>
          <w:caps w:val="false"/>
          <w:smallCaps w:val="false"/>
          <w:color w:val="000000"/>
          <w:spacing w:val="-2"/>
          <w:sz w:val="18"/>
        </w:rPr>
        <w:t xml:space="preserve"> the ratification of the appointment of Deloitte &amp; Touche LLP as our independent registered public accounting firm for the fiscal year ending December 31, 2026</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38100" distB="0" distL="0" distR="0" simplePos="0" locked="0" layoutInCell="1" allowOverlap="1" relativeHeight="843">
                <wp:simplePos x="0" y="0"/>
                <wp:positionH relativeFrom="column">
                  <wp:align>left</wp:align>
                </wp:positionH>
                <wp:positionV relativeFrom="line">
                  <wp:align>top</wp:align>
                </wp:positionV>
                <wp:extent cx="127000" cy="350520"/>
                <wp:effectExtent l="0" t="0" r="0" b="0"/>
                <wp:wrapSquare wrapText="right"/>
                <wp:docPr id="947" name="Frame5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Arial;Helvetica;sans-serif" w:hAnsi="Arial;Helvetica;sans-serif"/>
          <w:b w:val="false"/>
          <w:i w:val="false"/>
          <w:caps w:val="false"/>
          <w:smallCaps w:val="false"/>
          <w:color w:val="000000"/>
          <w:spacing w:val="-2"/>
          <w:sz w:val="18"/>
        </w:rPr>
      </w:pPr>
      <w:r>
        <w:rPr>
          <w:rFonts w:ascii="Arial;Helvetica;sans-serif" w:hAnsi="Arial;Helvetica;sans-serif"/>
          <w:b w:val="false"/>
          <w:i w:val="false"/>
          <w:caps w:val="false"/>
          <w:smallCaps w:val="false"/>
          <w:color w:val="000000"/>
          <w:spacing w:val="-2"/>
          <w:sz w:val="18"/>
        </w:rPr>
        <w:t xml:space="preserve">You also may be asked to consider and act upon any other matters that may properly be brought before the Annual Meeting and at any adjournments or postponements thereof.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3575" w:type="dxa"/>
        <w:jc w:val="left"/>
        <w:tblInd w:w="900" w:type="dxa"/>
        <w:tblLayout w:type="fixed"/>
        <w:tblCellMar>
          <w:top w:w="0" w:type="dxa"/>
          <w:left w:w="0" w:type="dxa"/>
          <w:bottom w:w="0" w:type="dxa"/>
          <w:right w:w="0" w:type="dxa"/>
        </w:tblCellMar>
      </w:tblPr>
      <w:tblGrid>
        <w:gridCol w:w="124"/>
        <w:gridCol w:w="2733"/>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2733" w:type="dxa"/>
            <w:tcBorders/>
            <w:vAlign w:val="center"/>
          </w:tcPr>
          <w:p>
            <w:pPr>
              <w:pStyle w:val="TableContents"/>
              <w:bidi w:val="0"/>
              <w:spacing w:lineRule="atLeast" w:line="200" w:before="0" w:after="0"/>
              <w:jc w:val="left"/>
              <w:rPr/>
            </w:pPr>
            <w:r>
              <w:rPr>
                <w:spacing w:val="-2"/>
              </w:rPr>
              <w:t>OTHER INFORMATION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color w:val="1F2668"/>
                <w:sz w:val="24"/>
              </w:rPr>
            </w:pPr>
            <w:r>
              <w:rPr>
                <w:color w:val="1F2668"/>
                <w:sz w:val="24"/>
              </w:rPr>
              <w:t>91</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300" w:before="560" w:after="154"/>
        <w:ind w:left="900" w:right="0" w:hanging="0"/>
        <w:jc w:val="left"/>
        <w:rPr>
          <w:rFonts w:ascii="Arial;Helvetica;sans-serif" w:hAnsi="Arial;Helvetica;sans-serif"/>
          <w:b/>
          <w:i w:val="false"/>
          <w:caps w:val="false"/>
          <w:smallCaps w:val="false"/>
          <w:color w:val="1F2668"/>
          <w:sz w:val="26"/>
        </w:rPr>
      </w:pPr>
      <w:r>
        <w:rPr>
          <w:rFonts w:ascii="Arial;Helvetica;sans-serif" w:hAnsi="Arial;Helvetica;sans-serif"/>
          <w:b/>
          <w:i w:val="false"/>
          <w:caps w:val="false"/>
          <w:smallCaps w:val="false"/>
          <w:color w:val="1F2668"/>
          <w:spacing w:val="-3"/>
          <w:sz w:val="26"/>
        </w:rPr>
        <w:t>What constitutes a quorum?</w:t>
      </w:r>
      <w:r>
        <w:rPr>
          <w:rFonts w:ascii="Arial;Helvetica;sans-serif" w:hAnsi="Arial;Helvetica;sans-serif"/>
          <w:b/>
          <w:i w:val="false"/>
          <w:caps w:val="false"/>
          <w:smallCaps w:val="false"/>
          <w:color w:val="000000"/>
          <w:spacing w:val="5"/>
          <w:sz w:val="26"/>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The presence, in person or by proxy, of holders of a majority of the total number of outstanding shares entitled to vote at the Annual Meeting is necessary to constitute a quorum for the transaction of any business at the Annual Meeting. As of the record date, there were 71,116,386 shares outstanding and entitled to vote at the Annual Meeting.</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5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Each share of our common stock outstanding on the record date is entitled to one vote on each matter properly submitted at the Annual Meeting and, with respect to the election of directors, one vote for each director to be elected. Abstentions and “broker non-votes” ​(i.e., shares represented at the meeting held by brokers, as to which instructions have not been received from the beneficial owners or persons entitled to vote such shares and with respect to which, on a particular matter, the broker does not have discretionary voting power to vote such shares) will be counted for purposes of determining whether a quorum is present for the transaction of business at the Annual Meeting.</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300" w:before="360" w:after="283"/>
        <w:jc w:val="left"/>
        <w:rPr>
          <w:rFonts w:ascii="Arial;Helvetica;sans-serif" w:hAnsi="Arial;Helvetica;sans-serif"/>
          <w:b/>
          <w:i w:val="false"/>
          <w:caps w:val="false"/>
          <w:smallCaps w:val="false"/>
          <w:color w:val="1F2668"/>
          <w:sz w:val="26"/>
        </w:rPr>
      </w:pPr>
      <w:r>
        <w:rPr>
          <w:rFonts w:ascii="Arial;Helvetica;sans-serif" w:hAnsi="Arial;Helvetica;sans-serif"/>
          <w:b/>
          <w:i w:val="false"/>
          <w:caps w:val="false"/>
          <w:smallCaps w:val="false"/>
          <w:color w:val="1F2668"/>
          <w:spacing w:val="-3"/>
          <w:sz w:val="26"/>
        </w:rPr>
        <w:t>What vote is required to approve each proposal?</w:t>
      </w:r>
      <w:r>
        <w:rPr>
          <w:rFonts w:ascii="Arial;Helvetica;sans-serif" w:hAnsi="Arial;Helvetica;sans-serif"/>
          <w:b/>
          <w:i w:val="false"/>
          <w:caps w:val="false"/>
          <w:smallCaps w:val="false"/>
          <w:color w:val="000000"/>
          <w:spacing w:val="5"/>
          <w:sz w:val="26"/>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For Proposal 1, a majority of all the votes cast with respect to a nominee’s election is required for such nominee to be elected to serve on the Board. This means that the number of votes cast “for” a nominee must exceed the number of votes cast “against” such nominee. Abstentions and broker non-votes are not counted as a vote cast either “for” or “against” a nominee, and therefore, will have no effect on the election of directors. For more information on the operation of our majority voting standard in director elections, see the section entitled “Our Board of Directors and Corporate Governance—</w:t>
      </w:r>
      <w:r>
        <w:rPr>
          <w:rFonts w:ascii="Arial;Helvetica;sans-serif" w:hAnsi="Arial;Helvetica;sans-serif"/>
          <w:b w:val="false"/>
          <w:i w:val="false"/>
          <w:caps w:val="false"/>
          <w:smallCaps w:val="false"/>
          <w:color w:val="000000"/>
          <w:sz w:val="18"/>
        </w:rPr>
        <w:t>​</w:t>
      </w:r>
      <w:r>
        <w:rPr>
          <w:rFonts w:ascii="Arial;Helvetica;sans-serif" w:hAnsi="Arial;Helvetica;sans-serif"/>
          <w:b w:val="false"/>
          <w:i w:val="false"/>
          <w:caps w:val="false"/>
          <w:smallCaps w:val="false"/>
          <w:color w:val="000000"/>
          <w:spacing w:val="-2"/>
          <w:sz w:val="18"/>
        </w:rPr>
        <w:t>Corporate Governance—Majority Voting Standard and Director Resignation Policy.”</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5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A majority of all of the votes cast with respect to the proposal is required for approval of each of Proposals 2 and 3. In respect of Proposals 2 and 3, abstentions and broker non-votes are not counted as votes cast, and therefore will have no effect on the votes for these proposals.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300" w:before="360" w:after="283"/>
        <w:jc w:val="left"/>
        <w:rPr>
          <w:rFonts w:ascii="Arial;Helvetica;sans-serif" w:hAnsi="Arial;Helvetica;sans-serif"/>
          <w:b/>
          <w:i w:val="false"/>
          <w:caps w:val="false"/>
          <w:smallCaps w:val="false"/>
          <w:color w:val="1F2668"/>
          <w:sz w:val="26"/>
        </w:rPr>
      </w:pPr>
      <w:r>
        <w:rPr>
          <w:rFonts w:ascii="Arial;Helvetica;sans-serif" w:hAnsi="Arial;Helvetica;sans-serif"/>
          <w:b/>
          <w:i w:val="false"/>
          <w:caps w:val="false"/>
          <w:smallCaps w:val="false"/>
          <w:color w:val="1F2668"/>
          <w:spacing w:val="-3"/>
          <w:sz w:val="26"/>
        </w:rPr>
        <w:t>How do I vote?</w:t>
      </w:r>
      <w:r>
        <w:rPr>
          <w:rFonts w:ascii="Arial;Helvetica;sans-serif" w:hAnsi="Arial;Helvetica;sans-serif"/>
          <w:b/>
          <w:i w:val="false"/>
          <w:caps w:val="false"/>
          <w:smallCaps w:val="false"/>
          <w:color w:val="000000"/>
          <w:spacing w:val="5"/>
          <w:sz w:val="26"/>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caps w:val="false"/>
          <w:smallCaps w:val="false"/>
          <w:color w:val="000000"/>
          <w:sz w:val="18"/>
        </w:rPr>
        <w:t>Voting in Person at the Annual Meeting.</w:t>
      </w:r>
      <w:r>
        <w:rPr>
          <w:rFonts w:ascii="Arial;Helvetica;sans-serif" w:hAnsi="Arial;Helvetica;sans-serif"/>
          <w:b w:val="false"/>
          <w:i w:val="false"/>
          <w:caps w:val="false"/>
          <w:smallCaps w:val="false"/>
          <w:color w:val="000000"/>
          <w:spacing w:val="-2"/>
          <w:sz w:val="18"/>
        </w:rPr>
        <w:t xml:space="preserve"> If you hold your shares in your own name as a holder of record with our transfer agent, Computershare, and attend the Annual Meeting, you may vote in person at the Annual Meeting. If your shares are held by a bank, broker or other nominee, that is, in “street name,” and you wish to vote in person at the Annual Meeting, you will need to obtain a “legal proxy” from the bank, broker or other nominee that holds your shares of record.</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5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caps w:val="false"/>
          <w:smallCaps w:val="false"/>
          <w:color w:val="000000"/>
          <w:sz w:val="18"/>
        </w:rPr>
        <w:t>If you received a paper copy of this Proxy Statement.</w:t>
      </w:r>
      <w:r>
        <w:rPr>
          <w:rFonts w:ascii="Arial;Helvetica;sans-serif" w:hAnsi="Arial;Helvetica;sans-serif"/>
          <w:b w:val="false"/>
          <w:i w:val="false"/>
          <w:caps w:val="false"/>
          <w:smallCaps w:val="false"/>
          <w:color w:val="000000"/>
          <w:spacing w:val="-2"/>
          <w:sz w:val="18"/>
        </w:rPr>
        <w:t xml:space="preserve"> You can vote by valid proxy received by telephone, electronically via the Internet or by mail. The deadline for voting by telephone or electronically via the Internet is 11:59 p.m., Eastern Daylight Time, on June 1, 2026. If voting by mail, you must:</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90" w:after="0"/>
        <w:ind w:left="11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indicate your instructions on the proxy</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20650" distB="0" distL="0" distR="0" simplePos="0" locked="0" layoutInCell="1" allowOverlap="1" relativeHeight="844">
                <wp:simplePos x="0" y="0"/>
                <wp:positionH relativeFrom="column">
                  <wp:align>left</wp:align>
                </wp:positionH>
                <wp:positionV relativeFrom="line">
                  <wp:align>top</wp:align>
                </wp:positionV>
                <wp:extent cx="127000" cy="350520"/>
                <wp:effectExtent l="0" t="0" r="0" b="0"/>
                <wp:wrapSquare wrapText="right"/>
                <wp:docPr id="948" name="Frame5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9.5pt;mso-wrap-distance-bottom:0pt;margin-top:9.5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20" w:before="70" w:after="0"/>
        <w:ind w:left="11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date and sign the proxy</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44450" distB="0" distL="0" distR="0" simplePos="0" locked="0" layoutInCell="1" allowOverlap="1" relativeHeight="845">
                <wp:simplePos x="0" y="0"/>
                <wp:positionH relativeFrom="column">
                  <wp:align>left</wp:align>
                </wp:positionH>
                <wp:positionV relativeFrom="line">
                  <wp:align>top</wp:align>
                </wp:positionV>
                <wp:extent cx="127000" cy="350520"/>
                <wp:effectExtent l="0" t="0" r="0" b="0"/>
                <wp:wrapSquare wrapText="right"/>
                <wp:docPr id="949" name="Frame5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5pt;mso-wrap-distance-bottom:0pt;margin-top:3.5pt;mso-position-vertical:top;mso-position-vertical-relative:text;margin-left:1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20" w:before="70" w:after="0"/>
        <w:ind w:left="11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promptly mail the proxy in the enclosed envelope</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44450" distB="0" distL="0" distR="0" simplePos="0" locked="0" layoutInCell="1" allowOverlap="1" relativeHeight="846">
                <wp:simplePos x="0" y="0"/>
                <wp:positionH relativeFrom="column">
                  <wp:align>left</wp:align>
                </wp:positionH>
                <wp:positionV relativeFrom="line">
                  <wp:align>top</wp:align>
                </wp:positionV>
                <wp:extent cx="127000" cy="350520"/>
                <wp:effectExtent l="0" t="0" r="0" b="0"/>
                <wp:wrapSquare wrapText="right"/>
                <wp:docPr id="950" name="Frame5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5pt;mso-wrap-distance-bottom:0pt;margin-top:3.5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20" w:before="70" w:after="0"/>
        <w:ind w:left="11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allow sufficient time for the proxy to be received before the date of the Annual Meeting</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44450" distB="0" distL="0" distR="0" simplePos="0" locked="0" layoutInCell="1" allowOverlap="1" relativeHeight="847">
                <wp:simplePos x="0" y="0"/>
                <wp:positionH relativeFrom="column">
                  <wp:align>left</wp:align>
                </wp:positionH>
                <wp:positionV relativeFrom="line">
                  <wp:align>top</wp:align>
                </wp:positionV>
                <wp:extent cx="127000" cy="350520"/>
                <wp:effectExtent l="0" t="0" r="0" b="0"/>
                <wp:wrapSquare wrapText="right"/>
                <wp:docPr id="951" name="Frame5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5pt;mso-wrap-distance-bottom:0pt;margin-top:3.5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If your shares are held in “street name” such as in a stock brokerage account, by a bank or other nominee, please follow the instructions you received from your broker with respect to the voting of your shares.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5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caps w:val="false"/>
          <w:smallCaps w:val="false"/>
          <w:color w:val="000000"/>
          <w:sz w:val="18"/>
        </w:rPr>
        <w:t>If you received a Notice of Internet Availability of Proxy Statement.</w:t>
      </w:r>
      <w:r>
        <w:rPr>
          <w:rFonts w:ascii="Arial;Helvetica;sans-serif" w:hAnsi="Arial;Helvetica;sans-serif"/>
          <w:b w:val="false"/>
          <w:i w:val="false"/>
          <w:caps w:val="false"/>
          <w:smallCaps w:val="false"/>
          <w:color w:val="000000"/>
          <w:spacing w:val="-2"/>
          <w:sz w:val="18"/>
        </w:rPr>
        <w:t xml:space="preserve"> Please submit your proxy electronically via the Internet using the instructions included in the Notice. The deadline for voting electronically via the Internet is 11:59 p.m., Eastern Daylight Time, on June 1, 2026.</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5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caps w:val="false"/>
          <w:smallCaps w:val="false"/>
          <w:color w:val="000000"/>
          <w:sz w:val="18"/>
        </w:rPr>
        <w:t>If you received an e-mail copy of this Proxy Statement.</w:t>
      </w:r>
      <w:r>
        <w:rPr>
          <w:rFonts w:ascii="Arial;Helvetica;sans-serif" w:hAnsi="Arial;Helvetica;sans-serif"/>
          <w:b w:val="false"/>
          <w:i w:val="false"/>
          <w:caps w:val="false"/>
          <w:smallCaps w:val="false"/>
          <w:color w:val="000000"/>
          <w:spacing w:val="-2"/>
          <w:sz w:val="18"/>
        </w:rPr>
        <w:t xml:space="preserve"> Please submit your proxy electronically via the Internet or telephonically using the instructions included on the Proxy Card. The deadline for voting electronically via the Internet or telephonically is 11:59 p.m., Eastern Daylight Time, on June 1, 2026.</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5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If you have any questions regarding how to authorize your proxy by telephone or via the Internet, please call MacKenzie Partners, Inc., toll-free at (800) 322-2885 or collect at (212) 929-5500.</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Even if you plan to attend the Annual Meeting, we recommend that you submit a proxy to vote your shares in advance so that your vote will be counted if you later are unable to attend the Annual Meeting.</w:t>
      </w:r>
      <w:r>
        <w:rPr>
          <w:rFonts w:ascii="Arial;Helvetica;sans-serif" w:hAnsi="Arial;Helvetica;sans-serif"/>
          <w:b w:val="false"/>
          <w:i w:val="false"/>
          <w:caps w:val="false"/>
          <w:smallCaps w:val="false"/>
          <w:color w:val="000000"/>
          <w:spacing w:val="4"/>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225" w:type="dxa"/>
        <w:jc w:val="left"/>
        <w:tblInd w:w="900" w:type="dxa"/>
        <w:tblLayout w:type="fixed"/>
        <w:tblCellMar>
          <w:top w:w="0" w:type="dxa"/>
          <w:left w:w="0" w:type="dxa"/>
          <w:bottom w:w="0" w:type="dxa"/>
          <w:right w:w="0" w:type="dxa"/>
        </w:tblCellMar>
      </w:tblPr>
      <w:tblGrid>
        <w:gridCol w:w="124"/>
        <w:gridCol w:w="346"/>
        <w:gridCol w:w="109"/>
        <w:gridCol w:w="109"/>
        <w:gridCol w:w="4383"/>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92</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383" w:type="dxa"/>
            <w:tcBorders/>
            <w:vAlign w:val="center"/>
          </w:tcPr>
          <w:p>
            <w:pPr>
              <w:pStyle w:val="TableContents"/>
              <w:bidi w:val="0"/>
              <w:spacing w:lineRule="atLeast" w:line="200" w:before="0" w:after="0"/>
              <w:jc w:val="left"/>
              <w:rPr/>
            </w:pPr>
            <w:r>
              <w:rPr>
                <w:spacing w:val="-2"/>
              </w:rPr>
              <w:t>    </w:t>
            </w:r>
            <w:r>
              <w:rPr>
                <w:spacing w:val="-2"/>
                <w:sz w:val="16"/>
              </w:rPr>
              <w:t>SL GREEN REALTY CORP. 2026 PROXY STATEMENT</w:t>
            </w:r>
            <w:r>
              <w:rPr>
                <w:sz w:val="16"/>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300" w:before="560" w:after="154"/>
        <w:ind w:left="900" w:right="0" w:hanging="0"/>
        <w:jc w:val="left"/>
        <w:rPr>
          <w:rFonts w:ascii="Arial;Helvetica;sans-serif" w:hAnsi="Arial;Helvetica;sans-serif"/>
          <w:b/>
          <w:i w:val="false"/>
          <w:caps w:val="false"/>
          <w:smallCaps w:val="false"/>
          <w:color w:val="1F2668"/>
          <w:sz w:val="26"/>
        </w:rPr>
      </w:pPr>
      <w:r>
        <w:rPr>
          <w:rFonts w:ascii="Arial;Helvetica;sans-serif" w:hAnsi="Arial;Helvetica;sans-serif"/>
          <w:b/>
          <w:i w:val="false"/>
          <w:caps w:val="false"/>
          <w:smallCaps w:val="false"/>
          <w:color w:val="1F2668"/>
          <w:spacing w:val="-3"/>
          <w:sz w:val="26"/>
        </w:rPr>
        <w:t>Can I change my vote after I have voted?</w:t>
      </w:r>
      <w:r>
        <w:rPr>
          <w:rFonts w:ascii="Arial;Helvetica;sans-serif" w:hAnsi="Arial;Helvetica;sans-serif"/>
          <w:b/>
          <w:i w:val="false"/>
          <w:caps w:val="false"/>
          <w:smallCaps w:val="false"/>
          <w:color w:val="000000"/>
          <w:spacing w:val="5"/>
          <w:sz w:val="26"/>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If you cast a vote by proxy, you may revoke it at any time before it is voted by:</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80" w:after="0"/>
        <w:ind w:left="11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filing a written notice revoking the proxy with our Secretary at our address;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14300" distB="0" distL="0" distR="0" simplePos="0" locked="0" layoutInCell="1" allowOverlap="1" relativeHeight="848">
                <wp:simplePos x="0" y="0"/>
                <wp:positionH relativeFrom="column">
                  <wp:align>left</wp:align>
                </wp:positionH>
                <wp:positionV relativeFrom="line">
                  <wp:align>top</wp:align>
                </wp:positionV>
                <wp:extent cx="127000" cy="350520"/>
                <wp:effectExtent l="0" t="0" r="0" b="0"/>
                <wp:wrapSquare wrapText="right"/>
                <wp:docPr id="952" name="Frame5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9pt;mso-wrap-distance-bottom:0pt;margin-top:9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20" w:before="60" w:after="0"/>
        <w:ind w:left="11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properly signing and forwarding to us a proxy with a later date; or</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38100" distB="0" distL="0" distR="0" simplePos="0" locked="0" layoutInCell="1" allowOverlap="1" relativeHeight="849">
                <wp:simplePos x="0" y="0"/>
                <wp:positionH relativeFrom="column">
                  <wp:align>left</wp:align>
                </wp:positionH>
                <wp:positionV relativeFrom="line">
                  <wp:align>top</wp:align>
                </wp:positionV>
                <wp:extent cx="127000" cy="350520"/>
                <wp:effectExtent l="0" t="0" r="0" b="0"/>
                <wp:wrapSquare wrapText="right"/>
                <wp:docPr id="953" name="Frame5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1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20" w:before="60" w:after="0"/>
        <w:ind w:left="11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voting during the Annual Meeting</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38100" distB="0" distL="0" distR="0" simplePos="0" locked="0" layoutInCell="1" allowOverlap="1" relativeHeight="850">
                <wp:simplePos x="0" y="0"/>
                <wp:positionH relativeFrom="column">
                  <wp:align>left</wp:align>
                </wp:positionH>
                <wp:positionV relativeFrom="line">
                  <wp:align>top</wp:align>
                </wp:positionV>
                <wp:extent cx="127000" cy="350520"/>
                <wp:effectExtent l="0" t="0" r="0" b="0"/>
                <wp:wrapSquare wrapText="right"/>
                <wp:docPr id="954" name="Frame6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If you attend the Annual Meeting, you may vote whether or not you previously have given a proxy, but your attendance (without further action) at the Annual Meeting will not constitute revocation of a previously given proxy. Unless you have received a legal proxy to vote the shares, if you hold your shares through a bank, broker or other nominee, that is, in “street name,” only that bank, broker or other nominee can revoke your proxy on your behalf.</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You may revoke a proxy for shares held by a bank, broker or other nominee by submitting new voting instructions to the bank, broker or other nominee, or by attending the Annual Meeting and voting during the meeting. See “</w:t>
      </w:r>
      <w:r>
        <w:rPr>
          <w:rFonts w:ascii="Arial;Helvetica;sans-serif" w:hAnsi="Arial;Helvetica;sans-serif"/>
          <w:b w:val="false"/>
          <w:i/>
          <w:caps w:val="false"/>
          <w:smallCaps w:val="false"/>
          <w:color w:val="000000"/>
          <w:sz w:val="18"/>
        </w:rPr>
        <w:t>How Do I Vote?—</w:t>
      </w:r>
      <w:r>
        <w:rPr>
          <w:rFonts w:ascii="Arial;Helvetica;sans-serif" w:hAnsi="Arial;Helvetica;sans-serif"/>
          <w:b w:val="false"/>
          <w:i w:val="false"/>
          <w:caps w:val="false"/>
          <w:smallCaps w:val="false"/>
          <w:color w:val="000000"/>
          <w:sz w:val="18"/>
        </w:rPr>
        <w:t>​</w:t>
      </w:r>
      <w:r>
        <w:rPr>
          <w:rFonts w:ascii="Arial;Helvetica;sans-serif" w:hAnsi="Arial;Helvetica;sans-serif"/>
          <w:b w:val="false"/>
          <w:i/>
          <w:caps w:val="false"/>
          <w:smallCaps w:val="false"/>
          <w:color w:val="000000"/>
          <w:sz w:val="18"/>
        </w:rPr>
        <w:t>Voting in Person at the Annual Meeting”</w:t>
      </w:r>
      <w:r>
        <w:rPr>
          <w:rFonts w:ascii="Arial;Helvetica;sans-serif" w:hAnsi="Arial;Helvetica;sans-serif"/>
          <w:b w:val="false"/>
          <w:i w:val="false"/>
          <w:caps w:val="false"/>
          <w:smallCaps w:val="false"/>
          <w:color w:val="000000"/>
          <w:spacing w:val="-2"/>
          <w:sz w:val="18"/>
        </w:rPr>
        <w:t xml:space="preserve"> above.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300" w:before="360" w:after="283"/>
        <w:jc w:val="left"/>
        <w:rPr>
          <w:rFonts w:ascii="Arial;Helvetica;sans-serif" w:hAnsi="Arial;Helvetica;sans-serif"/>
          <w:b/>
          <w:i w:val="false"/>
          <w:caps w:val="false"/>
          <w:smallCaps w:val="false"/>
          <w:color w:val="1F2668"/>
          <w:sz w:val="26"/>
        </w:rPr>
      </w:pPr>
      <w:r>
        <w:rPr>
          <w:rFonts w:ascii="Arial;Helvetica;sans-serif" w:hAnsi="Arial;Helvetica;sans-serif"/>
          <w:b/>
          <w:i w:val="false"/>
          <w:caps w:val="false"/>
          <w:smallCaps w:val="false"/>
          <w:color w:val="1F2668"/>
          <w:spacing w:val="-3"/>
          <w:sz w:val="26"/>
        </w:rPr>
        <w:t>How is my vote counted?</w:t>
      </w:r>
      <w:r>
        <w:rPr>
          <w:rFonts w:ascii="Arial;Helvetica;sans-serif" w:hAnsi="Arial;Helvetica;sans-serif"/>
          <w:b/>
          <w:i w:val="false"/>
          <w:caps w:val="false"/>
          <w:smallCaps w:val="false"/>
          <w:color w:val="000000"/>
          <w:spacing w:val="5"/>
          <w:sz w:val="26"/>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If you authorize your proxy to vote your shares electronically via the Internet or by telephone, or, if you received a proxy card by mail and you properly marked, signed, dated and returned it, the shares that the proxy represents will be voted in the manner specified on the proxy. If no specification is made, your shares will be voted “for” the election of the nominees for directors named in this proxy statement, “for” advisory approval of the compensation of our named executive officers and “for” ratification of the appointment of Deloitte &amp; Touche LLP as our independent registered public accounting firm for the fiscal year ending December 31, 2026. It is not anticipated that any matters other than those set forth in this proxy statement will be presented at the Annual Meeting. If other matters are presented, proxies will be voted in accordance with the discretion of the proxy holders.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300" w:before="360" w:after="283"/>
        <w:jc w:val="left"/>
        <w:rPr>
          <w:rFonts w:ascii="Arial;Helvetica;sans-serif" w:hAnsi="Arial;Helvetica;sans-serif"/>
          <w:b/>
          <w:i w:val="false"/>
          <w:caps w:val="false"/>
          <w:smallCaps w:val="false"/>
          <w:color w:val="1F2668"/>
          <w:sz w:val="26"/>
        </w:rPr>
      </w:pPr>
      <w:r>
        <w:rPr>
          <w:rFonts w:ascii="Arial;Helvetica;sans-serif" w:hAnsi="Arial;Helvetica;sans-serif"/>
          <w:b/>
          <w:i w:val="false"/>
          <w:caps w:val="false"/>
          <w:smallCaps w:val="false"/>
          <w:color w:val="1F2668"/>
          <w:spacing w:val="-3"/>
          <w:sz w:val="26"/>
        </w:rPr>
        <w:t>How does the Board recommend that I vote on each of the proposals?</w:t>
      </w:r>
      <w:r>
        <w:rPr>
          <w:rFonts w:ascii="Arial;Helvetica;sans-serif" w:hAnsi="Arial;Helvetica;sans-serif"/>
          <w:b/>
          <w:i w:val="false"/>
          <w:caps w:val="false"/>
          <w:smallCaps w:val="false"/>
          <w:color w:val="000000"/>
          <w:spacing w:val="5"/>
          <w:sz w:val="26"/>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The Board recommends that you vote:</w:t>
      </w:r>
      <w:r>
        <w:rPr>
          <w:rFonts w:ascii="Arial;Helvetica;sans-serif" w:hAnsi="Arial;Helvetica;sans-serif"/>
          <w:b w:val="false"/>
          <w:i w:val="false"/>
          <w:caps w:val="false"/>
          <w:smallCaps w:val="false"/>
          <w:color w:val="000000"/>
          <w:spacing w:val="4"/>
          <w:sz w:val="18"/>
        </w:rPr>
        <w:t xml:space="preserve"> </w:t>
      </w:r>
    </w:p>
    <w:tbl>
      <w:tblPr>
        <w:tblW w:w="9305" w:type="dxa"/>
        <w:jc w:val="left"/>
        <w:tblInd w:w="900" w:type="dxa"/>
        <w:tblLayout w:type="fixed"/>
        <w:tblCellMar>
          <w:top w:w="0" w:type="dxa"/>
          <w:left w:w="0" w:type="dxa"/>
          <w:bottom w:w="50" w:type="dxa"/>
          <w:right w:w="0" w:type="dxa"/>
        </w:tblCellMar>
      </w:tblPr>
      <w:tblGrid>
        <w:gridCol w:w="2995"/>
        <w:gridCol w:w="109"/>
        <w:gridCol w:w="109"/>
        <w:gridCol w:w="634"/>
        <w:gridCol w:w="109"/>
        <w:gridCol w:w="109"/>
        <w:gridCol w:w="5084"/>
        <w:gridCol w:w="156"/>
      </w:tblGrid>
      <w:tr>
        <w:trPr/>
        <w:tc>
          <w:tcPr>
            <w:tcW w:w="2995" w:type="dxa"/>
            <w:tcBorders>
              <w:bottom w:val="single" w:sz="8" w:space="0" w:color="83AD40"/>
            </w:tcBorders>
            <w:vAlign w:val="center"/>
          </w:tcPr>
          <w:p>
            <w:pPr>
              <w:pStyle w:val="TableContents"/>
              <w:bidi w:val="0"/>
              <w:spacing w:before="0" w:after="0"/>
              <w:jc w:val="left"/>
              <w:rPr>
                <w:spacing w:val="-2"/>
              </w:rPr>
            </w:pPr>
            <w:r>
              <w:rPr>
                <w:spacing w:val="-2"/>
              </w:rPr>
              <w:t xml:space="preserve">Item </w:t>
            </w:r>
          </w:p>
        </w:tc>
        <w:tc>
          <w:tcPr>
            <w:tcW w:w="109" w:type="dxa"/>
            <w:tcBorders>
              <w:bottom w:val="single" w:sz="8" w:space="0" w:color="83AD40"/>
            </w:tcBorders>
            <w:tcMar>
              <w:bottom w:w="28" w:type="dxa"/>
            </w:tcMar>
            <w:vAlign w:val="center"/>
          </w:tcPr>
          <w:p>
            <w:pPr>
              <w:pStyle w:val="TableContents"/>
              <w:bidi w:val="0"/>
              <w:spacing w:before="0" w:after="283"/>
              <w:jc w:val="left"/>
              <w:rPr/>
            </w:pPr>
            <w:r>
              <w:rPr/>
              <w:t>​</w:t>
            </w:r>
          </w:p>
        </w:tc>
        <w:tc>
          <w:tcPr>
            <w:tcW w:w="109" w:type="dxa"/>
            <w:tcBorders>
              <w:bottom w:val="single" w:sz="8" w:space="0" w:color="83AD40"/>
            </w:tcBorders>
            <w:tcMar>
              <w:bottom w:w="28" w:type="dxa"/>
            </w:tcMar>
            <w:vAlign w:val="center"/>
          </w:tcPr>
          <w:p>
            <w:pPr>
              <w:pStyle w:val="TableContents"/>
              <w:bidi w:val="0"/>
              <w:spacing w:before="0" w:after="283"/>
              <w:jc w:val="left"/>
              <w:rPr/>
            </w:pPr>
            <w:r>
              <w:rPr/>
              <w:t>​</w:t>
            </w:r>
          </w:p>
        </w:tc>
        <w:tc>
          <w:tcPr>
            <w:tcW w:w="634" w:type="dxa"/>
            <w:tcBorders>
              <w:bottom w:val="single" w:sz="8" w:space="0" w:color="83AD40"/>
            </w:tcBorders>
            <w:tcMar>
              <w:bottom w:w="28" w:type="dxa"/>
            </w:tcMar>
            <w:vAlign w:val="center"/>
          </w:tcPr>
          <w:p>
            <w:pPr>
              <w:pStyle w:val="TableContents"/>
              <w:bidi w:val="0"/>
              <w:spacing w:before="0" w:after="283"/>
              <w:jc w:val="left"/>
              <w:rPr/>
            </w:pPr>
            <w:r>
              <w:rPr/>
              <w:t>​</w:t>
            </w:r>
          </w:p>
        </w:tc>
        <w:tc>
          <w:tcPr>
            <w:tcW w:w="109" w:type="dxa"/>
            <w:tcBorders>
              <w:bottom w:val="single" w:sz="8" w:space="0" w:color="83AD40"/>
            </w:tcBorders>
            <w:tcMar>
              <w:bottom w:w="28" w:type="dxa"/>
            </w:tcMar>
            <w:vAlign w:val="center"/>
          </w:tcPr>
          <w:p>
            <w:pPr>
              <w:pStyle w:val="TableContents"/>
              <w:bidi w:val="0"/>
              <w:spacing w:before="0" w:after="283"/>
              <w:jc w:val="left"/>
              <w:rPr/>
            </w:pPr>
            <w:r>
              <w:rPr/>
              <w:t>​</w:t>
            </w:r>
          </w:p>
        </w:tc>
        <w:tc>
          <w:tcPr>
            <w:tcW w:w="109" w:type="dxa"/>
            <w:tcBorders>
              <w:bottom w:val="single" w:sz="8" w:space="0" w:color="83AD40"/>
            </w:tcBorders>
            <w:tcMar>
              <w:bottom w:w="28" w:type="dxa"/>
            </w:tcMar>
            <w:vAlign w:val="center"/>
          </w:tcPr>
          <w:p>
            <w:pPr>
              <w:pStyle w:val="TableContents"/>
              <w:bidi w:val="0"/>
              <w:spacing w:before="0" w:after="283"/>
              <w:jc w:val="left"/>
              <w:rPr/>
            </w:pPr>
            <w:r>
              <w:rPr/>
              <w:t>​</w:t>
            </w:r>
          </w:p>
        </w:tc>
        <w:tc>
          <w:tcPr>
            <w:tcW w:w="5084" w:type="dxa"/>
            <w:tcBorders>
              <w:bottom w:val="single" w:sz="8" w:space="0" w:color="83AD40"/>
            </w:tcBorders>
            <w:vAlign w:val="center"/>
          </w:tcPr>
          <w:p>
            <w:pPr>
              <w:pStyle w:val="TableContents"/>
              <w:bidi w:val="0"/>
              <w:spacing w:before="0" w:after="0"/>
              <w:jc w:val="left"/>
              <w:rPr>
                <w:spacing w:val="-2"/>
              </w:rPr>
            </w:pPr>
            <w:r>
              <w:rPr>
                <w:spacing w:val="-2"/>
              </w:rPr>
              <w:t xml:space="preserve">Board Recommendation </w:t>
            </w:r>
          </w:p>
        </w:tc>
        <w:tc>
          <w:tcPr>
            <w:tcW w:w="156" w:type="dxa"/>
            <w:tcBorders>
              <w:bottom w:val="single" w:sz="8" w:space="0" w:color="83AD40"/>
            </w:tcBorders>
            <w:tcMar>
              <w:bottom w:w="28" w:type="dxa"/>
            </w:tcMar>
            <w:vAlign w:val="center"/>
          </w:tcPr>
          <w:p>
            <w:pPr>
              <w:pStyle w:val="TableContents"/>
              <w:bidi w:val="0"/>
              <w:spacing w:before="0" w:after="283"/>
              <w:jc w:val="left"/>
              <w:rPr/>
            </w:pPr>
            <w:r>
              <w:rPr/>
              <w:t>​</w:t>
            </w:r>
          </w:p>
        </w:tc>
      </w:tr>
      <w:tr>
        <w:trPr/>
        <w:tc>
          <w:tcPr>
            <w:tcW w:w="2995" w:type="dxa"/>
            <w:tcBorders>
              <w:bottom w:val="single" w:sz="2" w:space="0" w:color="000000"/>
            </w:tcBorders>
            <w:tcMar>
              <w:bottom w:w="97" w:type="dxa"/>
            </w:tcMar>
            <w:vAlign w:val="center"/>
          </w:tcPr>
          <w:p>
            <w:pPr>
              <w:pStyle w:val="TableContents"/>
              <w:bidi w:val="0"/>
              <w:spacing w:lineRule="atLeast" w:line="220" w:before="0" w:after="283"/>
              <w:jc w:val="left"/>
              <w:rPr>
                <w:b/>
              </w:rPr>
            </w:pPr>
            <w:r>
              <w:rPr>
                <w:b/>
                <w:color w:val="1F2668"/>
                <w:spacing w:val="-2"/>
              </w:rPr>
              <w:t>Proposal 1:</w:t>
            </w:r>
            <w:r>
              <w:rPr>
                <w:b/>
                <w:spacing w:val="-2"/>
              </w:rPr>
              <w:t xml:space="preserve"> </w:t>
            </w:r>
            <w:r>
              <w:rPr>
                <w:b w:val="false"/>
                <w:spacing w:val="-2"/>
              </w:rPr>
              <w:t xml:space="preserve">Election of Directors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634" w:type="dxa"/>
            <w:tcBorders>
              <w:bottom w:val="single" w:sz="2" w:space="0" w:color="000000"/>
            </w:tcBorders>
            <w:tcMar>
              <w:bottom w:w="28" w:type="dxa"/>
            </w:tcMar>
            <w:vAlign w:val="center"/>
          </w:tcPr>
          <w:p>
            <w:pPr>
              <w:pStyle w:val="TableContents"/>
              <w:bidi w:val="0"/>
              <w:spacing w:before="0" w:after="0"/>
              <w:jc w:val="center"/>
              <w:rPr/>
            </w:pPr>
            <w:r>
              <w:rPr/>
              <w:drawing>
                <wp:inline distT="0" distB="0" distL="0" distR="0">
                  <wp:extent cx="342900" cy="342900"/>
                  <wp:effectExtent l="0" t="0" r="0" b="0"/>
                  <wp:docPr id="955" name="Image2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5" name="Image257" descr=""/>
                          <pic:cNvPicPr>
                            <a:picLocks noChangeAspect="1" noChangeArrowheads="1"/>
                          </pic:cNvPicPr>
                        </pic:nvPicPr>
                        <pic:blipFill>
                          <a:blip r:embed="rId362"/>
                          <a:stretch>
                            <a:fillRect/>
                          </a:stretch>
                        </pic:blipFill>
                        <pic:spPr bwMode="auto">
                          <a:xfrm>
                            <a:off x="0" y="0"/>
                            <a:ext cx="342900" cy="342900"/>
                          </a:xfrm>
                          <a:prstGeom prst="rect">
                            <a:avLst/>
                          </a:prstGeom>
                        </pic:spPr>
                      </pic:pic>
                    </a:graphicData>
                  </a:graphic>
                </wp:inline>
              </w:drawing>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5084" w:type="dxa"/>
            <w:tcBorders>
              <w:bottom w:val="single" w:sz="2" w:space="0" w:color="000000"/>
            </w:tcBorders>
            <w:tcMar>
              <w:bottom w:w="97" w:type="dxa"/>
            </w:tcMar>
            <w:vAlign w:val="center"/>
          </w:tcPr>
          <w:p>
            <w:pPr>
              <w:pStyle w:val="TableContents"/>
              <w:bidi w:val="0"/>
              <w:spacing w:lineRule="atLeast" w:line="220" w:before="0" w:after="283"/>
              <w:jc w:val="left"/>
              <w:rPr/>
            </w:pPr>
            <w:r>
              <w:rPr>
                <w:b/>
                <w:color w:val="1F2668"/>
                <w:spacing w:val="-2"/>
              </w:rPr>
              <w:t>FOR</w:t>
            </w:r>
            <w:r>
              <w:rPr>
                <w:spacing w:val="-2"/>
              </w:rPr>
              <w:t xml:space="preserve"> the election of John H. Alschuler, Carol N. Brown, Lauren B. Dillard, Stephen L. Green, Craig M. Hatkoff, Marc Holliday, Peggy Lamb and Andrew W. Mathias as directors to serve on the Board for a one-year term and until their successors are duly elected and qualify </w:t>
            </w:r>
          </w:p>
        </w:tc>
        <w:tc>
          <w:tcPr>
            <w:tcW w:w="156" w:type="dxa"/>
            <w:tcBorders>
              <w:bottom w:val="single" w:sz="2" w:space="0" w:color="000000"/>
            </w:tcBorders>
            <w:tcMar>
              <w:bottom w:w="28" w:type="dxa"/>
            </w:tcMar>
            <w:vAlign w:val="center"/>
          </w:tcPr>
          <w:p>
            <w:pPr>
              <w:pStyle w:val="TableContents"/>
              <w:bidi w:val="0"/>
              <w:spacing w:before="0" w:after="283"/>
              <w:jc w:val="left"/>
              <w:rPr/>
            </w:pPr>
            <w:r>
              <w:rPr/>
              <w:t>​</w:t>
            </w:r>
          </w:p>
        </w:tc>
      </w:tr>
      <w:tr>
        <w:trPr/>
        <w:tc>
          <w:tcPr>
            <w:tcW w:w="2995" w:type="dxa"/>
            <w:tcBorders>
              <w:bottom w:val="single" w:sz="2" w:space="0" w:color="000000"/>
            </w:tcBorders>
            <w:tcMar>
              <w:bottom w:w="97" w:type="dxa"/>
            </w:tcMar>
            <w:vAlign w:val="center"/>
          </w:tcPr>
          <w:p>
            <w:pPr>
              <w:pStyle w:val="TableContents"/>
              <w:bidi w:val="0"/>
              <w:spacing w:lineRule="atLeast" w:line="220" w:before="0" w:after="0"/>
              <w:jc w:val="left"/>
              <w:rPr/>
            </w:pPr>
            <w:r>
              <w:rPr>
                <w:b/>
                <w:color w:val="1F2668"/>
                <w:spacing w:val="-2"/>
              </w:rPr>
              <w:t>Proposal 2:</w:t>
            </w:r>
            <w:r>
              <w:rPr>
                <w:spacing w:val="-2"/>
              </w:rPr>
              <w:t xml:space="preserve"> Approval of an Advisory Resolution Approving the Compensation of Our Named Executive Officers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634" w:type="dxa"/>
            <w:tcBorders>
              <w:bottom w:val="single" w:sz="2" w:space="0" w:color="000000"/>
            </w:tcBorders>
            <w:tcMar>
              <w:bottom w:w="155" w:type="dxa"/>
            </w:tcMar>
            <w:vAlign w:val="center"/>
          </w:tcPr>
          <w:p>
            <w:pPr>
              <w:pStyle w:val="TableContents"/>
              <w:bidi w:val="0"/>
              <w:spacing w:before="0" w:after="0"/>
              <w:jc w:val="center"/>
              <w:rPr/>
            </w:pPr>
            <w:r>
              <w:rPr/>
              <w:drawing>
                <wp:inline distT="0" distB="0" distL="0" distR="0">
                  <wp:extent cx="342900" cy="342900"/>
                  <wp:effectExtent l="0" t="0" r="0" b="0"/>
                  <wp:docPr id="956" name="Image2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6" name="Image258" descr=""/>
                          <pic:cNvPicPr>
                            <a:picLocks noChangeAspect="1" noChangeArrowheads="1"/>
                          </pic:cNvPicPr>
                        </pic:nvPicPr>
                        <pic:blipFill>
                          <a:blip r:embed="rId363"/>
                          <a:stretch>
                            <a:fillRect/>
                          </a:stretch>
                        </pic:blipFill>
                        <pic:spPr bwMode="auto">
                          <a:xfrm>
                            <a:off x="0" y="0"/>
                            <a:ext cx="342900" cy="342900"/>
                          </a:xfrm>
                          <a:prstGeom prst="rect">
                            <a:avLst/>
                          </a:prstGeom>
                        </pic:spPr>
                      </pic:pic>
                    </a:graphicData>
                  </a:graphic>
                </wp:inline>
              </w:drawing>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5084" w:type="dxa"/>
            <w:tcBorders>
              <w:bottom w:val="single" w:sz="2" w:space="0" w:color="000000"/>
            </w:tcBorders>
            <w:tcMar>
              <w:bottom w:w="97" w:type="dxa"/>
            </w:tcMar>
            <w:vAlign w:val="center"/>
          </w:tcPr>
          <w:p>
            <w:pPr>
              <w:pStyle w:val="TableContents"/>
              <w:bidi w:val="0"/>
              <w:spacing w:lineRule="atLeast" w:line="220" w:before="0" w:after="0"/>
              <w:jc w:val="left"/>
              <w:rPr/>
            </w:pPr>
            <w:r>
              <w:rPr>
                <w:b/>
                <w:color w:val="1F2668"/>
                <w:spacing w:val="-2"/>
              </w:rPr>
              <w:t>FOR</w:t>
            </w:r>
            <w:r>
              <w:rPr>
                <w:spacing w:val="-2"/>
              </w:rPr>
              <w:t xml:space="preserve"> the approval of an advisory resolution approving the compensation of our named executive officers as disclosed in this proxy statement pursuant to Item 402 of Regulation S-K </w:t>
            </w:r>
          </w:p>
        </w:tc>
        <w:tc>
          <w:tcPr>
            <w:tcW w:w="156" w:type="dxa"/>
            <w:tcBorders>
              <w:bottom w:val="single" w:sz="2" w:space="0" w:color="000000"/>
            </w:tcBorders>
            <w:tcMar>
              <w:bottom w:w="28" w:type="dxa"/>
            </w:tcMar>
            <w:vAlign w:val="center"/>
          </w:tcPr>
          <w:p>
            <w:pPr>
              <w:pStyle w:val="TableContents"/>
              <w:bidi w:val="0"/>
              <w:spacing w:before="0" w:after="283"/>
              <w:jc w:val="left"/>
              <w:rPr/>
            </w:pPr>
            <w:r>
              <w:rPr/>
              <w:t>​</w:t>
            </w:r>
          </w:p>
        </w:tc>
      </w:tr>
      <w:tr>
        <w:trPr/>
        <w:tc>
          <w:tcPr>
            <w:tcW w:w="2995" w:type="dxa"/>
            <w:tcBorders>
              <w:bottom w:val="single" w:sz="8" w:space="0" w:color="83AD40"/>
            </w:tcBorders>
            <w:tcMar>
              <w:bottom w:w="130" w:type="dxa"/>
            </w:tcMar>
            <w:vAlign w:val="center"/>
          </w:tcPr>
          <w:p>
            <w:pPr>
              <w:pStyle w:val="TableContents"/>
              <w:bidi w:val="0"/>
              <w:spacing w:lineRule="atLeast" w:line="220" w:before="0" w:after="0"/>
              <w:jc w:val="left"/>
              <w:rPr/>
            </w:pPr>
            <w:r>
              <w:rPr>
                <w:b/>
                <w:color w:val="1F2668"/>
                <w:spacing w:val="-2"/>
              </w:rPr>
              <w:t>Proposal 3:</w:t>
            </w:r>
            <w:r>
              <w:rPr>
                <w:spacing w:val="-2"/>
              </w:rPr>
              <w:t xml:space="preserve"> The Ratification of the Appointment of Deloitte &amp; Touche LLP as Our Independent Registered Public Accounting Firm </w:t>
            </w:r>
          </w:p>
        </w:tc>
        <w:tc>
          <w:tcPr>
            <w:tcW w:w="109" w:type="dxa"/>
            <w:tcBorders>
              <w:bottom w:val="single" w:sz="8" w:space="0" w:color="83AD40"/>
            </w:tcBorders>
            <w:tcMar>
              <w:bottom w:w="28" w:type="dxa"/>
            </w:tcMar>
            <w:vAlign w:val="center"/>
          </w:tcPr>
          <w:p>
            <w:pPr>
              <w:pStyle w:val="TableContents"/>
              <w:bidi w:val="0"/>
              <w:spacing w:before="0" w:after="283"/>
              <w:jc w:val="left"/>
              <w:rPr/>
            </w:pPr>
            <w:r>
              <w:rPr/>
              <w:t>​</w:t>
            </w:r>
          </w:p>
        </w:tc>
        <w:tc>
          <w:tcPr>
            <w:tcW w:w="109" w:type="dxa"/>
            <w:tcBorders>
              <w:bottom w:val="single" w:sz="8" w:space="0" w:color="83AD40"/>
            </w:tcBorders>
            <w:tcMar>
              <w:bottom w:w="28" w:type="dxa"/>
            </w:tcMar>
            <w:vAlign w:val="center"/>
          </w:tcPr>
          <w:p>
            <w:pPr>
              <w:pStyle w:val="TableContents"/>
              <w:bidi w:val="0"/>
              <w:spacing w:before="0" w:after="283"/>
              <w:jc w:val="left"/>
              <w:rPr/>
            </w:pPr>
            <w:r>
              <w:rPr/>
              <w:t>​</w:t>
            </w:r>
          </w:p>
        </w:tc>
        <w:tc>
          <w:tcPr>
            <w:tcW w:w="634" w:type="dxa"/>
            <w:tcBorders>
              <w:bottom w:val="single" w:sz="8" w:space="0" w:color="83AD40"/>
            </w:tcBorders>
            <w:tcMar>
              <w:bottom w:w="155" w:type="dxa"/>
            </w:tcMar>
            <w:vAlign w:val="center"/>
          </w:tcPr>
          <w:p>
            <w:pPr>
              <w:pStyle w:val="TableContents"/>
              <w:bidi w:val="0"/>
              <w:spacing w:before="0" w:after="0"/>
              <w:jc w:val="center"/>
              <w:rPr/>
            </w:pPr>
            <w:r>
              <w:rPr/>
              <w:drawing>
                <wp:inline distT="0" distB="0" distL="0" distR="0">
                  <wp:extent cx="342900" cy="342900"/>
                  <wp:effectExtent l="0" t="0" r="0" b="0"/>
                  <wp:docPr id="957" name="Image2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7" name="Image259" descr=""/>
                          <pic:cNvPicPr>
                            <a:picLocks noChangeAspect="1" noChangeArrowheads="1"/>
                          </pic:cNvPicPr>
                        </pic:nvPicPr>
                        <pic:blipFill>
                          <a:blip r:embed="rId364"/>
                          <a:stretch>
                            <a:fillRect/>
                          </a:stretch>
                        </pic:blipFill>
                        <pic:spPr bwMode="auto">
                          <a:xfrm>
                            <a:off x="0" y="0"/>
                            <a:ext cx="342900" cy="342900"/>
                          </a:xfrm>
                          <a:prstGeom prst="rect">
                            <a:avLst/>
                          </a:prstGeom>
                        </pic:spPr>
                      </pic:pic>
                    </a:graphicData>
                  </a:graphic>
                </wp:inline>
              </w:drawing>
            </w:r>
            <w:r>
              <w:rPr/>
              <w:t xml:space="preserve"> </w:t>
            </w:r>
          </w:p>
        </w:tc>
        <w:tc>
          <w:tcPr>
            <w:tcW w:w="109" w:type="dxa"/>
            <w:tcBorders>
              <w:bottom w:val="single" w:sz="8" w:space="0" w:color="83AD40"/>
            </w:tcBorders>
            <w:tcMar>
              <w:bottom w:w="28" w:type="dxa"/>
            </w:tcMar>
            <w:vAlign w:val="center"/>
          </w:tcPr>
          <w:p>
            <w:pPr>
              <w:pStyle w:val="TableContents"/>
              <w:bidi w:val="0"/>
              <w:spacing w:before="0" w:after="283"/>
              <w:jc w:val="left"/>
              <w:rPr/>
            </w:pPr>
            <w:r>
              <w:rPr/>
              <w:t>​</w:t>
            </w:r>
          </w:p>
        </w:tc>
        <w:tc>
          <w:tcPr>
            <w:tcW w:w="109" w:type="dxa"/>
            <w:tcBorders>
              <w:bottom w:val="single" w:sz="8" w:space="0" w:color="83AD40"/>
            </w:tcBorders>
            <w:tcMar>
              <w:bottom w:w="28" w:type="dxa"/>
            </w:tcMar>
            <w:vAlign w:val="center"/>
          </w:tcPr>
          <w:p>
            <w:pPr>
              <w:pStyle w:val="TableContents"/>
              <w:bidi w:val="0"/>
              <w:spacing w:before="0" w:after="283"/>
              <w:jc w:val="left"/>
              <w:rPr/>
            </w:pPr>
            <w:r>
              <w:rPr/>
              <w:t>​</w:t>
            </w:r>
          </w:p>
        </w:tc>
        <w:tc>
          <w:tcPr>
            <w:tcW w:w="5084" w:type="dxa"/>
            <w:tcBorders>
              <w:bottom w:val="single" w:sz="8" w:space="0" w:color="83AD40"/>
            </w:tcBorders>
            <w:tcMar>
              <w:bottom w:w="130" w:type="dxa"/>
            </w:tcMar>
            <w:vAlign w:val="center"/>
          </w:tcPr>
          <w:p>
            <w:pPr>
              <w:pStyle w:val="TableContents"/>
              <w:bidi w:val="0"/>
              <w:spacing w:lineRule="atLeast" w:line="220" w:before="0" w:after="0"/>
              <w:jc w:val="left"/>
              <w:rPr/>
            </w:pPr>
            <w:r>
              <w:rPr>
                <w:b/>
                <w:color w:val="1F2668"/>
                <w:spacing w:val="-2"/>
              </w:rPr>
              <w:t>FOR</w:t>
            </w:r>
            <w:r>
              <w:rPr>
                <w:spacing w:val="-2"/>
              </w:rPr>
              <w:t xml:space="preserve"> the ratification of the appointment of Deloitte &amp; Touche LLP as our independent registered public accounting firm for the fiscal year ending December 31, 2026</w:t>
            </w:r>
            <w:r>
              <w:rPr/>
              <w:t xml:space="preserve"> </w:t>
            </w:r>
          </w:p>
        </w:tc>
        <w:tc>
          <w:tcPr>
            <w:tcW w:w="156" w:type="dxa"/>
            <w:tcBorders>
              <w:bottom w:val="single" w:sz="8" w:space="0" w:color="83AD40"/>
            </w:tcBorders>
            <w:tcMar>
              <w:bottom w:w="28" w:type="dxa"/>
            </w:tcMar>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3" w:name="tOTMA"/>
      <w:bookmarkEnd w:id="33"/>
      <w:r>
        <w:rPr>
          <w:rFonts w:ascii="calibri;arial;sans-serif" w:hAnsi="calibri;arial;sans-serif"/>
          <w:b w:val="false"/>
          <w:i w:val="false"/>
          <w:caps w:val="false"/>
          <w:smallCaps w:val="false"/>
          <w:color w:val="000000"/>
          <w:sz w:val="16"/>
        </w:rPr>
        <w:t xml:space="preserve">​ </w:t>
      </w:r>
    </w:p>
    <w:tbl>
      <w:tblPr>
        <w:tblW w:w="3575" w:type="dxa"/>
        <w:jc w:val="left"/>
        <w:tblInd w:w="900" w:type="dxa"/>
        <w:tblLayout w:type="fixed"/>
        <w:tblCellMar>
          <w:top w:w="0" w:type="dxa"/>
          <w:left w:w="0" w:type="dxa"/>
          <w:bottom w:w="0" w:type="dxa"/>
          <w:right w:w="0" w:type="dxa"/>
        </w:tblCellMar>
      </w:tblPr>
      <w:tblGrid>
        <w:gridCol w:w="124"/>
        <w:gridCol w:w="2733"/>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2733" w:type="dxa"/>
            <w:tcBorders/>
            <w:vAlign w:val="center"/>
          </w:tcPr>
          <w:p>
            <w:pPr>
              <w:pStyle w:val="TableContents"/>
              <w:bidi w:val="0"/>
              <w:spacing w:lineRule="atLeast" w:line="200" w:before="0" w:after="0"/>
              <w:jc w:val="left"/>
              <w:rPr/>
            </w:pPr>
            <w:r>
              <w:rPr>
                <w:spacing w:val="-2"/>
              </w:rPr>
              <w:t>OTHER INFORMATION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color w:val="1F2668"/>
                <w:sz w:val="24"/>
              </w:rPr>
            </w:pPr>
            <w:r>
              <w:rPr>
                <w:color w:val="1F2668"/>
                <w:sz w:val="24"/>
              </w:rPr>
              <w:t>93</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300" w:before="560" w:after="154"/>
        <w:ind w:left="900" w:right="0" w:hanging="0"/>
        <w:jc w:val="left"/>
        <w:rPr>
          <w:rFonts w:ascii="Arial;Helvetica;sans-serif" w:hAnsi="Arial;Helvetica;sans-serif"/>
          <w:b/>
          <w:i w:val="false"/>
          <w:caps w:val="false"/>
          <w:smallCaps w:val="false"/>
          <w:color w:val="1F2668"/>
          <w:sz w:val="26"/>
        </w:rPr>
      </w:pPr>
      <w:r>
        <w:rPr>
          <w:rFonts w:ascii="Arial;Helvetica;sans-serif" w:hAnsi="Arial;Helvetica;sans-serif"/>
          <w:b/>
          <w:i w:val="false"/>
          <w:caps w:val="false"/>
          <w:smallCaps w:val="false"/>
          <w:color w:val="1F2668"/>
          <w:spacing w:val="-3"/>
          <w:sz w:val="26"/>
        </w:rPr>
        <w:t>What other information should I review before voting?</w:t>
      </w:r>
      <w:r>
        <w:rPr>
          <w:rFonts w:ascii="Arial;Helvetica;sans-serif" w:hAnsi="Arial;Helvetica;sans-serif"/>
          <w:b/>
          <w:i w:val="false"/>
          <w:caps w:val="false"/>
          <w:smallCaps w:val="false"/>
          <w:color w:val="000000"/>
          <w:spacing w:val="5"/>
          <w:sz w:val="26"/>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Our 2025 annual report, including financial statements for the fiscal year ended December 31, 2025, is being made available to you along with this proxy statement. You may obtain, free of charge, copies of our 2025 annual report and our Annual Report on Form 10-K for the fiscal year ended December 31, 2025, which contains additional information about the Company, on our website at http://www.slgreen.com or by directing your request in writing to SL Green Realty Corp., One Vanderbilt Avenue, 28th Floor, New York, New York 10017-3852. The 2025 annual report and the Annual Report on Form 10-K, however, are not part of the proxy solicitation materials, and the information found on, or accessible through, our website is not incorporated into, and does not form a part of, this proxy statement or any other report or document we file with or furnish to the SEC.</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300" w:before="360" w:after="283"/>
        <w:jc w:val="left"/>
        <w:rPr>
          <w:rFonts w:ascii="Arial;Helvetica;sans-serif" w:hAnsi="Arial;Helvetica;sans-serif"/>
          <w:b/>
          <w:i w:val="false"/>
          <w:caps w:val="false"/>
          <w:smallCaps w:val="false"/>
          <w:color w:val="1F2668"/>
          <w:sz w:val="26"/>
        </w:rPr>
      </w:pPr>
      <w:r>
        <w:rPr>
          <w:rFonts w:ascii="Arial;Helvetica;sans-serif" w:hAnsi="Arial;Helvetica;sans-serif"/>
          <w:b/>
          <w:i w:val="false"/>
          <w:caps w:val="false"/>
          <w:smallCaps w:val="false"/>
          <w:color w:val="1F2668"/>
          <w:spacing w:val="-3"/>
          <w:sz w:val="26"/>
        </w:rPr>
        <w:t>How do I change how I receive proxy materials in the future?</w:t>
      </w:r>
      <w:r>
        <w:rPr>
          <w:rFonts w:ascii="Arial;Helvetica;sans-serif" w:hAnsi="Arial;Helvetica;sans-serif"/>
          <w:b/>
          <w:i w:val="false"/>
          <w:caps w:val="false"/>
          <w:smallCaps w:val="false"/>
          <w:color w:val="000000"/>
          <w:spacing w:val="5"/>
          <w:sz w:val="26"/>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Instead of receiving a Notice of Internet Availability of Proxy Materials in the mail for future meetings, stockholders may elect to receive links to proxy materials by e-mail or to receive a paper copy of the proxy materials and a paper proxy card by mail. If you elect to receive proxy materials by e-mail, you will not receive a Notice of Internet Availability of Proxy Materials in the mail. Instead, you will receive an e-mail with links to proxy materials and online voting. In addition, if you elect to receive a paper copy of the proxy materials, or if applicable rules or regulations require paper delivery of the proxy materials, you will not receive a Notice of Internet Availability of Proxy Materials in the mail. If you received a paper copy of the proxy materials or the Notice of Internet Availability of Proxy Materials in the mail, you can eliminate all such paper mailings in the future by electing to receive an e-mail that will provide Internet links to these documents. Opting to receive all future proxy materials online will save us the cost of producing and mailing such documents to you and help us conserve natural resources. You can change your election by directing your request in writing to SL Green Realty Corp., One Vanderbilt Avenue, 28th Floor, New York, New York 10017-3852, by sending a blank e-mail with the 16-digit control number on your Notice of Internet Availability to sendmaterial@proxyvote.com, via the internet at http://www.proxyvote.com or by telephone at (800) 579-1639. Your election will remain in effect until you change it.</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300" w:before="360" w:after="283"/>
        <w:jc w:val="left"/>
        <w:rPr>
          <w:rFonts w:ascii="Arial;Helvetica;sans-serif" w:hAnsi="Arial;Helvetica;sans-serif"/>
          <w:b/>
          <w:i w:val="false"/>
          <w:caps w:val="false"/>
          <w:smallCaps w:val="false"/>
          <w:color w:val="1F2668"/>
          <w:sz w:val="26"/>
        </w:rPr>
      </w:pPr>
      <w:r>
        <w:rPr>
          <w:rFonts w:ascii="Arial;Helvetica;sans-serif" w:hAnsi="Arial;Helvetica;sans-serif"/>
          <w:b/>
          <w:i w:val="false"/>
          <w:caps w:val="false"/>
          <w:smallCaps w:val="false"/>
          <w:color w:val="1F2668"/>
          <w:spacing w:val="-3"/>
          <w:sz w:val="26"/>
        </w:rPr>
        <w:t>What should I do if I received more than one Notice of Internet Availability of Proxy Materials?</w:t>
      </w:r>
      <w:r>
        <w:rPr>
          <w:rFonts w:ascii="Arial;Helvetica;sans-serif" w:hAnsi="Arial;Helvetica;sans-serif"/>
          <w:b/>
          <w:i w:val="false"/>
          <w:caps w:val="false"/>
          <w:smallCaps w:val="false"/>
          <w:color w:val="000000"/>
          <w:spacing w:val="5"/>
          <w:sz w:val="26"/>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There are circumstances under which you may receive more than one Notice of Internet Availability of Proxy Materials. For example, if you hold your shares in more than one brokerage account, you may receive a separate voting instruction card for each such brokerage account. In addition, if you are a stockholder of record and your shares are registered in more than one name, you will receive more than one Notice of Internet Availability of Proxy Materials. Please authorize your proxy in accordance with the instructions of each Notice of Internet Availability of Proxy Materials separately, since each one represents different shares that you own.</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60" w:after="283"/>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pacing w:val="-2"/>
          <w:sz w:val="18"/>
        </w:rPr>
        <w:t>No person is authorized on our behalf to give any information or to make any representations with respect to the proposals other than the information and the representations contained in this proxy statement, and, if given or made, such information and/or representations must not be relied upon as having been authorized.</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360" w:before="400" w:after="283"/>
        <w:jc w:val="left"/>
        <w:rPr>
          <w:rFonts w:ascii="Arial;Helvetica;sans-serif" w:hAnsi="Arial;Helvetica;sans-serif"/>
          <w:b/>
          <w:i w:val="false"/>
          <w:caps w:val="false"/>
          <w:smallCaps w:val="false"/>
          <w:color w:val="83AD40"/>
          <w:sz w:val="32"/>
        </w:rPr>
      </w:pPr>
      <w:r>
        <w:rPr>
          <w:rFonts w:ascii="Arial;Helvetica;sans-serif" w:hAnsi="Arial;Helvetica;sans-serif"/>
          <w:b/>
          <w:i w:val="false"/>
          <w:caps/>
          <w:color w:val="83AD40"/>
          <w:spacing w:val="-3"/>
          <w:sz w:val="32"/>
        </w:rPr>
        <w:t>OTHER MATTERS</w:t>
      </w:r>
      <w:r>
        <w:rPr>
          <w:rFonts w:ascii="Arial;Helvetica;sans-serif" w:hAnsi="Arial;Helvetica;sans-serif"/>
          <w:b/>
          <w:i w:val="false"/>
          <w:caps w:val="false"/>
          <w:smallCaps w:val="false"/>
          <w:color w:val="000000"/>
          <w:spacing w:val="6"/>
          <w:sz w:val="32"/>
        </w:rPr>
        <w:t xml:space="preserve"> </w:t>
      </w:r>
    </w:p>
    <w:p>
      <w:pPr>
        <w:pStyle w:val="TextBody"/>
        <w:bidi w:val="0"/>
        <w:spacing w:lineRule="atLeast" w:line="300" w:before="320" w:after="283"/>
        <w:jc w:val="left"/>
        <w:rPr>
          <w:rFonts w:ascii="Arial;Helvetica;sans-serif" w:hAnsi="Arial;Helvetica;sans-serif"/>
          <w:b/>
          <w:i w:val="false"/>
          <w:caps w:val="false"/>
          <w:smallCaps w:val="false"/>
          <w:color w:val="1F2668"/>
          <w:sz w:val="26"/>
        </w:rPr>
      </w:pPr>
      <w:r>
        <w:rPr>
          <w:rFonts w:ascii="Arial;Helvetica;sans-serif" w:hAnsi="Arial;Helvetica;sans-serif"/>
          <w:b/>
          <w:i w:val="false"/>
          <w:caps w:val="false"/>
          <w:smallCaps w:val="false"/>
          <w:color w:val="1F2668"/>
          <w:spacing w:val="-3"/>
          <w:sz w:val="26"/>
        </w:rPr>
        <w:t>Attendance at the 2026 Annual Meeting</w:t>
      </w:r>
      <w:r>
        <w:rPr>
          <w:rFonts w:ascii="Arial;Helvetica;sans-serif" w:hAnsi="Arial;Helvetica;sans-serif"/>
          <w:b/>
          <w:i w:val="false"/>
          <w:caps w:val="false"/>
          <w:smallCaps w:val="false"/>
          <w:color w:val="000000"/>
          <w:spacing w:val="5"/>
          <w:sz w:val="26"/>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pacing w:val="-2"/>
          <w:sz w:val="18"/>
        </w:rPr>
      </w:pPr>
      <w:r>
        <w:rPr>
          <w:rFonts w:ascii="Arial;Helvetica;sans-serif" w:hAnsi="Arial;Helvetica;sans-serif"/>
          <w:b w:val="false"/>
          <w:i w:val="false"/>
          <w:caps w:val="false"/>
          <w:smallCaps w:val="false"/>
          <w:color w:val="000000"/>
          <w:spacing w:val="-2"/>
          <w:sz w:val="18"/>
        </w:rPr>
        <w:t xml:space="preserve">All stockholders of record, as well as stockholders that hold their shares through a broker, bank or similar organization, of shares of SLG’s common stock at the close of business on the record date, or their designated proxies, are authorized to attend the 2026 Annual Meeting. You may be asked to present valid picture identification, such as a driver’s license or passport, before being admitted to the Annual Meeting. To be admitted to the Annual Meeting, you will be required to present a recent brokerage statement or other evidence of your ownership of our stock as of the record date of the Annual Meeting. Stockholders will be able to vote and submit questions during the Annual Meeting.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225" w:type="dxa"/>
        <w:jc w:val="left"/>
        <w:tblInd w:w="900" w:type="dxa"/>
        <w:tblLayout w:type="fixed"/>
        <w:tblCellMar>
          <w:top w:w="0" w:type="dxa"/>
          <w:left w:w="0" w:type="dxa"/>
          <w:bottom w:w="0" w:type="dxa"/>
          <w:right w:w="0" w:type="dxa"/>
        </w:tblCellMar>
      </w:tblPr>
      <w:tblGrid>
        <w:gridCol w:w="124"/>
        <w:gridCol w:w="346"/>
        <w:gridCol w:w="109"/>
        <w:gridCol w:w="109"/>
        <w:gridCol w:w="4383"/>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94</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383" w:type="dxa"/>
            <w:tcBorders/>
            <w:vAlign w:val="center"/>
          </w:tcPr>
          <w:p>
            <w:pPr>
              <w:pStyle w:val="TableContents"/>
              <w:bidi w:val="0"/>
              <w:spacing w:lineRule="atLeast" w:line="200" w:before="0" w:after="0"/>
              <w:jc w:val="left"/>
              <w:rPr/>
            </w:pPr>
            <w:r>
              <w:rPr>
                <w:spacing w:val="-2"/>
              </w:rPr>
              <w:t>    </w:t>
            </w:r>
            <w:r>
              <w:rPr>
                <w:spacing w:val="-2"/>
                <w:sz w:val="16"/>
              </w:rPr>
              <w:t>SL GREEN REALTY CORP. 2026 PROXY STATEMENT</w:t>
            </w:r>
            <w:r>
              <w:rPr>
                <w:sz w:val="16"/>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300" w:before="560" w:after="154"/>
        <w:ind w:left="900" w:right="0" w:hanging="0"/>
        <w:jc w:val="left"/>
        <w:rPr>
          <w:rFonts w:ascii="Arial;Helvetica;sans-serif" w:hAnsi="Arial;Helvetica;sans-serif"/>
          <w:b/>
          <w:i w:val="false"/>
          <w:caps w:val="false"/>
          <w:smallCaps w:val="false"/>
          <w:color w:val="1F2668"/>
          <w:sz w:val="26"/>
        </w:rPr>
      </w:pPr>
      <w:r>
        <w:rPr>
          <w:rFonts w:ascii="Arial;Helvetica;sans-serif" w:hAnsi="Arial;Helvetica;sans-serif"/>
          <w:b/>
          <w:i w:val="false"/>
          <w:caps w:val="false"/>
          <w:smallCaps w:val="false"/>
          <w:color w:val="1F2668"/>
          <w:spacing w:val="-3"/>
          <w:sz w:val="26"/>
        </w:rPr>
        <w:t>Solicitation of Proxies</w:t>
      </w:r>
      <w:r>
        <w:rPr>
          <w:rFonts w:ascii="Arial;Helvetica;sans-serif" w:hAnsi="Arial;Helvetica;sans-serif"/>
          <w:b/>
          <w:i w:val="false"/>
          <w:caps w:val="false"/>
          <w:smallCaps w:val="false"/>
          <w:color w:val="000000"/>
          <w:spacing w:val="5"/>
          <w:sz w:val="26"/>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We will pay the cost of solicitation of proxies. Our directors, officers and employees may solicit proxies personally, by telephone, via the Internet or by mail without additional compensation for such activities. We also will request persons, firms and corporations holding shares in their names or in the names of their nominees, which are beneficially owned by others, to send a Notice of Internet Availability of Proxy Materials to and obtain proxies from such beneficial owners. We will reimburse such holders for their reasonable expenses. In addition, we intend to utilize the proxy solicitation services of MacKenzie Partners, Inc. at an aggregate estimated cost of $15,000 plus out-of-pocket expenses.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300" w:before="360" w:after="283"/>
        <w:jc w:val="left"/>
        <w:rPr>
          <w:rFonts w:ascii="Arial;Helvetica;sans-serif" w:hAnsi="Arial;Helvetica;sans-serif"/>
          <w:b/>
          <w:i w:val="false"/>
          <w:caps w:val="false"/>
          <w:smallCaps w:val="false"/>
          <w:color w:val="1F2668"/>
          <w:sz w:val="26"/>
        </w:rPr>
      </w:pPr>
      <w:r>
        <w:rPr>
          <w:rFonts w:ascii="Arial;Helvetica;sans-serif" w:hAnsi="Arial;Helvetica;sans-serif"/>
          <w:b/>
          <w:i w:val="false"/>
          <w:caps w:val="false"/>
          <w:smallCaps w:val="false"/>
          <w:color w:val="1F2668"/>
          <w:spacing w:val="-3"/>
          <w:sz w:val="26"/>
        </w:rPr>
        <w:t>Stockholder Proposals and Nominations</w:t>
      </w:r>
      <w:r>
        <w:rPr>
          <w:rFonts w:ascii="Arial;Helvetica;sans-serif" w:hAnsi="Arial;Helvetica;sans-serif"/>
          <w:b/>
          <w:i w:val="false"/>
          <w:caps w:val="false"/>
          <w:smallCaps w:val="false"/>
          <w:color w:val="000000"/>
          <w:spacing w:val="5"/>
          <w:sz w:val="26"/>
        </w:rPr>
        <w:t xml:space="preserve"> </w:t>
      </w:r>
    </w:p>
    <w:p>
      <w:pPr>
        <w:pStyle w:val="TextBody"/>
        <w:bidi w:val="0"/>
        <w:spacing w:lineRule="atLeast" w:line="260" w:before="120" w:after="283"/>
        <w:jc w:val="left"/>
        <w:rPr>
          <w:rFonts w:ascii="Arial;Helvetica;sans-serif" w:hAnsi="Arial;Helvetica;sans-serif"/>
          <w:b/>
          <w:i w:val="false"/>
          <w:caps w:val="false"/>
          <w:smallCaps w:val="false"/>
          <w:color w:val="83AD40"/>
          <w:sz w:val="22"/>
        </w:rPr>
      </w:pPr>
      <w:r>
        <w:rPr>
          <w:rFonts w:ascii="Arial;Helvetica;sans-serif" w:hAnsi="Arial;Helvetica;sans-serif"/>
          <w:b/>
          <w:i w:val="false"/>
          <w:caps w:val="false"/>
          <w:smallCaps w:val="false"/>
          <w:color w:val="83AD40"/>
          <w:spacing w:val="-2"/>
          <w:sz w:val="22"/>
        </w:rPr>
        <w:t>Proposals for Inclusion in our 2027 Proxy Materials</w:t>
      </w:r>
      <w:r>
        <w:rPr>
          <w:rFonts w:ascii="Arial;Helvetica;sans-serif" w:hAnsi="Arial;Helvetica;sans-serif"/>
          <w:b/>
          <w:i w:val="false"/>
          <w:caps w:val="false"/>
          <w:smallCaps w:val="false"/>
          <w:color w:val="000000"/>
          <w:spacing w:val="4"/>
          <w:sz w:val="22"/>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SEC rules permit stockholders to submit proposals to be included in our proxy materials if the stockholder and the proposal satisfy the requirements specified in Rule 14a-8 under the Exchange Act. For a stockholder proposal to be considered for inclusion in our proxy materials for the 2027 annual meeting, the proposal must be delivered to our Secretary at the address provided below by December 23, 2026.</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60" w:before="240" w:after="283"/>
        <w:jc w:val="left"/>
        <w:rPr>
          <w:rFonts w:ascii="Arial;Helvetica;sans-serif" w:hAnsi="Arial;Helvetica;sans-serif"/>
          <w:b/>
          <w:i w:val="false"/>
          <w:caps w:val="false"/>
          <w:smallCaps w:val="false"/>
          <w:color w:val="83AD40"/>
          <w:sz w:val="22"/>
        </w:rPr>
      </w:pPr>
      <w:r>
        <w:rPr>
          <w:rFonts w:ascii="Arial;Helvetica;sans-serif" w:hAnsi="Arial;Helvetica;sans-serif"/>
          <w:b/>
          <w:i w:val="false"/>
          <w:caps w:val="false"/>
          <w:smallCaps w:val="false"/>
          <w:color w:val="83AD40"/>
          <w:spacing w:val="-2"/>
          <w:sz w:val="22"/>
        </w:rPr>
        <w:t>Director Nominations Under our Proxy Access Bylaws</w:t>
      </w:r>
      <w:r>
        <w:rPr>
          <w:rFonts w:ascii="Arial;Helvetica;sans-serif" w:hAnsi="Arial;Helvetica;sans-serif"/>
          <w:b/>
          <w:i w:val="false"/>
          <w:caps w:val="false"/>
          <w:smallCaps w:val="false"/>
          <w:color w:val="000000"/>
          <w:spacing w:val="4"/>
          <w:sz w:val="22"/>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Our proxy access bylaw permits a stockholder (or a group of up to 20 stockholders) owning 3% or more of our outstanding common stock continuously for at least three years to nominate and include in the Company’s proxy materials director candidates constituting up to the greater of two individuals or 20% of the Board, if the nominating stockholder(s) and the nominee(s) satisfy the requirements specified in our bylaws. For the 2027 annual meeting, notice of a proxy access nomination must be delivered to our Secretary at the address provided below no later than December 23, 2026 and no earlier than November 23, 2026.</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60" w:before="240" w:after="283"/>
        <w:jc w:val="left"/>
        <w:rPr>
          <w:rFonts w:ascii="Arial;Helvetica;sans-serif" w:hAnsi="Arial;Helvetica;sans-serif"/>
          <w:b/>
          <w:i w:val="false"/>
          <w:caps w:val="false"/>
          <w:smallCaps w:val="false"/>
          <w:color w:val="83AD40"/>
          <w:sz w:val="22"/>
        </w:rPr>
      </w:pPr>
      <w:r>
        <w:rPr>
          <w:rFonts w:ascii="Arial;Helvetica;sans-serif" w:hAnsi="Arial;Helvetica;sans-serif"/>
          <w:b/>
          <w:i w:val="false"/>
          <w:caps w:val="false"/>
          <w:smallCaps w:val="false"/>
          <w:color w:val="83AD40"/>
          <w:spacing w:val="-2"/>
          <w:sz w:val="22"/>
        </w:rPr>
        <w:t>Other Proposals or Nominations to be brought before our 2027 Annual Meeting</w:t>
      </w:r>
      <w:r>
        <w:rPr>
          <w:rFonts w:ascii="Arial;Helvetica;sans-serif" w:hAnsi="Arial;Helvetica;sans-serif"/>
          <w:b/>
          <w:i w:val="false"/>
          <w:caps w:val="false"/>
          <w:smallCaps w:val="false"/>
          <w:color w:val="000000"/>
          <w:spacing w:val="4"/>
          <w:sz w:val="22"/>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Our bylaws permit a stockholder to propose items of business that are not intended to be included in our proxy materials and to nominate candidates other than under our proxy access bylaw if the stockholder complies with the procedures set forth in our bylaws. For the 2027 annual meeting, notice of such proposals or nominations must be delivered to our Secretary at the address provided below no later than March 4, 2027 and no earlier than February 2, 2027.</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If the Company moves the 2027 annual meeting to a date that is more than 25 days before or after the date which is the one-year anniversary of this year’s Annual Meeting date (i.e., June 2, 2027), the Company must receive notice of proposals or nominations no later than the close of business on the 10th day following the earlier of the day on which the Company makes a public announcement of the meeting date or the day on which notice of the meeting date is first distributed to stockholders.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Additionally, stockholders who intend to solicit proxies in support of director nominees other than the Company’s nominees must provide notice that sets forth the information required by Rule 14a-19 under the Exchange Act to our Secretary at the address provided no later than April 3, 2027.</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60" w:before="240" w:after="283"/>
        <w:jc w:val="left"/>
        <w:rPr>
          <w:rFonts w:ascii="Arial;Helvetica;sans-serif" w:hAnsi="Arial;Helvetica;sans-serif"/>
          <w:b/>
          <w:i w:val="false"/>
          <w:caps w:val="false"/>
          <w:smallCaps w:val="false"/>
          <w:color w:val="83AD40"/>
          <w:sz w:val="22"/>
        </w:rPr>
      </w:pPr>
      <w:r>
        <w:rPr>
          <w:rFonts w:ascii="Arial;Helvetica;sans-serif" w:hAnsi="Arial;Helvetica;sans-serif"/>
          <w:b/>
          <w:i w:val="false"/>
          <w:caps w:val="false"/>
          <w:smallCaps w:val="false"/>
          <w:color w:val="83AD40"/>
          <w:spacing w:val="-2"/>
          <w:sz w:val="22"/>
        </w:rPr>
        <w:t>Address for Submission of Notices and Additional Information</w:t>
      </w:r>
      <w:r>
        <w:rPr>
          <w:rFonts w:ascii="Arial;Helvetica;sans-serif" w:hAnsi="Arial;Helvetica;sans-serif"/>
          <w:b/>
          <w:i w:val="false"/>
          <w:caps w:val="false"/>
          <w:smallCaps w:val="false"/>
          <w:color w:val="000000"/>
          <w:spacing w:val="4"/>
          <w:sz w:val="22"/>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All stockholder nominations of individuals for election as directors or proposals of other items of business to be considered by stockholders at the 2027 Annual Meeting (whether or not intended for inclusion in our proxy materials) must be submitted in writing to SL Green Realty Corp., One Vanderbilt Avenue, 28th Floor, New York, New York 10017-3852, Attention: Andrew S. Levine, Secretary.</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pacing w:val="-2"/>
          <w:sz w:val="18"/>
        </w:rPr>
      </w:pPr>
      <w:r>
        <w:rPr>
          <w:rFonts w:ascii="Arial;Helvetica;sans-serif" w:hAnsi="Arial;Helvetica;sans-serif"/>
          <w:b w:val="false"/>
          <w:i w:val="false"/>
          <w:caps w:val="false"/>
          <w:smallCaps w:val="false"/>
          <w:color w:val="000000"/>
          <w:spacing w:val="-2"/>
          <w:sz w:val="18"/>
        </w:rPr>
        <w:t xml:space="preserve">In addition, both the proxy access and the advance notice provisions of our bylaws require a stockholder’s notice of a nomination or other item of business to include certain information. Director nominees must also meet certain eligibility requirements. Any stockholder considering introducing a nomination or other item of business should carefully review our bylaws.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3575" w:type="dxa"/>
        <w:jc w:val="left"/>
        <w:tblInd w:w="900" w:type="dxa"/>
        <w:tblLayout w:type="fixed"/>
        <w:tblCellMar>
          <w:top w:w="0" w:type="dxa"/>
          <w:left w:w="0" w:type="dxa"/>
          <w:bottom w:w="0" w:type="dxa"/>
          <w:right w:w="0" w:type="dxa"/>
        </w:tblCellMar>
      </w:tblPr>
      <w:tblGrid>
        <w:gridCol w:w="124"/>
        <w:gridCol w:w="2733"/>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2733" w:type="dxa"/>
            <w:tcBorders/>
            <w:vAlign w:val="center"/>
          </w:tcPr>
          <w:p>
            <w:pPr>
              <w:pStyle w:val="TableContents"/>
              <w:bidi w:val="0"/>
              <w:spacing w:lineRule="atLeast" w:line="200" w:before="0" w:after="0"/>
              <w:jc w:val="left"/>
              <w:rPr/>
            </w:pPr>
            <w:r>
              <w:rPr>
                <w:spacing w:val="-2"/>
              </w:rPr>
              <w:t>OTHER INFORMATION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color w:val="1F2668"/>
                <w:sz w:val="24"/>
              </w:rPr>
            </w:pPr>
            <w:r>
              <w:rPr>
                <w:color w:val="1F2668"/>
                <w:sz w:val="24"/>
              </w:rPr>
              <w:t>95</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300" w:before="560" w:after="154"/>
        <w:ind w:left="900" w:right="0" w:hanging="0"/>
        <w:jc w:val="left"/>
        <w:rPr>
          <w:rFonts w:ascii="Arial;Helvetica;sans-serif" w:hAnsi="Arial;Helvetica;sans-serif"/>
          <w:b/>
          <w:i w:val="false"/>
          <w:caps w:val="false"/>
          <w:smallCaps w:val="false"/>
          <w:color w:val="1F2668"/>
          <w:sz w:val="26"/>
        </w:rPr>
      </w:pPr>
      <w:r>
        <w:rPr>
          <w:rFonts w:ascii="Arial;Helvetica;sans-serif" w:hAnsi="Arial;Helvetica;sans-serif"/>
          <w:b/>
          <w:i w:val="false"/>
          <w:caps w:val="false"/>
          <w:smallCaps w:val="false"/>
          <w:color w:val="1F2668"/>
          <w:spacing w:val="-3"/>
          <w:sz w:val="26"/>
        </w:rPr>
        <w:t>Householding of Proxy Materials</w:t>
      </w:r>
      <w:r>
        <w:rPr>
          <w:rFonts w:ascii="Arial;Helvetica;sans-serif" w:hAnsi="Arial;Helvetica;sans-serif"/>
          <w:b/>
          <w:i w:val="false"/>
          <w:caps w:val="false"/>
          <w:smallCaps w:val="false"/>
          <w:color w:val="000000"/>
          <w:spacing w:val="5"/>
          <w:sz w:val="26"/>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The SEC adopted rules that permit companies and intermediaries (such as banks and brokers) to satisfy the delivery requirements for proxy materials with respect to two or more stockholders sharing the same address by delivering a single proxy statement, annual report or Notice of Internet Availability of Proxy Materials, as applicable, addressed to those stockholders. This process, which is commonly referred to as “householding,” potentially means extra convenience for stockholders and cost savings for companies.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This year, a number of brokers with account holders who are our stockholders will be “householding” our proxy materials. A single Notice of Internet Availability of Proxy Materials will be delivered to multiple stockholders sharing an address unless contrary instructions have been received from the affected stockholders. Once you have received notice from your broker that such broker will be “householding” communications, including the proxy materials, to your address, “householding” will continue until you are notified otherwise or until you revoke your consent.</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Stockholders who currently receive only one copy of the proxy materials at their address and would like to receive additional copies and/or stockholders who no longer wish to participate in “householding” and would prefer to receive separate proxy materials in the future should direct their request either to their broker or to the Company in writing to SL Green Realty Corp., One Vanderbilt Avenue, 28th Floor, New York, New York 10017-3852 or by telephone at (212) 594-2700.</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Stockholders who currently receive multiple copies of the proxy materials at their address and would like to request “householding” of their future communications should direct their request either to their broker or to the Company at the address of telephone number above.</w:t>
      </w:r>
      <w:r>
        <w:rPr>
          <w:rFonts w:ascii="Arial;Helvetica;sans-serif" w:hAnsi="Arial;Helvetic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4" w:name="tAAF"/>
      <w:bookmarkEnd w:id="34"/>
      <w:r>
        <w:rPr>
          <w:rFonts w:ascii="calibri;arial;sans-serif" w:hAnsi="calibri;arial;sans-serif"/>
          <w:b w:val="false"/>
          <w:i w:val="false"/>
          <w:caps w:val="false"/>
          <w:smallCaps w:val="false"/>
          <w:color w:val="000000"/>
          <w:sz w:val="16"/>
        </w:rPr>
        <w:t xml:space="preserve">​ </w:t>
      </w:r>
    </w:p>
    <w:tbl>
      <w:tblPr>
        <w:tblW w:w="1086" w:type="dxa"/>
        <w:jc w:val="left"/>
        <w:tblInd w:w="900" w:type="dxa"/>
        <w:tblLayout w:type="fixed"/>
        <w:tblCellMar>
          <w:top w:w="0" w:type="dxa"/>
          <w:left w:w="0" w:type="dxa"/>
          <w:bottom w:w="0" w:type="dxa"/>
          <w:right w:w="0" w:type="dxa"/>
        </w:tblCellMar>
      </w:tblPr>
      <w:tblGrid>
        <w:gridCol w:w="124"/>
        <w:gridCol w:w="109"/>
        <w:gridCol w:w="109"/>
        <w:gridCol w:w="109"/>
        <w:gridCol w:w="481"/>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81" w:type="dxa"/>
            <w:tcBorders/>
            <w:vAlign w:val="center"/>
          </w:tcPr>
          <w:p>
            <w:pPr>
              <w:pStyle w:val="TableContents"/>
              <w:bidi w:val="0"/>
              <w:spacing w:before="0" w:after="0"/>
              <w:jc w:val="right"/>
              <w:rPr/>
            </w:pPr>
            <w:r>
              <w:rPr/>
              <w:t>A-1</w:t>
              <w:b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520" w:before="560" w:after="154"/>
        <w:ind w:left="900" w:right="0" w:hanging="0"/>
        <w:jc w:val="left"/>
        <w:rPr>
          <w:rFonts w:ascii="Arial;Helvetica;sans-serif" w:hAnsi="Arial;Helvetica;sans-serif"/>
          <w:b/>
          <w:i w:val="false"/>
          <w:caps w:val="false"/>
          <w:smallCaps w:val="false"/>
          <w:color w:val="1F2668"/>
          <w:sz w:val="42"/>
        </w:rPr>
      </w:pPr>
      <w:r>
        <w:rPr>
          <w:rFonts w:ascii="Arial;Helvetica;sans-serif" w:hAnsi="Arial;Helvetica;sans-serif"/>
          <w:b/>
          <w:i w:val="false"/>
          <w:caps/>
          <w:color w:val="1F2668"/>
          <w:spacing w:val="-4"/>
          <w:sz w:val="42"/>
        </w:rPr>
        <w:t>APPENDIX A:</w:t>
      </w:r>
      <w:r>
        <w:rPr>
          <w:rFonts w:ascii="Arial;Helvetica;sans-serif" w:hAnsi="Arial;Helvetica;sans-serif"/>
          <w:b/>
          <w:i w:val="false"/>
          <w:caps w:val="false"/>
          <w:smallCaps w:val="false"/>
          <w:color w:val="1F2668"/>
          <w:sz w:val="42"/>
        </w:rPr>
        <w:t xml:space="preserve"> </w:t>
      </w:r>
    </w:p>
    <w:p>
      <w:pPr>
        <w:pStyle w:val="TextBody"/>
        <w:bidi w:val="0"/>
        <w:spacing w:lineRule="atLeast" w:line="340" w:before="400" w:after="283"/>
        <w:jc w:val="left"/>
        <w:rPr>
          <w:rFonts w:ascii="Arial;Helvetica;sans-serif" w:hAnsi="Arial;Helvetica;sans-serif"/>
          <w:b/>
          <w:i w:val="false"/>
          <w:caps/>
          <w:color w:val="83AD40"/>
          <w:spacing w:val="-3"/>
          <w:sz w:val="32"/>
        </w:rPr>
      </w:pPr>
      <w:r>
        <w:rPr>
          <w:rFonts w:ascii="Arial;Helvetica;sans-serif" w:hAnsi="Arial;Helvetica;sans-serif"/>
          <w:b/>
          <w:i w:val="false"/>
          <w:caps/>
          <w:color w:val="83AD40"/>
          <w:spacing w:val="-3"/>
          <w:sz w:val="32"/>
        </w:rPr>
        <w:t xml:space="preserve">INFORMATION REGARDING CERTAIN FINANCIAL MEASURES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Below is a reconciliation of net income attributable to our stockholders to Funds from Operations, or FFO, per share for the twelve months ended December 31, 2025 (amounts in thousands, except per share data).</w:t>
      </w:r>
      <w:r>
        <w:rPr>
          <w:rFonts w:ascii="Arial;Helvetica;sans-serif" w:hAnsi="Arial;Helvetica;sans-serif"/>
          <w:b w:val="false"/>
          <w:i w:val="false"/>
          <w:caps w:val="false"/>
          <w:smallCaps w:val="false"/>
          <w:color w:val="000000"/>
          <w:spacing w:val="4"/>
          <w:sz w:val="18"/>
        </w:rPr>
        <w:t xml:space="preserve"> </w:t>
      </w:r>
    </w:p>
    <w:tbl>
      <w:tblPr>
        <w:tblW w:w="9305" w:type="dxa"/>
        <w:jc w:val="left"/>
        <w:tblInd w:w="900" w:type="dxa"/>
        <w:tblLayout w:type="fixed"/>
        <w:tblCellMar>
          <w:top w:w="0" w:type="dxa"/>
          <w:left w:w="0" w:type="dxa"/>
          <w:bottom w:w="63" w:type="dxa"/>
          <w:right w:w="0" w:type="dxa"/>
        </w:tblCellMar>
      </w:tblPr>
      <w:tblGrid>
        <w:gridCol w:w="7321"/>
        <w:gridCol w:w="109"/>
        <w:gridCol w:w="109"/>
        <w:gridCol w:w="118"/>
        <w:gridCol w:w="245"/>
        <w:gridCol w:w="1128"/>
        <w:gridCol w:w="118"/>
        <w:gridCol w:w="157"/>
      </w:tblGrid>
      <w:tr>
        <w:trPr/>
        <w:tc>
          <w:tcPr>
            <w:tcW w:w="7321" w:type="dxa"/>
            <w:tcBorders>
              <w:bottom w:val="single" w:sz="2" w:space="0" w:color="1F2668"/>
            </w:tcBorders>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09" w:type="dxa"/>
            <w:gridSpan w:val="4"/>
            <w:tcBorders>
              <w:bottom w:val="single" w:sz="2" w:space="0" w:color="1F2668"/>
            </w:tcBorders>
            <w:vAlign w:val="center"/>
          </w:tcPr>
          <w:p>
            <w:pPr>
              <w:pStyle w:val="TableContents"/>
              <w:bidi w:val="0"/>
              <w:spacing w:before="0" w:after="0"/>
              <w:jc w:val="right"/>
              <w:rPr/>
            </w:pPr>
            <w:r>
              <w:rPr>
                <w:spacing w:val="-2"/>
              </w:rPr>
              <w:t xml:space="preserve">Twelve months </w:t>
              <w:br/>
              <w:t xml:space="preserve">ended </w:t>
              <w:br/>
              <w:t xml:space="preserve">December 31, </w:t>
              <w:br/>
              <w:t>2025</w:t>
            </w:r>
            <w:r>
              <w:rPr/>
              <w:t xml:space="preserve"> </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321" w:type="dxa"/>
            <w:tcBorders>
              <w:bottom w:val="single" w:sz="2" w:space="0" w:color="4B5088"/>
            </w:tcBorders>
            <w:tcMar>
              <w:bottom w:w="35" w:type="dxa"/>
            </w:tcMar>
            <w:vAlign w:val="center"/>
          </w:tcPr>
          <w:p>
            <w:pPr>
              <w:pStyle w:val="TableContents"/>
              <w:bidi w:val="0"/>
              <w:spacing w:before="0" w:after="283"/>
              <w:jc w:val="left"/>
              <w:rPr/>
            </w:pPr>
            <w:r>
              <w:rPr>
                <w:spacing w:val="-2"/>
              </w:rPr>
              <w:t>FFO Reconciliation:</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8" w:type="dxa"/>
            <w:tcBorders>
              <w:bottom w:val="single" w:sz="2" w:space="0" w:color="4B5088"/>
            </w:tcBorders>
            <w:tcMar>
              <w:bottom w:w="28" w:type="dxa"/>
            </w:tcMar>
            <w:vAlign w:val="center"/>
          </w:tcPr>
          <w:p>
            <w:pPr>
              <w:pStyle w:val="TableContents"/>
              <w:bidi w:val="0"/>
              <w:spacing w:before="0" w:after="283"/>
              <w:jc w:val="left"/>
              <w:rPr/>
            </w:pPr>
            <w:r>
              <w:rPr/>
              <w:t>​</w:t>
            </w:r>
          </w:p>
        </w:tc>
        <w:tc>
          <w:tcPr>
            <w:tcW w:w="245" w:type="dxa"/>
            <w:tcBorders>
              <w:bottom w:val="single" w:sz="2" w:space="0" w:color="4B5088"/>
            </w:tcBorders>
            <w:tcMar>
              <w:bottom w:w="35" w:type="dxa"/>
            </w:tcMar>
            <w:vAlign w:val="center"/>
          </w:tcPr>
          <w:p>
            <w:pPr>
              <w:pStyle w:val="TableContents"/>
              <w:bidi w:val="0"/>
              <w:spacing w:before="0" w:after="283"/>
              <w:jc w:val="right"/>
              <w:rPr/>
            </w:pPr>
            <w:r>
              <w:rPr/>
              <w:t>​</w:t>
            </w:r>
          </w:p>
        </w:tc>
        <w:tc>
          <w:tcPr>
            <w:tcW w:w="1128" w:type="dxa"/>
            <w:tcBorders>
              <w:bottom w:val="single" w:sz="2" w:space="0" w:color="4B5088"/>
            </w:tcBorders>
            <w:tcMar>
              <w:bottom w:w="35" w:type="dxa"/>
            </w:tcMar>
            <w:vAlign w:val="center"/>
          </w:tcPr>
          <w:p>
            <w:pPr>
              <w:pStyle w:val="TableContents"/>
              <w:bidi w:val="0"/>
              <w:spacing w:before="0" w:after="283"/>
              <w:jc w:val="right"/>
              <w:rPr/>
            </w:pPr>
            <w:r>
              <w:rPr/>
              <w:t>​</w:t>
            </w:r>
          </w:p>
        </w:tc>
        <w:tc>
          <w:tcPr>
            <w:tcW w:w="118" w:type="dxa"/>
            <w:tcBorders>
              <w:bottom w:val="single" w:sz="2" w:space="0" w:color="4B5088"/>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321"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Net loss attributable to SL Green common stockholders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8" w:type="dxa"/>
            <w:tcBorders>
              <w:bottom w:val="single" w:sz="2" w:space="0" w:color="4B5088"/>
            </w:tcBorders>
            <w:tcMar>
              <w:bottom w:w="28" w:type="dxa"/>
            </w:tcMar>
            <w:vAlign w:val="center"/>
          </w:tcPr>
          <w:p>
            <w:pPr>
              <w:pStyle w:val="TableContents"/>
              <w:bidi w:val="0"/>
              <w:spacing w:before="0" w:after="283"/>
              <w:jc w:val="left"/>
              <w:rPr/>
            </w:pPr>
            <w:r>
              <w:rPr/>
              <w:t>​</w:t>
            </w:r>
          </w:p>
        </w:tc>
        <w:tc>
          <w:tcPr>
            <w:tcW w:w="245" w:type="dxa"/>
            <w:tcBorders>
              <w:bottom w:val="single" w:sz="2" w:space="0" w:color="4B5088"/>
            </w:tcBorders>
            <w:tcMar>
              <w:bottom w:w="35" w:type="dxa"/>
            </w:tcMar>
            <w:vAlign w:val="center"/>
          </w:tcPr>
          <w:p>
            <w:pPr>
              <w:pStyle w:val="TableContents"/>
              <w:bidi w:val="0"/>
              <w:spacing w:before="0" w:after="283"/>
              <w:jc w:val="right"/>
              <w:rPr/>
            </w:pPr>
            <w:r>
              <w:rPr/>
              <w:t>$</w:t>
            </w:r>
          </w:p>
        </w:tc>
        <w:tc>
          <w:tcPr>
            <w:tcW w:w="1128" w:type="dxa"/>
            <w:tcBorders>
              <w:bottom w:val="single" w:sz="2" w:space="0" w:color="4B5088"/>
            </w:tcBorders>
            <w:tcMar>
              <w:bottom w:w="35" w:type="dxa"/>
            </w:tcMar>
            <w:vAlign w:val="center"/>
          </w:tcPr>
          <w:p>
            <w:pPr>
              <w:pStyle w:val="TableContents"/>
              <w:bidi w:val="0"/>
              <w:spacing w:before="0" w:after="283"/>
              <w:jc w:val="right"/>
              <w:rPr/>
            </w:pPr>
            <w:r>
              <w:rPr/>
              <w:t>(111,860)</w:t>
            </w:r>
          </w:p>
        </w:tc>
        <w:tc>
          <w:tcPr>
            <w:tcW w:w="118" w:type="dxa"/>
            <w:tcBorders>
              <w:bottom w:val="single" w:sz="2" w:space="0" w:color="4B5088"/>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321"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Add: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8" w:type="dxa"/>
            <w:tcBorders>
              <w:bottom w:val="single" w:sz="2" w:space="0" w:color="4B5088"/>
            </w:tcBorders>
            <w:tcMar>
              <w:bottom w:w="28" w:type="dxa"/>
            </w:tcMar>
            <w:vAlign w:val="center"/>
          </w:tcPr>
          <w:p>
            <w:pPr>
              <w:pStyle w:val="TableContents"/>
              <w:bidi w:val="0"/>
              <w:spacing w:before="0" w:after="283"/>
              <w:jc w:val="left"/>
              <w:rPr/>
            </w:pPr>
            <w:r>
              <w:rPr/>
              <w:t>​</w:t>
            </w:r>
          </w:p>
        </w:tc>
        <w:tc>
          <w:tcPr>
            <w:tcW w:w="245" w:type="dxa"/>
            <w:tcBorders>
              <w:bottom w:val="single" w:sz="2" w:space="0" w:color="4B5088"/>
            </w:tcBorders>
            <w:tcMar>
              <w:bottom w:w="35" w:type="dxa"/>
            </w:tcMar>
            <w:vAlign w:val="center"/>
          </w:tcPr>
          <w:p>
            <w:pPr>
              <w:pStyle w:val="TableContents"/>
              <w:bidi w:val="0"/>
              <w:spacing w:before="0" w:after="283"/>
              <w:jc w:val="right"/>
              <w:rPr/>
            </w:pPr>
            <w:r>
              <w:rPr/>
              <w:t>​</w:t>
            </w:r>
          </w:p>
        </w:tc>
        <w:tc>
          <w:tcPr>
            <w:tcW w:w="1128" w:type="dxa"/>
            <w:tcBorders>
              <w:bottom w:val="single" w:sz="2" w:space="0" w:color="4B5088"/>
            </w:tcBorders>
            <w:tcMar>
              <w:bottom w:w="35" w:type="dxa"/>
            </w:tcMar>
            <w:vAlign w:val="center"/>
          </w:tcPr>
          <w:p>
            <w:pPr>
              <w:pStyle w:val="TableContents"/>
              <w:bidi w:val="0"/>
              <w:spacing w:before="0" w:after="283"/>
              <w:jc w:val="right"/>
              <w:rPr/>
            </w:pPr>
            <w:r>
              <w:rPr/>
              <w:t>​</w:t>
            </w:r>
          </w:p>
        </w:tc>
        <w:tc>
          <w:tcPr>
            <w:tcW w:w="118" w:type="dxa"/>
            <w:tcBorders>
              <w:bottom w:val="single" w:sz="2" w:space="0" w:color="4B5088"/>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321"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Depreciation and amortization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8" w:type="dxa"/>
            <w:tcBorders>
              <w:bottom w:val="single" w:sz="2" w:space="0" w:color="4B5088"/>
            </w:tcBorders>
            <w:tcMar>
              <w:bottom w:w="28" w:type="dxa"/>
            </w:tcMar>
            <w:vAlign w:val="center"/>
          </w:tcPr>
          <w:p>
            <w:pPr>
              <w:pStyle w:val="TableContents"/>
              <w:bidi w:val="0"/>
              <w:spacing w:before="0" w:after="283"/>
              <w:jc w:val="left"/>
              <w:rPr/>
            </w:pPr>
            <w:r>
              <w:rPr/>
              <w:t>​</w:t>
            </w:r>
          </w:p>
        </w:tc>
        <w:tc>
          <w:tcPr>
            <w:tcW w:w="245" w:type="dxa"/>
            <w:tcBorders>
              <w:bottom w:val="single" w:sz="2" w:space="0" w:color="4B5088"/>
            </w:tcBorders>
            <w:tcMar>
              <w:bottom w:w="35" w:type="dxa"/>
            </w:tcMar>
            <w:vAlign w:val="center"/>
          </w:tcPr>
          <w:p>
            <w:pPr>
              <w:pStyle w:val="TableContents"/>
              <w:bidi w:val="0"/>
              <w:spacing w:before="0" w:after="283"/>
              <w:jc w:val="right"/>
              <w:rPr/>
            </w:pPr>
            <w:r>
              <w:rPr/>
              <w:t>​</w:t>
            </w:r>
          </w:p>
        </w:tc>
        <w:tc>
          <w:tcPr>
            <w:tcW w:w="1128" w:type="dxa"/>
            <w:tcBorders>
              <w:bottom w:val="single" w:sz="2" w:space="0" w:color="4B5088"/>
            </w:tcBorders>
            <w:tcMar>
              <w:bottom w:w="35" w:type="dxa"/>
            </w:tcMar>
            <w:vAlign w:val="center"/>
          </w:tcPr>
          <w:p>
            <w:pPr>
              <w:pStyle w:val="TableContents"/>
              <w:bidi w:val="0"/>
              <w:spacing w:before="0" w:after="283"/>
              <w:jc w:val="right"/>
              <w:rPr/>
            </w:pPr>
            <w:r>
              <w:rPr/>
              <w:t>255,713</w:t>
            </w:r>
          </w:p>
        </w:tc>
        <w:tc>
          <w:tcPr>
            <w:tcW w:w="118" w:type="dxa"/>
            <w:tcBorders>
              <w:bottom w:val="single" w:sz="2" w:space="0" w:color="4B5088"/>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321"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Joint venture depreciation and noncontrolling interest adjustments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8" w:type="dxa"/>
            <w:tcBorders>
              <w:bottom w:val="single" w:sz="2" w:space="0" w:color="4B5088"/>
            </w:tcBorders>
            <w:tcMar>
              <w:bottom w:w="28" w:type="dxa"/>
            </w:tcMar>
            <w:vAlign w:val="center"/>
          </w:tcPr>
          <w:p>
            <w:pPr>
              <w:pStyle w:val="TableContents"/>
              <w:bidi w:val="0"/>
              <w:spacing w:before="0" w:after="283"/>
              <w:jc w:val="left"/>
              <w:rPr/>
            </w:pPr>
            <w:r>
              <w:rPr/>
              <w:t>​</w:t>
            </w:r>
          </w:p>
        </w:tc>
        <w:tc>
          <w:tcPr>
            <w:tcW w:w="245" w:type="dxa"/>
            <w:tcBorders>
              <w:bottom w:val="single" w:sz="2" w:space="0" w:color="4B5088"/>
            </w:tcBorders>
            <w:tcMar>
              <w:bottom w:w="35" w:type="dxa"/>
            </w:tcMar>
            <w:vAlign w:val="center"/>
          </w:tcPr>
          <w:p>
            <w:pPr>
              <w:pStyle w:val="TableContents"/>
              <w:bidi w:val="0"/>
              <w:spacing w:before="0" w:after="283"/>
              <w:jc w:val="right"/>
              <w:rPr/>
            </w:pPr>
            <w:r>
              <w:rPr/>
              <w:t>​</w:t>
            </w:r>
          </w:p>
        </w:tc>
        <w:tc>
          <w:tcPr>
            <w:tcW w:w="1128" w:type="dxa"/>
            <w:tcBorders>
              <w:bottom w:val="single" w:sz="2" w:space="0" w:color="4B5088"/>
            </w:tcBorders>
            <w:tcMar>
              <w:bottom w:w="35" w:type="dxa"/>
            </w:tcMar>
            <w:vAlign w:val="center"/>
          </w:tcPr>
          <w:p>
            <w:pPr>
              <w:pStyle w:val="TableContents"/>
              <w:bidi w:val="0"/>
              <w:spacing w:before="0" w:after="283"/>
              <w:jc w:val="right"/>
              <w:rPr/>
            </w:pPr>
            <w:r>
              <w:rPr/>
              <w:t>312,025</w:t>
            </w:r>
          </w:p>
        </w:tc>
        <w:tc>
          <w:tcPr>
            <w:tcW w:w="118" w:type="dxa"/>
            <w:tcBorders>
              <w:bottom w:val="single" w:sz="2" w:space="0" w:color="4B5088"/>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321"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Net loss attributable to noncontrolling interests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8" w:type="dxa"/>
            <w:tcBorders>
              <w:bottom w:val="single" w:sz="2" w:space="0" w:color="4B5088"/>
            </w:tcBorders>
            <w:tcMar>
              <w:bottom w:w="28" w:type="dxa"/>
            </w:tcMar>
            <w:vAlign w:val="center"/>
          </w:tcPr>
          <w:p>
            <w:pPr>
              <w:pStyle w:val="TableContents"/>
              <w:bidi w:val="0"/>
              <w:spacing w:before="0" w:after="283"/>
              <w:jc w:val="left"/>
              <w:rPr/>
            </w:pPr>
            <w:r>
              <w:rPr/>
              <w:t>​</w:t>
            </w:r>
          </w:p>
        </w:tc>
        <w:tc>
          <w:tcPr>
            <w:tcW w:w="245" w:type="dxa"/>
            <w:tcBorders>
              <w:bottom w:val="single" w:sz="2" w:space="0" w:color="4B5088"/>
            </w:tcBorders>
            <w:tcMar>
              <w:bottom w:w="35" w:type="dxa"/>
            </w:tcMar>
            <w:vAlign w:val="center"/>
          </w:tcPr>
          <w:p>
            <w:pPr>
              <w:pStyle w:val="TableContents"/>
              <w:bidi w:val="0"/>
              <w:spacing w:before="0" w:after="283"/>
              <w:jc w:val="right"/>
              <w:rPr/>
            </w:pPr>
            <w:r>
              <w:rPr/>
              <w:t>​</w:t>
            </w:r>
          </w:p>
        </w:tc>
        <w:tc>
          <w:tcPr>
            <w:tcW w:w="1128" w:type="dxa"/>
            <w:tcBorders>
              <w:bottom w:val="single" w:sz="2" w:space="0" w:color="4B5088"/>
            </w:tcBorders>
            <w:tcMar>
              <w:bottom w:w="35" w:type="dxa"/>
            </w:tcMar>
            <w:vAlign w:val="center"/>
          </w:tcPr>
          <w:p>
            <w:pPr>
              <w:pStyle w:val="TableContents"/>
              <w:bidi w:val="0"/>
              <w:spacing w:before="0" w:after="283"/>
              <w:jc w:val="right"/>
              <w:rPr/>
            </w:pPr>
            <w:r>
              <w:rPr/>
              <w:t>(8,644)</w:t>
            </w:r>
          </w:p>
        </w:tc>
        <w:tc>
          <w:tcPr>
            <w:tcW w:w="118" w:type="dxa"/>
            <w:tcBorders>
              <w:bottom w:val="single" w:sz="2" w:space="0" w:color="4B5088"/>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321"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Less: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8" w:type="dxa"/>
            <w:tcBorders>
              <w:bottom w:val="single" w:sz="2" w:space="0" w:color="4B5088"/>
            </w:tcBorders>
            <w:tcMar>
              <w:bottom w:w="28" w:type="dxa"/>
            </w:tcMar>
            <w:vAlign w:val="center"/>
          </w:tcPr>
          <w:p>
            <w:pPr>
              <w:pStyle w:val="TableContents"/>
              <w:bidi w:val="0"/>
              <w:spacing w:before="0" w:after="283"/>
              <w:jc w:val="left"/>
              <w:rPr/>
            </w:pPr>
            <w:r>
              <w:rPr/>
              <w:t>​</w:t>
            </w:r>
          </w:p>
        </w:tc>
        <w:tc>
          <w:tcPr>
            <w:tcW w:w="245" w:type="dxa"/>
            <w:tcBorders>
              <w:bottom w:val="single" w:sz="2" w:space="0" w:color="4B5088"/>
            </w:tcBorders>
            <w:tcMar>
              <w:bottom w:w="35" w:type="dxa"/>
            </w:tcMar>
            <w:vAlign w:val="center"/>
          </w:tcPr>
          <w:p>
            <w:pPr>
              <w:pStyle w:val="TableContents"/>
              <w:bidi w:val="0"/>
              <w:spacing w:before="0" w:after="283"/>
              <w:jc w:val="right"/>
              <w:rPr/>
            </w:pPr>
            <w:r>
              <w:rPr/>
              <w:t>​</w:t>
            </w:r>
          </w:p>
        </w:tc>
        <w:tc>
          <w:tcPr>
            <w:tcW w:w="1128" w:type="dxa"/>
            <w:tcBorders>
              <w:bottom w:val="single" w:sz="2" w:space="0" w:color="4B5088"/>
            </w:tcBorders>
            <w:tcMar>
              <w:bottom w:w="35" w:type="dxa"/>
            </w:tcMar>
            <w:vAlign w:val="center"/>
          </w:tcPr>
          <w:p>
            <w:pPr>
              <w:pStyle w:val="TableContents"/>
              <w:bidi w:val="0"/>
              <w:spacing w:before="0" w:after="283"/>
              <w:jc w:val="right"/>
              <w:rPr/>
            </w:pPr>
            <w:r>
              <w:rPr/>
              <w:t>​</w:t>
            </w:r>
          </w:p>
        </w:tc>
        <w:tc>
          <w:tcPr>
            <w:tcW w:w="118" w:type="dxa"/>
            <w:tcBorders>
              <w:bottom w:val="single" w:sz="2" w:space="0" w:color="4B5088"/>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321"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Equity in net gain on sale of interest in unconsolidated joint venture/real estate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8" w:type="dxa"/>
            <w:tcBorders>
              <w:bottom w:val="single" w:sz="2" w:space="0" w:color="4B5088"/>
            </w:tcBorders>
            <w:tcMar>
              <w:bottom w:w="28" w:type="dxa"/>
            </w:tcMar>
            <w:vAlign w:val="center"/>
          </w:tcPr>
          <w:p>
            <w:pPr>
              <w:pStyle w:val="TableContents"/>
              <w:bidi w:val="0"/>
              <w:spacing w:before="0" w:after="283"/>
              <w:jc w:val="left"/>
              <w:rPr/>
            </w:pPr>
            <w:r>
              <w:rPr/>
              <w:t>​</w:t>
            </w:r>
          </w:p>
        </w:tc>
        <w:tc>
          <w:tcPr>
            <w:tcW w:w="245" w:type="dxa"/>
            <w:tcBorders>
              <w:bottom w:val="single" w:sz="2" w:space="0" w:color="4B5088"/>
            </w:tcBorders>
            <w:tcMar>
              <w:bottom w:w="35" w:type="dxa"/>
            </w:tcMar>
            <w:vAlign w:val="center"/>
          </w:tcPr>
          <w:p>
            <w:pPr>
              <w:pStyle w:val="TableContents"/>
              <w:bidi w:val="0"/>
              <w:spacing w:before="0" w:after="283"/>
              <w:jc w:val="right"/>
              <w:rPr/>
            </w:pPr>
            <w:r>
              <w:rPr/>
              <w:t>​</w:t>
            </w:r>
          </w:p>
        </w:tc>
        <w:tc>
          <w:tcPr>
            <w:tcW w:w="1128" w:type="dxa"/>
            <w:tcBorders>
              <w:bottom w:val="single" w:sz="2" w:space="0" w:color="4B5088"/>
            </w:tcBorders>
            <w:tcMar>
              <w:bottom w:w="35" w:type="dxa"/>
            </w:tcMar>
            <w:vAlign w:val="center"/>
          </w:tcPr>
          <w:p>
            <w:pPr>
              <w:pStyle w:val="TableContents"/>
              <w:bidi w:val="0"/>
              <w:spacing w:before="0" w:after="283"/>
              <w:jc w:val="right"/>
              <w:rPr/>
            </w:pPr>
            <w:r>
              <w:rPr/>
              <w:t>86,068</w:t>
            </w:r>
          </w:p>
        </w:tc>
        <w:tc>
          <w:tcPr>
            <w:tcW w:w="118" w:type="dxa"/>
            <w:tcBorders>
              <w:bottom w:val="single" w:sz="2" w:space="0" w:color="4B5088"/>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321"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Purchase price and other fair value adjustments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8" w:type="dxa"/>
            <w:tcBorders>
              <w:bottom w:val="single" w:sz="2" w:space="0" w:color="4B5088"/>
            </w:tcBorders>
            <w:tcMar>
              <w:bottom w:w="28" w:type="dxa"/>
            </w:tcMar>
            <w:vAlign w:val="center"/>
          </w:tcPr>
          <w:p>
            <w:pPr>
              <w:pStyle w:val="TableContents"/>
              <w:bidi w:val="0"/>
              <w:spacing w:before="0" w:after="283"/>
              <w:jc w:val="left"/>
              <w:rPr/>
            </w:pPr>
            <w:r>
              <w:rPr/>
              <w:t>​</w:t>
            </w:r>
          </w:p>
        </w:tc>
        <w:tc>
          <w:tcPr>
            <w:tcW w:w="245" w:type="dxa"/>
            <w:tcBorders>
              <w:bottom w:val="single" w:sz="2" w:space="0" w:color="4B5088"/>
            </w:tcBorders>
            <w:tcMar>
              <w:bottom w:w="35" w:type="dxa"/>
            </w:tcMar>
            <w:vAlign w:val="center"/>
          </w:tcPr>
          <w:p>
            <w:pPr>
              <w:pStyle w:val="TableContents"/>
              <w:bidi w:val="0"/>
              <w:spacing w:before="0" w:after="283"/>
              <w:jc w:val="right"/>
              <w:rPr/>
            </w:pPr>
            <w:r>
              <w:rPr/>
              <w:t>​</w:t>
            </w:r>
          </w:p>
        </w:tc>
        <w:tc>
          <w:tcPr>
            <w:tcW w:w="1128" w:type="dxa"/>
            <w:tcBorders>
              <w:bottom w:val="single" w:sz="2" w:space="0" w:color="4B5088"/>
            </w:tcBorders>
            <w:tcMar>
              <w:bottom w:w="35" w:type="dxa"/>
            </w:tcMar>
            <w:vAlign w:val="center"/>
          </w:tcPr>
          <w:p>
            <w:pPr>
              <w:pStyle w:val="TableContents"/>
              <w:bidi w:val="0"/>
              <w:spacing w:before="0" w:after="283"/>
              <w:jc w:val="right"/>
              <w:rPr/>
            </w:pPr>
            <w:r>
              <w:rPr/>
              <w:t>(33,517)</w:t>
            </w:r>
          </w:p>
        </w:tc>
        <w:tc>
          <w:tcPr>
            <w:tcW w:w="118" w:type="dxa"/>
            <w:tcBorders>
              <w:bottom w:val="single" w:sz="2" w:space="0" w:color="4B5088"/>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321"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Loss on sale of real estate, net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8" w:type="dxa"/>
            <w:tcBorders>
              <w:bottom w:val="single" w:sz="2" w:space="0" w:color="4B5088"/>
            </w:tcBorders>
            <w:tcMar>
              <w:bottom w:w="28" w:type="dxa"/>
            </w:tcMar>
            <w:vAlign w:val="center"/>
          </w:tcPr>
          <w:p>
            <w:pPr>
              <w:pStyle w:val="TableContents"/>
              <w:bidi w:val="0"/>
              <w:spacing w:before="0" w:after="283"/>
              <w:jc w:val="left"/>
              <w:rPr/>
            </w:pPr>
            <w:r>
              <w:rPr/>
              <w:t>​</w:t>
            </w:r>
          </w:p>
        </w:tc>
        <w:tc>
          <w:tcPr>
            <w:tcW w:w="245" w:type="dxa"/>
            <w:tcBorders>
              <w:bottom w:val="single" w:sz="2" w:space="0" w:color="4B5088"/>
            </w:tcBorders>
            <w:tcMar>
              <w:bottom w:w="35" w:type="dxa"/>
            </w:tcMar>
            <w:vAlign w:val="center"/>
          </w:tcPr>
          <w:p>
            <w:pPr>
              <w:pStyle w:val="TableContents"/>
              <w:bidi w:val="0"/>
              <w:spacing w:before="0" w:after="283"/>
              <w:jc w:val="right"/>
              <w:rPr/>
            </w:pPr>
            <w:r>
              <w:rPr/>
              <w:t>​</w:t>
            </w:r>
          </w:p>
        </w:tc>
        <w:tc>
          <w:tcPr>
            <w:tcW w:w="1128" w:type="dxa"/>
            <w:tcBorders>
              <w:bottom w:val="single" w:sz="2" w:space="0" w:color="4B5088"/>
            </w:tcBorders>
            <w:tcMar>
              <w:bottom w:w="35" w:type="dxa"/>
            </w:tcMar>
            <w:vAlign w:val="center"/>
          </w:tcPr>
          <w:p>
            <w:pPr>
              <w:pStyle w:val="TableContents"/>
              <w:bidi w:val="0"/>
              <w:spacing w:before="0" w:after="283"/>
              <w:jc w:val="right"/>
              <w:rPr/>
            </w:pPr>
            <w:r>
              <w:rPr/>
              <w:t>(2,143)</w:t>
            </w:r>
          </w:p>
        </w:tc>
        <w:tc>
          <w:tcPr>
            <w:tcW w:w="118" w:type="dxa"/>
            <w:tcBorders>
              <w:bottom w:val="single" w:sz="2" w:space="0" w:color="4B5088"/>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321" w:type="dxa"/>
            <w:tcBorders>
              <w:bottom w:val="single" w:sz="2" w:space="0" w:color="4B5088"/>
            </w:tcBorders>
            <w:tcMar>
              <w:bottom w:w="35" w:type="dxa"/>
            </w:tcMar>
            <w:vAlign w:val="center"/>
          </w:tcPr>
          <w:p>
            <w:pPr>
              <w:pStyle w:val="TableContents"/>
              <w:bidi w:val="0"/>
              <w:spacing w:before="0" w:after="283"/>
              <w:jc w:val="left"/>
              <w:rPr/>
            </w:pPr>
            <w:r>
              <w:rPr>
                <w:spacing w:val="-2"/>
              </w:rPr>
              <w:t>Depreciable real estate reserves</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8" w:type="dxa"/>
            <w:tcBorders>
              <w:bottom w:val="single" w:sz="2" w:space="0" w:color="4B5088"/>
            </w:tcBorders>
            <w:tcMar>
              <w:bottom w:w="28" w:type="dxa"/>
            </w:tcMar>
            <w:vAlign w:val="center"/>
          </w:tcPr>
          <w:p>
            <w:pPr>
              <w:pStyle w:val="TableContents"/>
              <w:bidi w:val="0"/>
              <w:spacing w:before="0" w:after="283"/>
              <w:jc w:val="left"/>
              <w:rPr/>
            </w:pPr>
            <w:r>
              <w:rPr/>
              <w:t>​</w:t>
            </w:r>
          </w:p>
        </w:tc>
        <w:tc>
          <w:tcPr>
            <w:tcW w:w="245" w:type="dxa"/>
            <w:tcBorders>
              <w:bottom w:val="single" w:sz="2" w:space="0" w:color="4B5088"/>
            </w:tcBorders>
            <w:tcMar>
              <w:bottom w:w="35" w:type="dxa"/>
            </w:tcMar>
            <w:vAlign w:val="center"/>
          </w:tcPr>
          <w:p>
            <w:pPr>
              <w:pStyle w:val="TableContents"/>
              <w:bidi w:val="0"/>
              <w:spacing w:before="0" w:after="283"/>
              <w:jc w:val="right"/>
              <w:rPr/>
            </w:pPr>
            <w:r>
              <w:rPr/>
              <w:t>​</w:t>
            </w:r>
          </w:p>
        </w:tc>
        <w:tc>
          <w:tcPr>
            <w:tcW w:w="1128" w:type="dxa"/>
            <w:tcBorders>
              <w:bottom w:val="single" w:sz="2" w:space="0" w:color="4B5088"/>
            </w:tcBorders>
            <w:tcMar>
              <w:bottom w:w="35" w:type="dxa"/>
            </w:tcMar>
            <w:vAlign w:val="center"/>
          </w:tcPr>
          <w:p>
            <w:pPr>
              <w:pStyle w:val="TableContents"/>
              <w:bidi w:val="0"/>
              <w:spacing w:before="0" w:after="283"/>
              <w:jc w:val="right"/>
              <w:rPr/>
            </w:pPr>
            <w:r>
              <w:rPr/>
              <w:t>(32,092)</w:t>
            </w:r>
          </w:p>
        </w:tc>
        <w:tc>
          <w:tcPr>
            <w:tcW w:w="118" w:type="dxa"/>
            <w:tcBorders>
              <w:bottom w:val="single" w:sz="2" w:space="0" w:color="4B5088"/>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321"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Depreciable real estate reserves in unconsolidated joint venture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8" w:type="dxa"/>
            <w:tcBorders>
              <w:bottom w:val="single" w:sz="2" w:space="0" w:color="4B5088"/>
            </w:tcBorders>
            <w:tcMar>
              <w:bottom w:w="28" w:type="dxa"/>
            </w:tcMar>
            <w:vAlign w:val="center"/>
          </w:tcPr>
          <w:p>
            <w:pPr>
              <w:pStyle w:val="TableContents"/>
              <w:bidi w:val="0"/>
              <w:spacing w:before="0" w:after="283"/>
              <w:jc w:val="left"/>
              <w:rPr/>
            </w:pPr>
            <w:r>
              <w:rPr/>
              <w:t>​</w:t>
            </w:r>
          </w:p>
        </w:tc>
        <w:tc>
          <w:tcPr>
            <w:tcW w:w="245" w:type="dxa"/>
            <w:tcBorders>
              <w:bottom w:val="single" w:sz="2" w:space="0" w:color="4B5088"/>
            </w:tcBorders>
            <w:tcMar>
              <w:bottom w:w="35" w:type="dxa"/>
            </w:tcMar>
            <w:vAlign w:val="center"/>
          </w:tcPr>
          <w:p>
            <w:pPr>
              <w:pStyle w:val="TableContents"/>
              <w:bidi w:val="0"/>
              <w:spacing w:before="0" w:after="283"/>
              <w:jc w:val="right"/>
              <w:rPr/>
            </w:pPr>
            <w:r>
              <w:rPr/>
              <w:t>​</w:t>
            </w:r>
          </w:p>
        </w:tc>
        <w:tc>
          <w:tcPr>
            <w:tcW w:w="1128" w:type="dxa"/>
            <w:tcBorders>
              <w:bottom w:val="single" w:sz="2" w:space="0" w:color="4B5088"/>
            </w:tcBorders>
            <w:tcMar>
              <w:bottom w:w="35" w:type="dxa"/>
            </w:tcMar>
            <w:vAlign w:val="center"/>
          </w:tcPr>
          <w:p>
            <w:pPr>
              <w:pStyle w:val="TableContents"/>
              <w:bidi w:val="0"/>
              <w:spacing w:before="0" w:after="283"/>
              <w:jc w:val="right"/>
              <w:rPr/>
            </w:pPr>
            <w:r>
              <w:rPr/>
              <w:t>(14,592)</w:t>
            </w:r>
          </w:p>
        </w:tc>
        <w:tc>
          <w:tcPr>
            <w:tcW w:w="118" w:type="dxa"/>
            <w:tcBorders>
              <w:bottom w:val="single" w:sz="2" w:space="0" w:color="4B5088"/>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321"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Depreciation on non-rental real estate assets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8" w:type="dxa"/>
            <w:tcBorders>
              <w:bottom w:val="single" w:sz="2" w:space="0" w:color="4B5088"/>
            </w:tcBorders>
            <w:tcMar>
              <w:bottom w:w="28" w:type="dxa"/>
            </w:tcMar>
            <w:vAlign w:val="center"/>
          </w:tcPr>
          <w:p>
            <w:pPr>
              <w:pStyle w:val="TableContents"/>
              <w:bidi w:val="0"/>
              <w:spacing w:before="0" w:after="283"/>
              <w:jc w:val="left"/>
              <w:rPr/>
            </w:pPr>
            <w:r>
              <w:rPr/>
              <w:t>​</w:t>
            </w:r>
          </w:p>
        </w:tc>
        <w:tc>
          <w:tcPr>
            <w:tcW w:w="245" w:type="dxa"/>
            <w:tcBorders>
              <w:bottom w:val="single" w:sz="2" w:space="0" w:color="4B5088"/>
            </w:tcBorders>
            <w:tcMar>
              <w:bottom w:w="35" w:type="dxa"/>
            </w:tcMar>
            <w:vAlign w:val="center"/>
          </w:tcPr>
          <w:p>
            <w:pPr>
              <w:pStyle w:val="TableContents"/>
              <w:bidi w:val="0"/>
              <w:spacing w:before="0" w:after="283"/>
              <w:jc w:val="right"/>
              <w:rPr/>
            </w:pPr>
            <w:r>
              <w:rPr/>
              <w:t>​</w:t>
            </w:r>
          </w:p>
        </w:tc>
        <w:tc>
          <w:tcPr>
            <w:tcW w:w="1128" w:type="dxa"/>
            <w:tcBorders>
              <w:bottom w:val="single" w:sz="2" w:space="0" w:color="4B5088"/>
            </w:tcBorders>
            <w:tcMar>
              <w:bottom w:w="35" w:type="dxa"/>
            </w:tcMar>
            <w:vAlign w:val="center"/>
          </w:tcPr>
          <w:p>
            <w:pPr>
              <w:pStyle w:val="TableContents"/>
              <w:bidi w:val="0"/>
              <w:spacing w:before="0" w:after="283"/>
              <w:jc w:val="right"/>
              <w:rPr/>
            </w:pPr>
            <w:r>
              <w:rPr/>
              <w:t>5,838</w:t>
            </w:r>
          </w:p>
        </w:tc>
        <w:tc>
          <w:tcPr>
            <w:tcW w:w="118" w:type="dxa"/>
            <w:tcBorders>
              <w:bottom w:val="single" w:sz="2" w:space="0" w:color="4B5088"/>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321" w:type="dxa"/>
            <w:tcBorders>
              <w:bottom w:val="single" w:sz="2" w:space="0" w:color="4B5088"/>
            </w:tcBorders>
            <w:tcMar>
              <w:bottom w:w="35" w:type="dxa"/>
            </w:tcMar>
            <w:vAlign w:val="center"/>
          </w:tcPr>
          <w:p>
            <w:pPr>
              <w:pStyle w:val="TableContents"/>
              <w:bidi w:val="0"/>
              <w:spacing w:before="0" w:after="283"/>
              <w:jc w:val="left"/>
              <w:rPr/>
            </w:pPr>
            <w:r>
              <w:rPr>
                <w:spacing w:val="-2"/>
              </w:rPr>
              <w:t>FFO attributable to SL Green common stockholders and unit holders</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8" w:type="dxa"/>
            <w:tcBorders>
              <w:bottom w:val="single" w:sz="2" w:space="0" w:color="4B5088"/>
            </w:tcBorders>
            <w:tcMar>
              <w:bottom w:w="28" w:type="dxa"/>
            </w:tcMar>
            <w:vAlign w:val="center"/>
          </w:tcPr>
          <w:p>
            <w:pPr>
              <w:pStyle w:val="TableContents"/>
              <w:bidi w:val="0"/>
              <w:spacing w:before="0" w:after="283"/>
              <w:jc w:val="left"/>
              <w:rPr/>
            </w:pPr>
            <w:r>
              <w:rPr/>
              <w:t>​</w:t>
            </w:r>
          </w:p>
        </w:tc>
        <w:tc>
          <w:tcPr>
            <w:tcW w:w="245" w:type="dxa"/>
            <w:tcBorders>
              <w:bottom w:val="single" w:sz="2" w:space="0" w:color="4B5088"/>
            </w:tcBorders>
            <w:tcMar>
              <w:bottom w:w="35" w:type="dxa"/>
            </w:tcMar>
            <w:vAlign w:val="center"/>
          </w:tcPr>
          <w:p>
            <w:pPr>
              <w:pStyle w:val="TableContents"/>
              <w:bidi w:val="0"/>
              <w:spacing w:before="0" w:after="283"/>
              <w:jc w:val="right"/>
              <w:rPr/>
            </w:pPr>
            <w:r>
              <w:rPr/>
              <w:t>$</w:t>
            </w:r>
          </w:p>
        </w:tc>
        <w:tc>
          <w:tcPr>
            <w:tcW w:w="1128" w:type="dxa"/>
            <w:tcBorders>
              <w:bottom w:val="single" w:sz="2" w:space="0" w:color="4B5088"/>
            </w:tcBorders>
            <w:tcMar>
              <w:bottom w:w="35" w:type="dxa"/>
            </w:tcMar>
            <w:vAlign w:val="center"/>
          </w:tcPr>
          <w:p>
            <w:pPr>
              <w:pStyle w:val="TableContents"/>
              <w:bidi w:val="0"/>
              <w:spacing w:before="0" w:after="283"/>
              <w:jc w:val="right"/>
              <w:rPr/>
            </w:pPr>
            <w:r>
              <w:rPr/>
              <w:t>437,672</w:t>
            </w:r>
          </w:p>
        </w:tc>
        <w:tc>
          <w:tcPr>
            <w:tcW w:w="118" w:type="dxa"/>
            <w:tcBorders>
              <w:bottom w:val="single" w:sz="2" w:space="0" w:color="4B5088"/>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321" w:type="dxa"/>
            <w:tcBorders>
              <w:bottom w:val="single" w:sz="2" w:space="0" w:color="4B5088"/>
            </w:tcBorders>
            <w:tcMar>
              <w:bottom w:w="35" w:type="dxa"/>
            </w:tcMar>
            <w:vAlign w:val="center"/>
          </w:tcPr>
          <w:p>
            <w:pPr>
              <w:pStyle w:val="TableContents"/>
              <w:bidi w:val="0"/>
              <w:spacing w:before="0" w:after="283"/>
              <w:jc w:val="left"/>
              <w:rPr/>
            </w:pPr>
            <w:r>
              <w:rPr>
                <w:spacing w:val="-2"/>
              </w:rPr>
              <w:t>Basic ownership interest:</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8" w:type="dxa"/>
            <w:tcBorders>
              <w:bottom w:val="single" w:sz="2" w:space="0" w:color="4B5088"/>
            </w:tcBorders>
            <w:tcMar>
              <w:bottom w:w="28" w:type="dxa"/>
            </w:tcMar>
            <w:vAlign w:val="center"/>
          </w:tcPr>
          <w:p>
            <w:pPr>
              <w:pStyle w:val="TableContents"/>
              <w:bidi w:val="0"/>
              <w:spacing w:before="0" w:after="283"/>
              <w:jc w:val="left"/>
              <w:rPr/>
            </w:pPr>
            <w:r>
              <w:rPr/>
              <w:t>​</w:t>
            </w:r>
          </w:p>
        </w:tc>
        <w:tc>
          <w:tcPr>
            <w:tcW w:w="245" w:type="dxa"/>
            <w:tcBorders>
              <w:bottom w:val="single" w:sz="2" w:space="0" w:color="4B5088"/>
            </w:tcBorders>
            <w:tcMar>
              <w:bottom w:w="35" w:type="dxa"/>
            </w:tcMar>
            <w:vAlign w:val="center"/>
          </w:tcPr>
          <w:p>
            <w:pPr>
              <w:pStyle w:val="TableContents"/>
              <w:bidi w:val="0"/>
              <w:spacing w:before="0" w:after="283"/>
              <w:jc w:val="right"/>
              <w:rPr/>
            </w:pPr>
            <w:r>
              <w:rPr/>
              <w:t>​</w:t>
            </w:r>
          </w:p>
        </w:tc>
        <w:tc>
          <w:tcPr>
            <w:tcW w:w="1128" w:type="dxa"/>
            <w:tcBorders>
              <w:bottom w:val="single" w:sz="2" w:space="0" w:color="4B5088"/>
            </w:tcBorders>
            <w:tcMar>
              <w:bottom w:w="35" w:type="dxa"/>
            </w:tcMar>
            <w:vAlign w:val="center"/>
          </w:tcPr>
          <w:p>
            <w:pPr>
              <w:pStyle w:val="TableContents"/>
              <w:bidi w:val="0"/>
              <w:spacing w:before="0" w:after="283"/>
              <w:jc w:val="right"/>
              <w:rPr/>
            </w:pPr>
            <w:r>
              <w:rPr/>
              <w:t>​</w:t>
            </w:r>
          </w:p>
        </w:tc>
        <w:tc>
          <w:tcPr>
            <w:tcW w:w="118" w:type="dxa"/>
            <w:tcBorders>
              <w:bottom w:val="single" w:sz="2" w:space="0" w:color="4B5088"/>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321"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Weighted average REIT common share and common share equivalents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8" w:type="dxa"/>
            <w:tcBorders>
              <w:bottom w:val="single" w:sz="2" w:space="0" w:color="4B5088"/>
            </w:tcBorders>
            <w:tcMar>
              <w:bottom w:w="28" w:type="dxa"/>
            </w:tcMar>
            <w:vAlign w:val="center"/>
          </w:tcPr>
          <w:p>
            <w:pPr>
              <w:pStyle w:val="TableContents"/>
              <w:bidi w:val="0"/>
              <w:spacing w:before="0" w:after="283"/>
              <w:jc w:val="left"/>
              <w:rPr/>
            </w:pPr>
            <w:r>
              <w:rPr/>
              <w:t>​</w:t>
            </w:r>
          </w:p>
        </w:tc>
        <w:tc>
          <w:tcPr>
            <w:tcW w:w="245" w:type="dxa"/>
            <w:tcBorders>
              <w:bottom w:val="single" w:sz="2" w:space="0" w:color="4B5088"/>
            </w:tcBorders>
            <w:tcMar>
              <w:bottom w:w="35" w:type="dxa"/>
            </w:tcMar>
            <w:vAlign w:val="center"/>
          </w:tcPr>
          <w:p>
            <w:pPr>
              <w:pStyle w:val="TableContents"/>
              <w:bidi w:val="0"/>
              <w:spacing w:before="0" w:after="283"/>
              <w:jc w:val="right"/>
              <w:rPr/>
            </w:pPr>
            <w:r>
              <w:rPr/>
              <w:t>​</w:t>
            </w:r>
          </w:p>
        </w:tc>
        <w:tc>
          <w:tcPr>
            <w:tcW w:w="1128" w:type="dxa"/>
            <w:tcBorders>
              <w:bottom w:val="single" w:sz="2" w:space="0" w:color="4B5088"/>
            </w:tcBorders>
            <w:tcMar>
              <w:bottom w:w="35" w:type="dxa"/>
            </w:tcMar>
            <w:vAlign w:val="center"/>
          </w:tcPr>
          <w:p>
            <w:pPr>
              <w:pStyle w:val="TableContents"/>
              <w:bidi w:val="0"/>
              <w:spacing w:before="0" w:after="283"/>
              <w:jc w:val="right"/>
              <w:rPr/>
            </w:pPr>
            <w:r>
              <w:rPr/>
              <w:t>70,443</w:t>
            </w:r>
          </w:p>
        </w:tc>
        <w:tc>
          <w:tcPr>
            <w:tcW w:w="118" w:type="dxa"/>
            <w:tcBorders>
              <w:bottom w:val="single" w:sz="2" w:space="0" w:color="4B5088"/>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321"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Weighted average partnership units held by noncontrolling interests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8" w:type="dxa"/>
            <w:tcBorders>
              <w:bottom w:val="single" w:sz="2" w:space="0" w:color="4B5088"/>
            </w:tcBorders>
            <w:tcMar>
              <w:bottom w:w="28" w:type="dxa"/>
            </w:tcMar>
            <w:vAlign w:val="center"/>
          </w:tcPr>
          <w:p>
            <w:pPr>
              <w:pStyle w:val="TableContents"/>
              <w:bidi w:val="0"/>
              <w:spacing w:before="0" w:after="283"/>
              <w:jc w:val="left"/>
              <w:rPr/>
            </w:pPr>
            <w:r>
              <w:rPr/>
              <w:t>​</w:t>
            </w:r>
          </w:p>
        </w:tc>
        <w:tc>
          <w:tcPr>
            <w:tcW w:w="245" w:type="dxa"/>
            <w:tcBorders>
              <w:bottom w:val="single" w:sz="2" w:space="0" w:color="4B5088"/>
            </w:tcBorders>
            <w:tcMar>
              <w:bottom w:w="35" w:type="dxa"/>
            </w:tcMar>
            <w:vAlign w:val="center"/>
          </w:tcPr>
          <w:p>
            <w:pPr>
              <w:pStyle w:val="TableContents"/>
              <w:bidi w:val="0"/>
              <w:spacing w:before="0" w:after="283"/>
              <w:jc w:val="right"/>
              <w:rPr/>
            </w:pPr>
            <w:r>
              <w:rPr/>
              <w:t>​</w:t>
            </w:r>
          </w:p>
        </w:tc>
        <w:tc>
          <w:tcPr>
            <w:tcW w:w="1128" w:type="dxa"/>
            <w:tcBorders>
              <w:bottom w:val="single" w:sz="2" w:space="0" w:color="4B5088"/>
            </w:tcBorders>
            <w:tcMar>
              <w:bottom w:w="35" w:type="dxa"/>
            </w:tcMar>
            <w:vAlign w:val="center"/>
          </w:tcPr>
          <w:p>
            <w:pPr>
              <w:pStyle w:val="TableContents"/>
              <w:bidi w:val="0"/>
              <w:spacing w:before="0" w:after="283"/>
              <w:jc w:val="right"/>
              <w:rPr/>
            </w:pPr>
            <w:r>
              <w:rPr/>
              <w:t>3,964</w:t>
            </w:r>
          </w:p>
        </w:tc>
        <w:tc>
          <w:tcPr>
            <w:tcW w:w="118" w:type="dxa"/>
            <w:tcBorders>
              <w:bottom w:val="single" w:sz="2" w:space="0" w:color="4B5088"/>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321" w:type="dxa"/>
            <w:tcBorders>
              <w:bottom w:val="single" w:sz="2" w:space="0" w:color="4B5088"/>
            </w:tcBorders>
            <w:tcMar>
              <w:bottom w:w="35" w:type="dxa"/>
            </w:tcMar>
            <w:vAlign w:val="center"/>
          </w:tcPr>
          <w:p>
            <w:pPr>
              <w:pStyle w:val="TableContents"/>
              <w:bidi w:val="0"/>
              <w:spacing w:before="0" w:after="283"/>
              <w:jc w:val="left"/>
              <w:rPr/>
            </w:pPr>
            <w:r>
              <w:rPr>
                <w:spacing w:val="-2"/>
              </w:rPr>
              <w:t>Basic weighted average shares and units outstanding</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8" w:type="dxa"/>
            <w:tcBorders>
              <w:bottom w:val="single" w:sz="2" w:space="0" w:color="4B5088"/>
            </w:tcBorders>
            <w:tcMar>
              <w:bottom w:w="28" w:type="dxa"/>
            </w:tcMar>
            <w:vAlign w:val="center"/>
          </w:tcPr>
          <w:p>
            <w:pPr>
              <w:pStyle w:val="TableContents"/>
              <w:bidi w:val="0"/>
              <w:spacing w:before="0" w:after="283"/>
              <w:jc w:val="left"/>
              <w:rPr/>
            </w:pPr>
            <w:r>
              <w:rPr/>
              <w:t>​</w:t>
            </w:r>
          </w:p>
        </w:tc>
        <w:tc>
          <w:tcPr>
            <w:tcW w:w="245" w:type="dxa"/>
            <w:tcBorders>
              <w:bottom w:val="single" w:sz="2" w:space="0" w:color="4B5088"/>
            </w:tcBorders>
            <w:tcMar>
              <w:bottom w:w="35" w:type="dxa"/>
            </w:tcMar>
            <w:vAlign w:val="center"/>
          </w:tcPr>
          <w:p>
            <w:pPr>
              <w:pStyle w:val="TableContents"/>
              <w:bidi w:val="0"/>
              <w:spacing w:before="0" w:after="283"/>
              <w:jc w:val="right"/>
              <w:rPr/>
            </w:pPr>
            <w:r>
              <w:rPr/>
              <w:t>​</w:t>
            </w:r>
          </w:p>
        </w:tc>
        <w:tc>
          <w:tcPr>
            <w:tcW w:w="1128" w:type="dxa"/>
            <w:tcBorders>
              <w:bottom w:val="single" w:sz="2" w:space="0" w:color="4B5088"/>
            </w:tcBorders>
            <w:tcMar>
              <w:bottom w:w="35" w:type="dxa"/>
            </w:tcMar>
            <w:vAlign w:val="center"/>
          </w:tcPr>
          <w:p>
            <w:pPr>
              <w:pStyle w:val="TableContents"/>
              <w:bidi w:val="0"/>
              <w:spacing w:before="0" w:after="283"/>
              <w:jc w:val="right"/>
              <w:rPr/>
            </w:pPr>
            <w:r>
              <w:rPr/>
              <w:t>74,407</w:t>
            </w:r>
          </w:p>
        </w:tc>
        <w:tc>
          <w:tcPr>
            <w:tcW w:w="118" w:type="dxa"/>
            <w:tcBorders>
              <w:bottom w:val="single" w:sz="2" w:space="0" w:color="4B5088"/>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321" w:type="dxa"/>
            <w:tcBorders>
              <w:bottom w:val="single" w:sz="2" w:space="0" w:color="4B5088"/>
            </w:tcBorders>
            <w:tcMar>
              <w:bottom w:w="35" w:type="dxa"/>
            </w:tcMar>
            <w:vAlign w:val="center"/>
          </w:tcPr>
          <w:p>
            <w:pPr>
              <w:pStyle w:val="TableContents"/>
              <w:bidi w:val="0"/>
              <w:spacing w:before="0" w:after="283"/>
              <w:jc w:val="left"/>
              <w:rPr/>
            </w:pPr>
            <w:r>
              <w:rPr>
                <w:spacing w:val="-2"/>
              </w:rPr>
              <w:t>Diluted ownership interest:</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8" w:type="dxa"/>
            <w:tcBorders>
              <w:bottom w:val="single" w:sz="2" w:space="0" w:color="4B5088"/>
            </w:tcBorders>
            <w:tcMar>
              <w:bottom w:w="28" w:type="dxa"/>
            </w:tcMar>
            <w:vAlign w:val="center"/>
          </w:tcPr>
          <w:p>
            <w:pPr>
              <w:pStyle w:val="TableContents"/>
              <w:bidi w:val="0"/>
              <w:spacing w:before="0" w:after="283"/>
              <w:jc w:val="left"/>
              <w:rPr/>
            </w:pPr>
            <w:r>
              <w:rPr/>
              <w:t>​</w:t>
            </w:r>
          </w:p>
        </w:tc>
        <w:tc>
          <w:tcPr>
            <w:tcW w:w="245" w:type="dxa"/>
            <w:tcBorders>
              <w:bottom w:val="single" w:sz="2" w:space="0" w:color="4B5088"/>
            </w:tcBorders>
            <w:tcMar>
              <w:bottom w:w="35" w:type="dxa"/>
            </w:tcMar>
            <w:vAlign w:val="center"/>
          </w:tcPr>
          <w:p>
            <w:pPr>
              <w:pStyle w:val="TableContents"/>
              <w:bidi w:val="0"/>
              <w:spacing w:before="0" w:after="283"/>
              <w:jc w:val="right"/>
              <w:rPr/>
            </w:pPr>
            <w:r>
              <w:rPr/>
              <w:t>​</w:t>
            </w:r>
          </w:p>
        </w:tc>
        <w:tc>
          <w:tcPr>
            <w:tcW w:w="1128" w:type="dxa"/>
            <w:tcBorders>
              <w:bottom w:val="single" w:sz="2" w:space="0" w:color="4B5088"/>
            </w:tcBorders>
            <w:tcMar>
              <w:bottom w:w="35" w:type="dxa"/>
            </w:tcMar>
            <w:vAlign w:val="center"/>
          </w:tcPr>
          <w:p>
            <w:pPr>
              <w:pStyle w:val="TableContents"/>
              <w:bidi w:val="0"/>
              <w:spacing w:before="0" w:after="283"/>
              <w:jc w:val="right"/>
              <w:rPr/>
            </w:pPr>
            <w:r>
              <w:rPr/>
              <w:t>​</w:t>
            </w:r>
          </w:p>
        </w:tc>
        <w:tc>
          <w:tcPr>
            <w:tcW w:w="118" w:type="dxa"/>
            <w:tcBorders>
              <w:bottom w:val="single" w:sz="2" w:space="0" w:color="4B5088"/>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321"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Weighted average REIT common share and common share equivalents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8" w:type="dxa"/>
            <w:tcBorders>
              <w:bottom w:val="single" w:sz="2" w:space="0" w:color="4B5088"/>
            </w:tcBorders>
            <w:tcMar>
              <w:bottom w:w="28" w:type="dxa"/>
            </w:tcMar>
            <w:vAlign w:val="center"/>
          </w:tcPr>
          <w:p>
            <w:pPr>
              <w:pStyle w:val="TableContents"/>
              <w:bidi w:val="0"/>
              <w:spacing w:before="0" w:after="283"/>
              <w:jc w:val="left"/>
              <w:rPr/>
            </w:pPr>
            <w:r>
              <w:rPr/>
              <w:t>​</w:t>
            </w:r>
          </w:p>
        </w:tc>
        <w:tc>
          <w:tcPr>
            <w:tcW w:w="245" w:type="dxa"/>
            <w:tcBorders>
              <w:bottom w:val="single" w:sz="2" w:space="0" w:color="4B5088"/>
            </w:tcBorders>
            <w:tcMar>
              <w:bottom w:w="35" w:type="dxa"/>
            </w:tcMar>
            <w:vAlign w:val="center"/>
          </w:tcPr>
          <w:p>
            <w:pPr>
              <w:pStyle w:val="TableContents"/>
              <w:bidi w:val="0"/>
              <w:spacing w:before="0" w:after="283"/>
              <w:jc w:val="right"/>
              <w:rPr/>
            </w:pPr>
            <w:r>
              <w:rPr/>
              <w:t>$</w:t>
            </w:r>
          </w:p>
        </w:tc>
        <w:tc>
          <w:tcPr>
            <w:tcW w:w="1128" w:type="dxa"/>
            <w:tcBorders>
              <w:bottom w:val="single" w:sz="2" w:space="0" w:color="4B5088"/>
            </w:tcBorders>
            <w:tcMar>
              <w:bottom w:w="35" w:type="dxa"/>
            </w:tcMar>
            <w:vAlign w:val="center"/>
          </w:tcPr>
          <w:p>
            <w:pPr>
              <w:pStyle w:val="TableContents"/>
              <w:bidi w:val="0"/>
              <w:spacing w:before="0" w:after="283"/>
              <w:jc w:val="right"/>
              <w:rPr/>
            </w:pPr>
            <w:r>
              <w:rPr/>
              <w:t>70,443</w:t>
            </w:r>
          </w:p>
        </w:tc>
        <w:tc>
          <w:tcPr>
            <w:tcW w:w="118" w:type="dxa"/>
            <w:tcBorders>
              <w:bottom w:val="single" w:sz="2" w:space="0" w:color="4B5088"/>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321"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Weighted average partnership units held by noncontrolling interests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8" w:type="dxa"/>
            <w:tcBorders>
              <w:bottom w:val="single" w:sz="2" w:space="0" w:color="4B5088"/>
            </w:tcBorders>
            <w:tcMar>
              <w:bottom w:w="28" w:type="dxa"/>
            </w:tcMar>
            <w:vAlign w:val="center"/>
          </w:tcPr>
          <w:p>
            <w:pPr>
              <w:pStyle w:val="TableContents"/>
              <w:bidi w:val="0"/>
              <w:spacing w:before="0" w:after="283"/>
              <w:jc w:val="left"/>
              <w:rPr/>
            </w:pPr>
            <w:r>
              <w:rPr/>
              <w:t>​</w:t>
            </w:r>
          </w:p>
        </w:tc>
        <w:tc>
          <w:tcPr>
            <w:tcW w:w="245" w:type="dxa"/>
            <w:tcBorders>
              <w:bottom w:val="single" w:sz="2" w:space="0" w:color="4B5088"/>
            </w:tcBorders>
            <w:tcMar>
              <w:bottom w:w="35" w:type="dxa"/>
            </w:tcMar>
            <w:vAlign w:val="center"/>
          </w:tcPr>
          <w:p>
            <w:pPr>
              <w:pStyle w:val="TableContents"/>
              <w:bidi w:val="0"/>
              <w:spacing w:before="0" w:after="283"/>
              <w:jc w:val="right"/>
              <w:rPr/>
            </w:pPr>
            <w:r>
              <w:rPr/>
              <w:t>​</w:t>
            </w:r>
          </w:p>
        </w:tc>
        <w:tc>
          <w:tcPr>
            <w:tcW w:w="1128" w:type="dxa"/>
            <w:tcBorders>
              <w:bottom w:val="single" w:sz="2" w:space="0" w:color="4B5088"/>
            </w:tcBorders>
            <w:tcMar>
              <w:bottom w:w="35" w:type="dxa"/>
            </w:tcMar>
            <w:vAlign w:val="center"/>
          </w:tcPr>
          <w:p>
            <w:pPr>
              <w:pStyle w:val="TableContents"/>
              <w:bidi w:val="0"/>
              <w:spacing w:before="0" w:after="283"/>
              <w:jc w:val="right"/>
              <w:rPr/>
            </w:pPr>
            <w:r>
              <w:rPr/>
              <w:t>3,964</w:t>
            </w:r>
          </w:p>
        </w:tc>
        <w:tc>
          <w:tcPr>
            <w:tcW w:w="118" w:type="dxa"/>
            <w:tcBorders>
              <w:bottom w:val="single" w:sz="2" w:space="0" w:color="4B5088"/>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321"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Stock-based compensation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8" w:type="dxa"/>
            <w:tcBorders>
              <w:bottom w:val="single" w:sz="2" w:space="0" w:color="4B5088"/>
            </w:tcBorders>
            <w:tcMar>
              <w:bottom w:w="28" w:type="dxa"/>
            </w:tcMar>
            <w:vAlign w:val="center"/>
          </w:tcPr>
          <w:p>
            <w:pPr>
              <w:pStyle w:val="TableContents"/>
              <w:bidi w:val="0"/>
              <w:spacing w:before="0" w:after="283"/>
              <w:jc w:val="left"/>
              <w:rPr/>
            </w:pPr>
            <w:r>
              <w:rPr/>
              <w:t>​</w:t>
            </w:r>
          </w:p>
        </w:tc>
        <w:tc>
          <w:tcPr>
            <w:tcW w:w="245" w:type="dxa"/>
            <w:tcBorders>
              <w:bottom w:val="single" w:sz="2" w:space="0" w:color="4B5088"/>
            </w:tcBorders>
            <w:tcMar>
              <w:bottom w:w="35" w:type="dxa"/>
            </w:tcMar>
            <w:vAlign w:val="center"/>
          </w:tcPr>
          <w:p>
            <w:pPr>
              <w:pStyle w:val="TableContents"/>
              <w:bidi w:val="0"/>
              <w:spacing w:before="0" w:after="283"/>
              <w:jc w:val="right"/>
              <w:rPr/>
            </w:pPr>
            <w:r>
              <w:rPr/>
              <w:t>​</w:t>
            </w:r>
          </w:p>
        </w:tc>
        <w:tc>
          <w:tcPr>
            <w:tcW w:w="1128" w:type="dxa"/>
            <w:tcBorders>
              <w:bottom w:val="single" w:sz="2" w:space="0" w:color="4B5088"/>
            </w:tcBorders>
            <w:tcMar>
              <w:bottom w:w="35" w:type="dxa"/>
            </w:tcMar>
            <w:vAlign w:val="center"/>
          </w:tcPr>
          <w:p>
            <w:pPr>
              <w:pStyle w:val="TableContents"/>
              <w:bidi w:val="0"/>
              <w:spacing w:before="0" w:after="283"/>
              <w:jc w:val="right"/>
              <w:rPr/>
            </w:pPr>
            <w:r>
              <w:rPr/>
              <w:t>1,486</w:t>
            </w:r>
          </w:p>
        </w:tc>
        <w:tc>
          <w:tcPr>
            <w:tcW w:w="118" w:type="dxa"/>
            <w:tcBorders>
              <w:bottom w:val="single" w:sz="2" w:space="0" w:color="4B5088"/>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321"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Contingently issuable shares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8" w:type="dxa"/>
            <w:tcBorders>
              <w:bottom w:val="single" w:sz="2" w:space="0" w:color="4B5088"/>
            </w:tcBorders>
            <w:tcMar>
              <w:bottom w:w="28" w:type="dxa"/>
            </w:tcMar>
            <w:vAlign w:val="center"/>
          </w:tcPr>
          <w:p>
            <w:pPr>
              <w:pStyle w:val="TableContents"/>
              <w:bidi w:val="0"/>
              <w:spacing w:before="0" w:after="283"/>
              <w:jc w:val="left"/>
              <w:rPr/>
            </w:pPr>
            <w:r>
              <w:rPr/>
              <w:t>​</w:t>
            </w:r>
          </w:p>
        </w:tc>
        <w:tc>
          <w:tcPr>
            <w:tcW w:w="245" w:type="dxa"/>
            <w:tcBorders>
              <w:bottom w:val="single" w:sz="2" w:space="0" w:color="4B5088"/>
            </w:tcBorders>
            <w:tcMar>
              <w:bottom w:w="35" w:type="dxa"/>
            </w:tcMar>
            <w:vAlign w:val="center"/>
          </w:tcPr>
          <w:p>
            <w:pPr>
              <w:pStyle w:val="TableContents"/>
              <w:bidi w:val="0"/>
              <w:spacing w:before="0" w:after="283"/>
              <w:jc w:val="right"/>
              <w:rPr/>
            </w:pPr>
            <w:r>
              <w:rPr/>
              <w:t>​</w:t>
            </w:r>
          </w:p>
        </w:tc>
        <w:tc>
          <w:tcPr>
            <w:tcW w:w="1128" w:type="dxa"/>
            <w:tcBorders>
              <w:bottom w:val="single" w:sz="2" w:space="0" w:color="4B5088"/>
            </w:tcBorders>
            <w:tcMar>
              <w:bottom w:w="35" w:type="dxa"/>
            </w:tcMar>
            <w:vAlign w:val="center"/>
          </w:tcPr>
          <w:p>
            <w:pPr>
              <w:pStyle w:val="TableContents"/>
              <w:bidi w:val="0"/>
              <w:spacing w:before="0" w:after="283"/>
              <w:jc w:val="right"/>
              <w:rPr/>
            </w:pPr>
            <w:r>
              <w:rPr/>
              <w:t>575</w:t>
            </w:r>
          </w:p>
        </w:tc>
        <w:tc>
          <w:tcPr>
            <w:tcW w:w="118" w:type="dxa"/>
            <w:tcBorders>
              <w:bottom w:val="single" w:sz="2" w:space="0" w:color="4B5088"/>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321" w:type="dxa"/>
            <w:tcBorders>
              <w:bottom w:val="single" w:sz="2" w:space="0" w:color="4B5088"/>
            </w:tcBorders>
            <w:tcMar>
              <w:bottom w:w="35" w:type="dxa"/>
            </w:tcMar>
            <w:vAlign w:val="center"/>
          </w:tcPr>
          <w:p>
            <w:pPr>
              <w:pStyle w:val="TableContents"/>
              <w:bidi w:val="0"/>
              <w:spacing w:before="0" w:after="283"/>
              <w:jc w:val="left"/>
              <w:rPr/>
            </w:pPr>
            <w:r>
              <w:rPr>
                <w:spacing w:val="-2"/>
              </w:rPr>
              <w:t>Diluted weighted average shares and units outstanding</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8" w:type="dxa"/>
            <w:tcBorders>
              <w:bottom w:val="single" w:sz="2" w:space="0" w:color="4B5088"/>
            </w:tcBorders>
            <w:tcMar>
              <w:bottom w:w="28" w:type="dxa"/>
            </w:tcMar>
            <w:vAlign w:val="center"/>
          </w:tcPr>
          <w:p>
            <w:pPr>
              <w:pStyle w:val="TableContents"/>
              <w:bidi w:val="0"/>
              <w:spacing w:before="0" w:after="283"/>
              <w:jc w:val="left"/>
              <w:rPr/>
            </w:pPr>
            <w:r>
              <w:rPr/>
              <w:t>​</w:t>
            </w:r>
          </w:p>
        </w:tc>
        <w:tc>
          <w:tcPr>
            <w:tcW w:w="245" w:type="dxa"/>
            <w:tcBorders>
              <w:bottom w:val="single" w:sz="2" w:space="0" w:color="4B5088"/>
            </w:tcBorders>
            <w:tcMar>
              <w:bottom w:w="35" w:type="dxa"/>
            </w:tcMar>
            <w:vAlign w:val="center"/>
          </w:tcPr>
          <w:p>
            <w:pPr>
              <w:pStyle w:val="TableContents"/>
              <w:bidi w:val="0"/>
              <w:spacing w:before="0" w:after="283"/>
              <w:jc w:val="right"/>
              <w:rPr/>
            </w:pPr>
            <w:r>
              <w:rPr/>
              <w:t>​</w:t>
            </w:r>
          </w:p>
        </w:tc>
        <w:tc>
          <w:tcPr>
            <w:tcW w:w="1128" w:type="dxa"/>
            <w:tcBorders>
              <w:bottom w:val="single" w:sz="2" w:space="0" w:color="4B5088"/>
            </w:tcBorders>
            <w:tcMar>
              <w:bottom w:w="35" w:type="dxa"/>
            </w:tcMar>
            <w:vAlign w:val="center"/>
          </w:tcPr>
          <w:p>
            <w:pPr>
              <w:pStyle w:val="TableContents"/>
              <w:bidi w:val="0"/>
              <w:spacing w:before="0" w:after="283"/>
              <w:jc w:val="right"/>
              <w:rPr/>
            </w:pPr>
            <w:r>
              <w:rPr/>
              <w:t>76,468</w:t>
            </w:r>
          </w:p>
        </w:tc>
        <w:tc>
          <w:tcPr>
            <w:tcW w:w="118" w:type="dxa"/>
            <w:tcBorders>
              <w:bottom w:val="single" w:sz="2" w:space="0" w:color="4B5088"/>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321" w:type="dxa"/>
            <w:tcBorders>
              <w:bottom w:val="single" w:sz="2" w:space="0" w:color="4B5088"/>
            </w:tcBorders>
            <w:tcMar>
              <w:bottom w:w="35" w:type="dxa"/>
            </w:tcMar>
            <w:vAlign w:val="center"/>
          </w:tcPr>
          <w:p>
            <w:pPr>
              <w:pStyle w:val="TableContents"/>
              <w:bidi w:val="0"/>
              <w:spacing w:before="0" w:after="283"/>
              <w:jc w:val="left"/>
              <w:rPr/>
            </w:pPr>
            <w:r>
              <w:rPr>
                <w:spacing w:val="-2"/>
              </w:rPr>
              <w:t>FFO per share:</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8" w:type="dxa"/>
            <w:tcBorders>
              <w:bottom w:val="single" w:sz="2" w:space="0" w:color="4B5088"/>
            </w:tcBorders>
            <w:tcMar>
              <w:bottom w:w="28" w:type="dxa"/>
            </w:tcMar>
            <w:vAlign w:val="center"/>
          </w:tcPr>
          <w:p>
            <w:pPr>
              <w:pStyle w:val="TableContents"/>
              <w:bidi w:val="0"/>
              <w:spacing w:before="0" w:after="283"/>
              <w:jc w:val="left"/>
              <w:rPr/>
            </w:pPr>
            <w:r>
              <w:rPr/>
              <w:t>​</w:t>
            </w:r>
          </w:p>
        </w:tc>
        <w:tc>
          <w:tcPr>
            <w:tcW w:w="245" w:type="dxa"/>
            <w:tcBorders>
              <w:bottom w:val="single" w:sz="2" w:space="0" w:color="4B5088"/>
            </w:tcBorders>
            <w:tcMar>
              <w:bottom w:w="35" w:type="dxa"/>
            </w:tcMar>
            <w:vAlign w:val="center"/>
          </w:tcPr>
          <w:p>
            <w:pPr>
              <w:pStyle w:val="TableContents"/>
              <w:bidi w:val="0"/>
              <w:spacing w:before="0" w:after="283"/>
              <w:jc w:val="right"/>
              <w:rPr/>
            </w:pPr>
            <w:r>
              <w:rPr/>
              <w:t>​</w:t>
            </w:r>
          </w:p>
        </w:tc>
        <w:tc>
          <w:tcPr>
            <w:tcW w:w="1128" w:type="dxa"/>
            <w:tcBorders>
              <w:bottom w:val="single" w:sz="2" w:space="0" w:color="4B5088"/>
            </w:tcBorders>
            <w:tcMar>
              <w:bottom w:w="35" w:type="dxa"/>
            </w:tcMar>
            <w:vAlign w:val="center"/>
          </w:tcPr>
          <w:p>
            <w:pPr>
              <w:pStyle w:val="TableContents"/>
              <w:bidi w:val="0"/>
              <w:spacing w:before="0" w:after="283"/>
              <w:jc w:val="right"/>
              <w:rPr/>
            </w:pPr>
            <w:r>
              <w:rPr/>
              <w:t>​</w:t>
            </w:r>
          </w:p>
        </w:tc>
        <w:tc>
          <w:tcPr>
            <w:tcW w:w="118" w:type="dxa"/>
            <w:tcBorders>
              <w:bottom w:val="single" w:sz="2" w:space="0" w:color="4B5088"/>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321" w:type="dxa"/>
            <w:tcBorders>
              <w:bottom w:val="single" w:sz="2" w:space="0" w:color="1F2668"/>
            </w:tcBorders>
            <w:tcMar>
              <w:bottom w:w="35" w:type="dxa"/>
            </w:tcMar>
            <w:vAlign w:val="center"/>
          </w:tcPr>
          <w:p>
            <w:pPr>
              <w:pStyle w:val="TableContents"/>
              <w:bidi w:val="0"/>
              <w:spacing w:before="0" w:after="283"/>
              <w:jc w:val="left"/>
              <w:rPr>
                <w:spacing w:val="-2"/>
              </w:rPr>
            </w:pPr>
            <w:r>
              <w:rPr>
                <w:spacing w:val="-2"/>
              </w:rPr>
              <w:t xml:space="preserve">Diluted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8" w:type="dxa"/>
            <w:tcBorders>
              <w:bottom w:val="single" w:sz="2" w:space="0" w:color="1F2668"/>
            </w:tcBorders>
            <w:tcMar>
              <w:bottom w:w="28" w:type="dxa"/>
            </w:tcMar>
            <w:vAlign w:val="center"/>
          </w:tcPr>
          <w:p>
            <w:pPr>
              <w:pStyle w:val="TableContents"/>
              <w:bidi w:val="0"/>
              <w:spacing w:before="0" w:after="283"/>
              <w:jc w:val="left"/>
              <w:rPr/>
            </w:pPr>
            <w:r>
              <w:rPr/>
              <w:t>​</w:t>
            </w:r>
          </w:p>
        </w:tc>
        <w:tc>
          <w:tcPr>
            <w:tcW w:w="245" w:type="dxa"/>
            <w:tcBorders>
              <w:bottom w:val="single" w:sz="2" w:space="0" w:color="1F2668"/>
            </w:tcBorders>
            <w:tcMar>
              <w:bottom w:w="35" w:type="dxa"/>
            </w:tcMar>
            <w:vAlign w:val="center"/>
          </w:tcPr>
          <w:p>
            <w:pPr>
              <w:pStyle w:val="TableContents"/>
              <w:bidi w:val="0"/>
              <w:spacing w:before="0" w:after="283"/>
              <w:jc w:val="right"/>
              <w:rPr/>
            </w:pPr>
            <w:r>
              <w:rPr/>
              <w:t>​</w:t>
            </w:r>
          </w:p>
        </w:tc>
        <w:tc>
          <w:tcPr>
            <w:tcW w:w="1128" w:type="dxa"/>
            <w:tcBorders>
              <w:bottom w:val="single" w:sz="2" w:space="0" w:color="1F2668"/>
            </w:tcBorders>
            <w:tcMar>
              <w:bottom w:w="35" w:type="dxa"/>
            </w:tcMar>
            <w:vAlign w:val="center"/>
          </w:tcPr>
          <w:p>
            <w:pPr>
              <w:pStyle w:val="TableContents"/>
              <w:bidi w:val="0"/>
              <w:spacing w:before="0" w:after="283"/>
              <w:jc w:val="right"/>
              <w:rPr/>
            </w:pPr>
            <w:r>
              <w:rPr/>
              <w:t>5.72</w:t>
            </w:r>
          </w:p>
        </w:tc>
        <w:tc>
          <w:tcPr>
            <w:tcW w:w="118" w:type="dxa"/>
            <w:tcBorders>
              <w:bottom w:val="single" w:sz="2" w:space="0" w:color="1F2668"/>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360" w:type="dxa"/>
        <w:jc w:val="left"/>
        <w:tblInd w:w="900" w:type="dxa"/>
        <w:tblLayout w:type="fixed"/>
        <w:tblCellMar>
          <w:top w:w="0" w:type="dxa"/>
          <w:left w:w="0" w:type="dxa"/>
          <w:bottom w:w="0" w:type="dxa"/>
          <w:right w:w="0" w:type="dxa"/>
        </w:tblCellMar>
      </w:tblPr>
      <w:tblGrid>
        <w:gridCol w:w="124"/>
        <w:gridCol w:w="481"/>
        <w:gridCol w:w="109"/>
        <w:gridCol w:w="109"/>
        <w:gridCol w:w="4383"/>
        <w:gridCol w:w="154"/>
      </w:tblGrid>
      <w:tr>
        <w:trPr/>
        <w:tc>
          <w:tcPr>
            <w:tcW w:w="124" w:type="dxa"/>
            <w:tcBorders/>
            <w:vAlign w:val="center"/>
          </w:tcPr>
          <w:p>
            <w:pPr>
              <w:pStyle w:val="TableContents"/>
              <w:bidi w:val="0"/>
              <w:spacing w:before="0" w:after="283"/>
              <w:jc w:val="left"/>
              <w:rPr/>
            </w:pPr>
            <w:r>
              <w:rPr/>
              <w:t>​</w:t>
            </w:r>
          </w:p>
        </w:tc>
        <w:tc>
          <w:tcPr>
            <w:tcW w:w="481" w:type="dxa"/>
            <w:tcBorders/>
            <w:vAlign w:val="center"/>
          </w:tcPr>
          <w:p>
            <w:pPr>
              <w:pStyle w:val="TableContents"/>
              <w:bidi w:val="0"/>
              <w:spacing w:before="0" w:after="283"/>
              <w:jc w:val="left"/>
              <w:rPr/>
            </w:pPr>
            <w:r>
              <w:rPr/>
              <w:t>A-2</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383" w:type="dxa"/>
            <w:tcBorders/>
            <w:vAlign w:val="center"/>
          </w:tcPr>
          <w:p>
            <w:pPr>
              <w:pStyle w:val="TableContents"/>
              <w:bidi w:val="0"/>
              <w:spacing w:lineRule="atLeast" w:line="200" w:before="0" w:after="0"/>
              <w:jc w:val="left"/>
              <w:rPr/>
            </w:pPr>
            <w:r>
              <w:rPr>
                <w:spacing w:val="-2"/>
              </w:rPr>
              <w:t>    </w:t>
            </w:r>
            <w:r>
              <w:rPr>
                <w:spacing w:val="-2"/>
                <w:sz w:val="16"/>
              </w:rPr>
              <w:t>SL GREEN REALTY CORP. 2026 PROXY STATEMENT</w:t>
            </w:r>
            <w:r>
              <w:rPr>
                <w:sz w:val="16"/>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560" w:after="154"/>
        <w:ind w:left="9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Below is a reconciliation of net income attributable to our stockholders to Funds Available for Distribution, or FAD, for the twelve months ended December 31, 2025 (amounts in thousands, except per share data).</w:t>
      </w:r>
      <w:r>
        <w:rPr>
          <w:rFonts w:ascii="Arial;Helvetica;sans-serif" w:hAnsi="Arial;Helvetica;sans-serif"/>
          <w:b w:val="false"/>
          <w:i w:val="false"/>
          <w:caps w:val="false"/>
          <w:smallCaps w:val="false"/>
          <w:color w:val="000000"/>
          <w:spacing w:val="4"/>
          <w:sz w:val="18"/>
        </w:rPr>
        <w:t xml:space="preserve"> </w:t>
      </w:r>
    </w:p>
    <w:tbl>
      <w:tblPr>
        <w:tblW w:w="9305" w:type="dxa"/>
        <w:jc w:val="left"/>
        <w:tblInd w:w="900" w:type="dxa"/>
        <w:tblLayout w:type="fixed"/>
        <w:tblCellMar>
          <w:top w:w="0" w:type="dxa"/>
          <w:left w:w="0" w:type="dxa"/>
          <w:bottom w:w="63" w:type="dxa"/>
          <w:right w:w="0" w:type="dxa"/>
        </w:tblCellMar>
      </w:tblPr>
      <w:tblGrid>
        <w:gridCol w:w="7319"/>
        <w:gridCol w:w="109"/>
        <w:gridCol w:w="109"/>
        <w:gridCol w:w="123"/>
        <w:gridCol w:w="258"/>
        <w:gridCol w:w="1104"/>
        <w:gridCol w:w="125"/>
        <w:gridCol w:w="158"/>
      </w:tblGrid>
      <w:tr>
        <w:trPr/>
        <w:tc>
          <w:tcPr>
            <w:tcW w:w="7319" w:type="dxa"/>
            <w:tcBorders>
              <w:bottom w:val="single" w:sz="2" w:space="0" w:color="1F2668"/>
            </w:tcBorders>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10" w:type="dxa"/>
            <w:gridSpan w:val="4"/>
            <w:tcBorders>
              <w:bottom w:val="single" w:sz="2" w:space="0" w:color="1F2668"/>
            </w:tcBorders>
            <w:vAlign w:val="center"/>
          </w:tcPr>
          <w:p>
            <w:pPr>
              <w:pStyle w:val="TableContents"/>
              <w:bidi w:val="0"/>
              <w:spacing w:before="0" w:after="0"/>
              <w:jc w:val="right"/>
              <w:rPr/>
            </w:pPr>
            <w:r>
              <w:rPr>
                <w:spacing w:val="-2"/>
              </w:rPr>
              <w:t xml:space="preserve">Twelve months </w:t>
              <w:br/>
              <w:t xml:space="preserve">ended </w:t>
              <w:br/>
              <w:t xml:space="preserve">December 31, </w:t>
              <w:br/>
              <w:t>2025</w:t>
            </w:r>
            <w:r>
              <w:rPr/>
              <w:t xml:space="preserve"> </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319" w:type="dxa"/>
            <w:tcBorders>
              <w:bottom w:val="single" w:sz="2" w:space="0" w:color="4B5088"/>
            </w:tcBorders>
            <w:tcMar>
              <w:bottom w:w="35" w:type="dxa"/>
            </w:tcMar>
            <w:vAlign w:val="center"/>
          </w:tcPr>
          <w:p>
            <w:pPr>
              <w:pStyle w:val="TableContents"/>
              <w:bidi w:val="0"/>
              <w:spacing w:before="0" w:after="283"/>
              <w:jc w:val="left"/>
              <w:rPr/>
            </w:pPr>
            <w:r>
              <w:rPr>
                <w:spacing w:val="-2"/>
              </w:rPr>
              <w:t>Funds Available for Distribution Reconciliation:</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3" w:type="dxa"/>
            <w:tcBorders>
              <w:bottom w:val="single" w:sz="2" w:space="0" w:color="4B5088"/>
            </w:tcBorders>
            <w:tcMar>
              <w:bottom w:w="28" w:type="dxa"/>
            </w:tcMar>
            <w:vAlign w:val="center"/>
          </w:tcPr>
          <w:p>
            <w:pPr>
              <w:pStyle w:val="TableContents"/>
              <w:bidi w:val="0"/>
              <w:spacing w:before="0" w:after="283"/>
              <w:jc w:val="left"/>
              <w:rPr/>
            </w:pPr>
            <w:r>
              <w:rPr/>
              <w:t>​</w:t>
            </w:r>
          </w:p>
        </w:tc>
        <w:tc>
          <w:tcPr>
            <w:tcW w:w="258" w:type="dxa"/>
            <w:tcBorders>
              <w:bottom w:val="single" w:sz="2" w:space="0" w:color="4B5088"/>
            </w:tcBorders>
            <w:tcMar>
              <w:bottom w:w="35" w:type="dxa"/>
            </w:tcMar>
            <w:vAlign w:val="center"/>
          </w:tcPr>
          <w:p>
            <w:pPr>
              <w:pStyle w:val="TableContents"/>
              <w:bidi w:val="0"/>
              <w:spacing w:before="0" w:after="283"/>
              <w:jc w:val="right"/>
              <w:rPr/>
            </w:pPr>
            <w:r>
              <w:rPr/>
              <w:t>​</w:t>
            </w:r>
          </w:p>
        </w:tc>
        <w:tc>
          <w:tcPr>
            <w:tcW w:w="1104" w:type="dxa"/>
            <w:tcBorders>
              <w:bottom w:val="single" w:sz="2" w:space="0" w:color="4B5088"/>
            </w:tcBorders>
            <w:tcMar>
              <w:bottom w:w="35" w:type="dxa"/>
            </w:tcMar>
            <w:vAlign w:val="center"/>
          </w:tcPr>
          <w:p>
            <w:pPr>
              <w:pStyle w:val="TableContents"/>
              <w:bidi w:val="0"/>
              <w:spacing w:before="0" w:after="283"/>
              <w:jc w:val="right"/>
              <w:rPr/>
            </w:pPr>
            <w:r>
              <w:rPr/>
              <w:t>​</w:t>
            </w:r>
          </w:p>
        </w:tc>
        <w:tc>
          <w:tcPr>
            <w:tcW w:w="125" w:type="dxa"/>
            <w:tcBorders>
              <w:bottom w:val="single" w:sz="2" w:space="0" w:color="4B5088"/>
            </w:tcBorders>
            <w:tcMar>
              <w:bottom w:w="28" w:type="dxa"/>
            </w:tcMar>
            <w:vAlign w:val="center"/>
          </w:tcPr>
          <w:p>
            <w:pPr>
              <w:pStyle w:val="TableContents"/>
              <w:bidi w:val="0"/>
              <w:spacing w:before="0" w:after="283"/>
              <w:jc w:val="left"/>
              <w:rPr/>
            </w:pPr>
            <w:r>
              <w:rPr/>
              <w:t>​</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319"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Net loss attributable to SL Green common stockholders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3" w:type="dxa"/>
            <w:tcBorders>
              <w:bottom w:val="single" w:sz="2" w:space="0" w:color="4B5088"/>
            </w:tcBorders>
            <w:tcMar>
              <w:bottom w:w="28" w:type="dxa"/>
            </w:tcMar>
            <w:vAlign w:val="center"/>
          </w:tcPr>
          <w:p>
            <w:pPr>
              <w:pStyle w:val="TableContents"/>
              <w:bidi w:val="0"/>
              <w:spacing w:before="0" w:after="283"/>
              <w:jc w:val="left"/>
              <w:rPr/>
            </w:pPr>
            <w:r>
              <w:rPr/>
              <w:t>​</w:t>
            </w:r>
          </w:p>
        </w:tc>
        <w:tc>
          <w:tcPr>
            <w:tcW w:w="258" w:type="dxa"/>
            <w:tcBorders>
              <w:bottom w:val="single" w:sz="2" w:space="0" w:color="4B5088"/>
            </w:tcBorders>
            <w:tcMar>
              <w:bottom w:w="35" w:type="dxa"/>
            </w:tcMar>
            <w:vAlign w:val="center"/>
          </w:tcPr>
          <w:p>
            <w:pPr>
              <w:pStyle w:val="TableContents"/>
              <w:bidi w:val="0"/>
              <w:spacing w:before="0" w:after="283"/>
              <w:jc w:val="right"/>
              <w:rPr/>
            </w:pPr>
            <w:r>
              <w:rPr/>
              <w:t>$</w:t>
            </w:r>
          </w:p>
        </w:tc>
        <w:tc>
          <w:tcPr>
            <w:tcW w:w="1104" w:type="dxa"/>
            <w:tcBorders>
              <w:bottom w:val="single" w:sz="2" w:space="0" w:color="4B5088"/>
            </w:tcBorders>
            <w:tcMar>
              <w:bottom w:w="35" w:type="dxa"/>
            </w:tcMar>
            <w:vAlign w:val="center"/>
          </w:tcPr>
          <w:p>
            <w:pPr>
              <w:pStyle w:val="TableContents"/>
              <w:bidi w:val="0"/>
              <w:spacing w:before="0" w:after="283"/>
              <w:jc w:val="right"/>
              <w:rPr/>
            </w:pPr>
            <w:r>
              <w:rPr/>
              <w:t>(111,860)</w:t>
            </w:r>
          </w:p>
        </w:tc>
        <w:tc>
          <w:tcPr>
            <w:tcW w:w="125" w:type="dxa"/>
            <w:tcBorders>
              <w:bottom w:val="single" w:sz="2" w:space="0" w:color="4B5088"/>
            </w:tcBorders>
            <w:tcMar>
              <w:bottom w:w="28" w:type="dxa"/>
            </w:tcMar>
            <w:vAlign w:val="center"/>
          </w:tcPr>
          <w:p>
            <w:pPr>
              <w:pStyle w:val="TableContents"/>
              <w:bidi w:val="0"/>
              <w:spacing w:before="0" w:after="283"/>
              <w:jc w:val="left"/>
              <w:rPr/>
            </w:pPr>
            <w:r>
              <w:rPr/>
              <w:t>​</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319"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Add: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3" w:type="dxa"/>
            <w:tcBorders>
              <w:bottom w:val="single" w:sz="2" w:space="0" w:color="4B5088"/>
            </w:tcBorders>
            <w:tcMar>
              <w:bottom w:w="28" w:type="dxa"/>
            </w:tcMar>
            <w:vAlign w:val="center"/>
          </w:tcPr>
          <w:p>
            <w:pPr>
              <w:pStyle w:val="TableContents"/>
              <w:bidi w:val="0"/>
              <w:spacing w:before="0" w:after="283"/>
              <w:jc w:val="left"/>
              <w:rPr/>
            </w:pPr>
            <w:r>
              <w:rPr/>
              <w:t>​</w:t>
            </w:r>
          </w:p>
        </w:tc>
        <w:tc>
          <w:tcPr>
            <w:tcW w:w="258" w:type="dxa"/>
            <w:tcBorders>
              <w:bottom w:val="single" w:sz="2" w:space="0" w:color="4B5088"/>
            </w:tcBorders>
            <w:tcMar>
              <w:bottom w:w="35" w:type="dxa"/>
            </w:tcMar>
            <w:vAlign w:val="center"/>
          </w:tcPr>
          <w:p>
            <w:pPr>
              <w:pStyle w:val="TableContents"/>
              <w:bidi w:val="0"/>
              <w:spacing w:before="0" w:after="283"/>
              <w:jc w:val="right"/>
              <w:rPr/>
            </w:pPr>
            <w:r>
              <w:rPr/>
              <w:t>​</w:t>
            </w:r>
          </w:p>
        </w:tc>
        <w:tc>
          <w:tcPr>
            <w:tcW w:w="1104" w:type="dxa"/>
            <w:tcBorders>
              <w:bottom w:val="single" w:sz="2" w:space="0" w:color="4B5088"/>
            </w:tcBorders>
            <w:tcMar>
              <w:bottom w:w="35" w:type="dxa"/>
            </w:tcMar>
            <w:vAlign w:val="center"/>
          </w:tcPr>
          <w:p>
            <w:pPr>
              <w:pStyle w:val="TableContents"/>
              <w:bidi w:val="0"/>
              <w:spacing w:before="0" w:after="283"/>
              <w:jc w:val="right"/>
              <w:rPr/>
            </w:pPr>
            <w:r>
              <w:rPr/>
              <w:t>​</w:t>
            </w:r>
          </w:p>
        </w:tc>
        <w:tc>
          <w:tcPr>
            <w:tcW w:w="125" w:type="dxa"/>
            <w:tcBorders>
              <w:bottom w:val="single" w:sz="2" w:space="0" w:color="4B5088"/>
            </w:tcBorders>
            <w:tcMar>
              <w:bottom w:w="28" w:type="dxa"/>
            </w:tcMar>
            <w:vAlign w:val="center"/>
          </w:tcPr>
          <w:p>
            <w:pPr>
              <w:pStyle w:val="TableContents"/>
              <w:bidi w:val="0"/>
              <w:spacing w:before="0" w:after="283"/>
              <w:jc w:val="left"/>
              <w:rPr/>
            </w:pPr>
            <w:r>
              <w:rPr/>
              <w:t>​</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319"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Depreciation and amortization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3" w:type="dxa"/>
            <w:tcBorders>
              <w:bottom w:val="single" w:sz="2" w:space="0" w:color="4B5088"/>
            </w:tcBorders>
            <w:tcMar>
              <w:bottom w:w="28" w:type="dxa"/>
            </w:tcMar>
            <w:vAlign w:val="center"/>
          </w:tcPr>
          <w:p>
            <w:pPr>
              <w:pStyle w:val="TableContents"/>
              <w:bidi w:val="0"/>
              <w:spacing w:before="0" w:after="283"/>
              <w:jc w:val="left"/>
              <w:rPr/>
            </w:pPr>
            <w:r>
              <w:rPr/>
              <w:t>​</w:t>
            </w:r>
          </w:p>
        </w:tc>
        <w:tc>
          <w:tcPr>
            <w:tcW w:w="258" w:type="dxa"/>
            <w:tcBorders>
              <w:bottom w:val="single" w:sz="2" w:space="0" w:color="4B5088"/>
            </w:tcBorders>
            <w:tcMar>
              <w:bottom w:w="35" w:type="dxa"/>
            </w:tcMar>
            <w:vAlign w:val="center"/>
          </w:tcPr>
          <w:p>
            <w:pPr>
              <w:pStyle w:val="TableContents"/>
              <w:bidi w:val="0"/>
              <w:spacing w:before="0" w:after="283"/>
              <w:jc w:val="right"/>
              <w:rPr/>
            </w:pPr>
            <w:r>
              <w:rPr/>
              <w:t>​</w:t>
            </w:r>
          </w:p>
        </w:tc>
        <w:tc>
          <w:tcPr>
            <w:tcW w:w="1104" w:type="dxa"/>
            <w:tcBorders>
              <w:bottom w:val="single" w:sz="2" w:space="0" w:color="4B5088"/>
            </w:tcBorders>
            <w:tcMar>
              <w:bottom w:w="35" w:type="dxa"/>
            </w:tcMar>
            <w:vAlign w:val="center"/>
          </w:tcPr>
          <w:p>
            <w:pPr>
              <w:pStyle w:val="TableContents"/>
              <w:bidi w:val="0"/>
              <w:spacing w:before="0" w:after="283"/>
              <w:jc w:val="right"/>
              <w:rPr/>
            </w:pPr>
            <w:r>
              <w:rPr/>
              <w:t>255,713</w:t>
            </w:r>
          </w:p>
        </w:tc>
        <w:tc>
          <w:tcPr>
            <w:tcW w:w="125" w:type="dxa"/>
            <w:tcBorders>
              <w:bottom w:val="single" w:sz="2" w:space="0" w:color="4B5088"/>
            </w:tcBorders>
            <w:tcMar>
              <w:bottom w:w="28" w:type="dxa"/>
            </w:tcMar>
            <w:vAlign w:val="center"/>
          </w:tcPr>
          <w:p>
            <w:pPr>
              <w:pStyle w:val="TableContents"/>
              <w:bidi w:val="0"/>
              <w:spacing w:before="0" w:after="283"/>
              <w:jc w:val="left"/>
              <w:rPr/>
            </w:pPr>
            <w:r>
              <w:rPr/>
              <w:t>​</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319"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Joint venture depreciation and noncontrolling interest adjustments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3" w:type="dxa"/>
            <w:tcBorders>
              <w:bottom w:val="single" w:sz="2" w:space="0" w:color="4B5088"/>
            </w:tcBorders>
            <w:tcMar>
              <w:bottom w:w="28" w:type="dxa"/>
            </w:tcMar>
            <w:vAlign w:val="center"/>
          </w:tcPr>
          <w:p>
            <w:pPr>
              <w:pStyle w:val="TableContents"/>
              <w:bidi w:val="0"/>
              <w:spacing w:before="0" w:after="283"/>
              <w:jc w:val="left"/>
              <w:rPr/>
            </w:pPr>
            <w:r>
              <w:rPr/>
              <w:t>​</w:t>
            </w:r>
          </w:p>
        </w:tc>
        <w:tc>
          <w:tcPr>
            <w:tcW w:w="258" w:type="dxa"/>
            <w:tcBorders>
              <w:bottom w:val="single" w:sz="2" w:space="0" w:color="4B5088"/>
            </w:tcBorders>
            <w:tcMar>
              <w:bottom w:w="35" w:type="dxa"/>
            </w:tcMar>
            <w:vAlign w:val="center"/>
          </w:tcPr>
          <w:p>
            <w:pPr>
              <w:pStyle w:val="TableContents"/>
              <w:bidi w:val="0"/>
              <w:spacing w:before="0" w:after="283"/>
              <w:jc w:val="right"/>
              <w:rPr/>
            </w:pPr>
            <w:r>
              <w:rPr/>
              <w:t>​</w:t>
            </w:r>
          </w:p>
        </w:tc>
        <w:tc>
          <w:tcPr>
            <w:tcW w:w="1104" w:type="dxa"/>
            <w:tcBorders>
              <w:bottom w:val="single" w:sz="2" w:space="0" w:color="4B5088"/>
            </w:tcBorders>
            <w:tcMar>
              <w:bottom w:w="35" w:type="dxa"/>
            </w:tcMar>
            <w:vAlign w:val="center"/>
          </w:tcPr>
          <w:p>
            <w:pPr>
              <w:pStyle w:val="TableContents"/>
              <w:bidi w:val="0"/>
              <w:spacing w:before="0" w:after="283"/>
              <w:jc w:val="right"/>
              <w:rPr/>
            </w:pPr>
            <w:r>
              <w:rPr/>
              <w:t>312,025</w:t>
            </w:r>
          </w:p>
        </w:tc>
        <w:tc>
          <w:tcPr>
            <w:tcW w:w="125" w:type="dxa"/>
            <w:tcBorders>
              <w:bottom w:val="single" w:sz="2" w:space="0" w:color="4B5088"/>
            </w:tcBorders>
            <w:tcMar>
              <w:bottom w:w="28" w:type="dxa"/>
            </w:tcMar>
            <w:vAlign w:val="center"/>
          </w:tcPr>
          <w:p>
            <w:pPr>
              <w:pStyle w:val="TableContents"/>
              <w:bidi w:val="0"/>
              <w:spacing w:before="0" w:after="283"/>
              <w:jc w:val="left"/>
              <w:rPr/>
            </w:pPr>
            <w:r>
              <w:rPr/>
              <w:t>​</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319"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Net loss attributable to noncontrolling interests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3" w:type="dxa"/>
            <w:tcBorders>
              <w:bottom w:val="single" w:sz="2" w:space="0" w:color="4B5088"/>
            </w:tcBorders>
            <w:tcMar>
              <w:bottom w:w="28" w:type="dxa"/>
            </w:tcMar>
            <w:vAlign w:val="center"/>
          </w:tcPr>
          <w:p>
            <w:pPr>
              <w:pStyle w:val="TableContents"/>
              <w:bidi w:val="0"/>
              <w:spacing w:before="0" w:after="283"/>
              <w:jc w:val="left"/>
              <w:rPr/>
            </w:pPr>
            <w:r>
              <w:rPr/>
              <w:t>​</w:t>
            </w:r>
          </w:p>
        </w:tc>
        <w:tc>
          <w:tcPr>
            <w:tcW w:w="258" w:type="dxa"/>
            <w:tcBorders>
              <w:bottom w:val="single" w:sz="2" w:space="0" w:color="4B5088"/>
            </w:tcBorders>
            <w:tcMar>
              <w:bottom w:w="35" w:type="dxa"/>
            </w:tcMar>
            <w:vAlign w:val="center"/>
          </w:tcPr>
          <w:p>
            <w:pPr>
              <w:pStyle w:val="TableContents"/>
              <w:bidi w:val="0"/>
              <w:spacing w:before="0" w:after="283"/>
              <w:jc w:val="right"/>
              <w:rPr/>
            </w:pPr>
            <w:r>
              <w:rPr/>
              <w:t>​</w:t>
            </w:r>
          </w:p>
        </w:tc>
        <w:tc>
          <w:tcPr>
            <w:tcW w:w="1104" w:type="dxa"/>
            <w:tcBorders>
              <w:bottom w:val="single" w:sz="2" w:space="0" w:color="4B5088"/>
            </w:tcBorders>
            <w:tcMar>
              <w:bottom w:w="35" w:type="dxa"/>
            </w:tcMar>
            <w:vAlign w:val="center"/>
          </w:tcPr>
          <w:p>
            <w:pPr>
              <w:pStyle w:val="TableContents"/>
              <w:bidi w:val="0"/>
              <w:spacing w:before="0" w:after="283"/>
              <w:jc w:val="right"/>
              <w:rPr/>
            </w:pPr>
            <w:r>
              <w:rPr/>
              <w:t>(8,644)</w:t>
            </w:r>
          </w:p>
        </w:tc>
        <w:tc>
          <w:tcPr>
            <w:tcW w:w="125" w:type="dxa"/>
            <w:tcBorders>
              <w:bottom w:val="single" w:sz="2" w:space="0" w:color="4B5088"/>
            </w:tcBorders>
            <w:tcMar>
              <w:bottom w:w="28" w:type="dxa"/>
            </w:tcMar>
            <w:vAlign w:val="center"/>
          </w:tcPr>
          <w:p>
            <w:pPr>
              <w:pStyle w:val="TableContents"/>
              <w:bidi w:val="0"/>
              <w:spacing w:before="0" w:after="283"/>
              <w:jc w:val="left"/>
              <w:rPr/>
            </w:pPr>
            <w:r>
              <w:rPr/>
              <w:t>​</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319"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Less: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3" w:type="dxa"/>
            <w:tcBorders>
              <w:bottom w:val="single" w:sz="2" w:space="0" w:color="4B5088"/>
            </w:tcBorders>
            <w:tcMar>
              <w:bottom w:w="28" w:type="dxa"/>
            </w:tcMar>
            <w:vAlign w:val="center"/>
          </w:tcPr>
          <w:p>
            <w:pPr>
              <w:pStyle w:val="TableContents"/>
              <w:bidi w:val="0"/>
              <w:spacing w:before="0" w:after="283"/>
              <w:jc w:val="left"/>
              <w:rPr/>
            </w:pPr>
            <w:r>
              <w:rPr/>
              <w:t>​</w:t>
            </w:r>
          </w:p>
        </w:tc>
        <w:tc>
          <w:tcPr>
            <w:tcW w:w="258" w:type="dxa"/>
            <w:tcBorders>
              <w:bottom w:val="single" w:sz="2" w:space="0" w:color="4B5088"/>
            </w:tcBorders>
            <w:tcMar>
              <w:bottom w:w="35" w:type="dxa"/>
            </w:tcMar>
            <w:vAlign w:val="center"/>
          </w:tcPr>
          <w:p>
            <w:pPr>
              <w:pStyle w:val="TableContents"/>
              <w:bidi w:val="0"/>
              <w:spacing w:before="0" w:after="283"/>
              <w:jc w:val="right"/>
              <w:rPr/>
            </w:pPr>
            <w:r>
              <w:rPr/>
              <w:t>​</w:t>
            </w:r>
          </w:p>
        </w:tc>
        <w:tc>
          <w:tcPr>
            <w:tcW w:w="1104" w:type="dxa"/>
            <w:tcBorders>
              <w:bottom w:val="single" w:sz="2" w:space="0" w:color="4B5088"/>
            </w:tcBorders>
            <w:tcMar>
              <w:bottom w:w="35" w:type="dxa"/>
            </w:tcMar>
            <w:vAlign w:val="center"/>
          </w:tcPr>
          <w:p>
            <w:pPr>
              <w:pStyle w:val="TableContents"/>
              <w:bidi w:val="0"/>
              <w:spacing w:before="0" w:after="283"/>
              <w:jc w:val="right"/>
              <w:rPr/>
            </w:pPr>
            <w:r>
              <w:rPr/>
              <w:t>​</w:t>
            </w:r>
          </w:p>
        </w:tc>
        <w:tc>
          <w:tcPr>
            <w:tcW w:w="125" w:type="dxa"/>
            <w:tcBorders>
              <w:bottom w:val="single" w:sz="2" w:space="0" w:color="4B5088"/>
            </w:tcBorders>
            <w:tcMar>
              <w:bottom w:w="28" w:type="dxa"/>
            </w:tcMar>
            <w:vAlign w:val="center"/>
          </w:tcPr>
          <w:p>
            <w:pPr>
              <w:pStyle w:val="TableContents"/>
              <w:bidi w:val="0"/>
              <w:spacing w:before="0" w:after="283"/>
              <w:jc w:val="left"/>
              <w:rPr/>
            </w:pPr>
            <w:r>
              <w:rPr/>
              <w:t>​</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319"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Equity in net gain on sale of interest in unconsolidated joint venture/real estate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3" w:type="dxa"/>
            <w:tcBorders>
              <w:bottom w:val="single" w:sz="2" w:space="0" w:color="4B5088"/>
            </w:tcBorders>
            <w:tcMar>
              <w:bottom w:w="28" w:type="dxa"/>
            </w:tcMar>
            <w:vAlign w:val="center"/>
          </w:tcPr>
          <w:p>
            <w:pPr>
              <w:pStyle w:val="TableContents"/>
              <w:bidi w:val="0"/>
              <w:spacing w:before="0" w:after="283"/>
              <w:jc w:val="left"/>
              <w:rPr/>
            </w:pPr>
            <w:r>
              <w:rPr/>
              <w:t>​</w:t>
            </w:r>
          </w:p>
        </w:tc>
        <w:tc>
          <w:tcPr>
            <w:tcW w:w="258" w:type="dxa"/>
            <w:tcBorders>
              <w:bottom w:val="single" w:sz="2" w:space="0" w:color="4B5088"/>
            </w:tcBorders>
            <w:tcMar>
              <w:bottom w:w="35" w:type="dxa"/>
            </w:tcMar>
            <w:vAlign w:val="center"/>
          </w:tcPr>
          <w:p>
            <w:pPr>
              <w:pStyle w:val="TableContents"/>
              <w:bidi w:val="0"/>
              <w:spacing w:before="0" w:after="283"/>
              <w:jc w:val="right"/>
              <w:rPr/>
            </w:pPr>
            <w:r>
              <w:rPr/>
              <w:t>​</w:t>
            </w:r>
          </w:p>
        </w:tc>
        <w:tc>
          <w:tcPr>
            <w:tcW w:w="1104" w:type="dxa"/>
            <w:tcBorders>
              <w:bottom w:val="single" w:sz="2" w:space="0" w:color="4B5088"/>
            </w:tcBorders>
            <w:tcMar>
              <w:bottom w:w="35" w:type="dxa"/>
            </w:tcMar>
            <w:vAlign w:val="center"/>
          </w:tcPr>
          <w:p>
            <w:pPr>
              <w:pStyle w:val="TableContents"/>
              <w:bidi w:val="0"/>
              <w:spacing w:before="0" w:after="283"/>
              <w:jc w:val="right"/>
              <w:rPr/>
            </w:pPr>
            <w:r>
              <w:rPr/>
              <w:t>86,068</w:t>
            </w:r>
          </w:p>
        </w:tc>
        <w:tc>
          <w:tcPr>
            <w:tcW w:w="125" w:type="dxa"/>
            <w:tcBorders>
              <w:bottom w:val="single" w:sz="2" w:space="0" w:color="4B5088"/>
            </w:tcBorders>
            <w:tcMar>
              <w:bottom w:w="28" w:type="dxa"/>
            </w:tcMar>
            <w:vAlign w:val="center"/>
          </w:tcPr>
          <w:p>
            <w:pPr>
              <w:pStyle w:val="TableContents"/>
              <w:bidi w:val="0"/>
              <w:spacing w:before="0" w:after="283"/>
              <w:jc w:val="left"/>
              <w:rPr/>
            </w:pPr>
            <w:r>
              <w:rPr/>
              <w:t>​</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319"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Purchase price and other fair value adjustments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3" w:type="dxa"/>
            <w:tcBorders>
              <w:bottom w:val="single" w:sz="2" w:space="0" w:color="4B5088"/>
            </w:tcBorders>
            <w:tcMar>
              <w:bottom w:w="28" w:type="dxa"/>
            </w:tcMar>
            <w:vAlign w:val="center"/>
          </w:tcPr>
          <w:p>
            <w:pPr>
              <w:pStyle w:val="TableContents"/>
              <w:bidi w:val="0"/>
              <w:spacing w:before="0" w:after="283"/>
              <w:jc w:val="left"/>
              <w:rPr/>
            </w:pPr>
            <w:r>
              <w:rPr/>
              <w:t>​</w:t>
            </w:r>
          </w:p>
        </w:tc>
        <w:tc>
          <w:tcPr>
            <w:tcW w:w="258" w:type="dxa"/>
            <w:tcBorders>
              <w:bottom w:val="single" w:sz="2" w:space="0" w:color="4B5088"/>
            </w:tcBorders>
            <w:tcMar>
              <w:bottom w:w="35" w:type="dxa"/>
            </w:tcMar>
            <w:vAlign w:val="center"/>
          </w:tcPr>
          <w:p>
            <w:pPr>
              <w:pStyle w:val="TableContents"/>
              <w:bidi w:val="0"/>
              <w:spacing w:before="0" w:after="283"/>
              <w:jc w:val="right"/>
              <w:rPr/>
            </w:pPr>
            <w:r>
              <w:rPr/>
              <w:t>​</w:t>
            </w:r>
          </w:p>
        </w:tc>
        <w:tc>
          <w:tcPr>
            <w:tcW w:w="1104" w:type="dxa"/>
            <w:tcBorders>
              <w:bottom w:val="single" w:sz="2" w:space="0" w:color="4B5088"/>
            </w:tcBorders>
            <w:tcMar>
              <w:bottom w:w="35" w:type="dxa"/>
            </w:tcMar>
            <w:vAlign w:val="center"/>
          </w:tcPr>
          <w:p>
            <w:pPr>
              <w:pStyle w:val="TableContents"/>
              <w:bidi w:val="0"/>
              <w:spacing w:before="0" w:after="283"/>
              <w:jc w:val="right"/>
              <w:rPr/>
            </w:pPr>
            <w:r>
              <w:rPr/>
              <w:t>(33,517)</w:t>
            </w:r>
          </w:p>
        </w:tc>
        <w:tc>
          <w:tcPr>
            <w:tcW w:w="125" w:type="dxa"/>
            <w:tcBorders>
              <w:bottom w:val="single" w:sz="2" w:space="0" w:color="4B5088"/>
            </w:tcBorders>
            <w:tcMar>
              <w:bottom w:w="28" w:type="dxa"/>
            </w:tcMar>
            <w:vAlign w:val="center"/>
          </w:tcPr>
          <w:p>
            <w:pPr>
              <w:pStyle w:val="TableContents"/>
              <w:bidi w:val="0"/>
              <w:spacing w:before="0" w:after="283"/>
              <w:jc w:val="left"/>
              <w:rPr/>
            </w:pPr>
            <w:r>
              <w:rPr/>
              <w:t>​</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319"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Loss on sale of real estate, net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3" w:type="dxa"/>
            <w:tcBorders>
              <w:bottom w:val="single" w:sz="2" w:space="0" w:color="4B5088"/>
            </w:tcBorders>
            <w:tcMar>
              <w:bottom w:w="28" w:type="dxa"/>
            </w:tcMar>
            <w:vAlign w:val="center"/>
          </w:tcPr>
          <w:p>
            <w:pPr>
              <w:pStyle w:val="TableContents"/>
              <w:bidi w:val="0"/>
              <w:spacing w:before="0" w:after="283"/>
              <w:jc w:val="left"/>
              <w:rPr/>
            </w:pPr>
            <w:r>
              <w:rPr/>
              <w:t>​</w:t>
            </w:r>
          </w:p>
        </w:tc>
        <w:tc>
          <w:tcPr>
            <w:tcW w:w="258" w:type="dxa"/>
            <w:tcBorders>
              <w:bottom w:val="single" w:sz="2" w:space="0" w:color="4B5088"/>
            </w:tcBorders>
            <w:tcMar>
              <w:bottom w:w="35" w:type="dxa"/>
            </w:tcMar>
            <w:vAlign w:val="center"/>
          </w:tcPr>
          <w:p>
            <w:pPr>
              <w:pStyle w:val="TableContents"/>
              <w:bidi w:val="0"/>
              <w:spacing w:before="0" w:after="283"/>
              <w:jc w:val="right"/>
              <w:rPr/>
            </w:pPr>
            <w:r>
              <w:rPr/>
              <w:t>​</w:t>
            </w:r>
          </w:p>
        </w:tc>
        <w:tc>
          <w:tcPr>
            <w:tcW w:w="1104" w:type="dxa"/>
            <w:tcBorders>
              <w:bottom w:val="single" w:sz="2" w:space="0" w:color="4B5088"/>
            </w:tcBorders>
            <w:tcMar>
              <w:bottom w:w="35" w:type="dxa"/>
            </w:tcMar>
            <w:vAlign w:val="center"/>
          </w:tcPr>
          <w:p>
            <w:pPr>
              <w:pStyle w:val="TableContents"/>
              <w:bidi w:val="0"/>
              <w:spacing w:before="0" w:after="283"/>
              <w:jc w:val="right"/>
              <w:rPr/>
            </w:pPr>
            <w:r>
              <w:rPr/>
              <w:t>(2,143)</w:t>
            </w:r>
          </w:p>
        </w:tc>
        <w:tc>
          <w:tcPr>
            <w:tcW w:w="125" w:type="dxa"/>
            <w:tcBorders>
              <w:bottom w:val="single" w:sz="2" w:space="0" w:color="4B5088"/>
            </w:tcBorders>
            <w:tcMar>
              <w:bottom w:w="28" w:type="dxa"/>
            </w:tcMar>
            <w:vAlign w:val="center"/>
          </w:tcPr>
          <w:p>
            <w:pPr>
              <w:pStyle w:val="TableContents"/>
              <w:bidi w:val="0"/>
              <w:spacing w:before="0" w:after="283"/>
              <w:jc w:val="left"/>
              <w:rPr/>
            </w:pPr>
            <w:r>
              <w:rPr/>
              <w:t>​</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319" w:type="dxa"/>
            <w:tcBorders>
              <w:bottom w:val="single" w:sz="2" w:space="0" w:color="4B5088"/>
            </w:tcBorders>
            <w:tcMar>
              <w:bottom w:w="35" w:type="dxa"/>
            </w:tcMar>
            <w:vAlign w:val="center"/>
          </w:tcPr>
          <w:p>
            <w:pPr>
              <w:pStyle w:val="TableContents"/>
              <w:bidi w:val="0"/>
              <w:spacing w:before="0" w:after="283"/>
              <w:jc w:val="left"/>
              <w:rPr/>
            </w:pPr>
            <w:r>
              <w:rPr>
                <w:spacing w:val="-2"/>
              </w:rPr>
              <w:t>Depreciable real estate reserves</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3" w:type="dxa"/>
            <w:tcBorders>
              <w:bottom w:val="single" w:sz="2" w:space="0" w:color="4B5088"/>
            </w:tcBorders>
            <w:tcMar>
              <w:bottom w:w="28" w:type="dxa"/>
            </w:tcMar>
            <w:vAlign w:val="center"/>
          </w:tcPr>
          <w:p>
            <w:pPr>
              <w:pStyle w:val="TableContents"/>
              <w:bidi w:val="0"/>
              <w:spacing w:before="0" w:after="283"/>
              <w:jc w:val="left"/>
              <w:rPr/>
            </w:pPr>
            <w:r>
              <w:rPr/>
              <w:t>​</w:t>
            </w:r>
          </w:p>
        </w:tc>
        <w:tc>
          <w:tcPr>
            <w:tcW w:w="258" w:type="dxa"/>
            <w:tcBorders>
              <w:bottom w:val="single" w:sz="2" w:space="0" w:color="4B5088"/>
            </w:tcBorders>
            <w:tcMar>
              <w:bottom w:w="35" w:type="dxa"/>
            </w:tcMar>
            <w:vAlign w:val="center"/>
          </w:tcPr>
          <w:p>
            <w:pPr>
              <w:pStyle w:val="TableContents"/>
              <w:bidi w:val="0"/>
              <w:spacing w:before="0" w:after="283"/>
              <w:jc w:val="right"/>
              <w:rPr/>
            </w:pPr>
            <w:r>
              <w:rPr/>
              <w:t>​</w:t>
            </w:r>
          </w:p>
        </w:tc>
        <w:tc>
          <w:tcPr>
            <w:tcW w:w="1104" w:type="dxa"/>
            <w:tcBorders>
              <w:bottom w:val="single" w:sz="2" w:space="0" w:color="4B5088"/>
            </w:tcBorders>
            <w:tcMar>
              <w:bottom w:w="35" w:type="dxa"/>
            </w:tcMar>
            <w:vAlign w:val="center"/>
          </w:tcPr>
          <w:p>
            <w:pPr>
              <w:pStyle w:val="TableContents"/>
              <w:bidi w:val="0"/>
              <w:spacing w:before="0" w:after="283"/>
              <w:jc w:val="right"/>
              <w:rPr/>
            </w:pPr>
            <w:r>
              <w:rPr/>
              <w:t>(32,092)</w:t>
            </w:r>
          </w:p>
        </w:tc>
        <w:tc>
          <w:tcPr>
            <w:tcW w:w="125" w:type="dxa"/>
            <w:tcBorders>
              <w:bottom w:val="single" w:sz="2" w:space="0" w:color="4B5088"/>
            </w:tcBorders>
            <w:tcMar>
              <w:bottom w:w="28" w:type="dxa"/>
            </w:tcMar>
            <w:vAlign w:val="center"/>
          </w:tcPr>
          <w:p>
            <w:pPr>
              <w:pStyle w:val="TableContents"/>
              <w:bidi w:val="0"/>
              <w:spacing w:before="0" w:after="283"/>
              <w:jc w:val="left"/>
              <w:rPr/>
            </w:pPr>
            <w:r>
              <w:rPr/>
              <w:t>​</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319"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Depreciable real estate reserves in unconsolidated joint venture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3" w:type="dxa"/>
            <w:tcBorders>
              <w:bottom w:val="single" w:sz="2" w:space="0" w:color="4B5088"/>
            </w:tcBorders>
            <w:tcMar>
              <w:bottom w:w="28" w:type="dxa"/>
            </w:tcMar>
            <w:vAlign w:val="center"/>
          </w:tcPr>
          <w:p>
            <w:pPr>
              <w:pStyle w:val="TableContents"/>
              <w:bidi w:val="0"/>
              <w:spacing w:before="0" w:after="283"/>
              <w:jc w:val="left"/>
              <w:rPr/>
            </w:pPr>
            <w:r>
              <w:rPr/>
              <w:t>​</w:t>
            </w:r>
          </w:p>
        </w:tc>
        <w:tc>
          <w:tcPr>
            <w:tcW w:w="258" w:type="dxa"/>
            <w:tcBorders>
              <w:bottom w:val="single" w:sz="2" w:space="0" w:color="4B5088"/>
            </w:tcBorders>
            <w:tcMar>
              <w:bottom w:w="35" w:type="dxa"/>
            </w:tcMar>
            <w:vAlign w:val="center"/>
          </w:tcPr>
          <w:p>
            <w:pPr>
              <w:pStyle w:val="TableContents"/>
              <w:bidi w:val="0"/>
              <w:spacing w:before="0" w:after="283"/>
              <w:jc w:val="right"/>
              <w:rPr/>
            </w:pPr>
            <w:r>
              <w:rPr/>
              <w:t>​</w:t>
            </w:r>
          </w:p>
        </w:tc>
        <w:tc>
          <w:tcPr>
            <w:tcW w:w="1104" w:type="dxa"/>
            <w:tcBorders>
              <w:bottom w:val="single" w:sz="2" w:space="0" w:color="4B5088"/>
            </w:tcBorders>
            <w:tcMar>
              <w:bottom w:w="35" w:type="dxa"/>
            </w:tcMar>
            <w:vAlign w:val="center"/>
          </w:tcPr>
          <w:p>
            <w:pPr>
              <w:pStyle w:val="TableContents"/>
              <w:bidi w:val="0"/>
              <w:spacing w:before="0" w:after="283"/>
              <w:jc w:val="right"/>
              <w:rPr/>
            </w:pPr>
            <w:r>
              <w:rPr/>
              <w:t>(14,592)</w:t>
            </w:r>
          </w:p>
        </w:tc>
        <w:tc>
          <w:tcPr>
            <w:tcW w:w="125" w:type="dxa"/>
            <w:tcBorders>
              <w:bottom w:val="single" w:sz="2" w:space="0" w:color="4B5088"/>
            </w:tcBorders>
            <w:tcMar>
              <w:bottom w:w="28" w:type="dxa"/>
            </w:tcMar>
            <w:vAlign w:val="center"/>
          </w:tcPr>
          <w:p>
            <w:pPr>
              <w:pStyle w:val="TableContents"/>
              <w:bidi w:val="0"/>
              <w:spacing w:before="0" w:after="283"/>
              <w:jc w:val="left"/>
              <w:rPr/>
            </w:pPr>
            <w:r>
              <w:rPr/>
              <w:t>​</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319"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Depreciation on non-rental real estate assets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3" w:type="dxa"/>
            <w:tcBorders>
              <w:bottom w:val="single" w:sz="2" w:space="0" w:color="4B5088"/>
            </w:tcBorders>
            <w:tcMar>
              <w:bottom w:w="28" w:type="dxa"/>
            </w:tcMar>
            <w:vAlign w:val="center"/>
          </w:tcPr>
          <w:p>
            <w:pPr>
              <w:pStyle w:val="TableContents"/>
              <w:bidi w:val="0"/>
              <w:spacing w:before="0" w:after="283"/>
              <w:jc w:val="left"/>
              <w:rPr/>
            </w:pPr>
            <w:r>
              <w:rPr/>
              <w:t>​</w:t>
            </w:r>
          </w:p>
        </w:tc>
        <w:tc>
          <w:tcPr>
            <w:tcW w:w="258" w:type="dxa"/>
            <w:tcBorders>
              <w:bottom w:val="single" w:sz="2" w:space="0" w:color="4B5088"/>
            </w:tcBorders>
            <w:tcMar>
              <w:bottom w:w="35" w:type="dxa"/>
            </w:tcMar>
            <w:vAlign w:val="center"/>
          </w:tcPr>
          <w:p>
            <w:pPr>
              <w:pStyle w:val="TableContents"/>
              <w:bidi w:val="0"/>
              <w:spacing w:before="0" w:after="283"/>
              <w:jc w:val="right"/>
              <w:rPr/>
            </w:pPr>
            <w:r>
              <w:rPr/>
              <w:t>​</w:t>
            </w:r>
          </w:p>
        </w:tc>
        <w:tc>
          <w:tcPr>
            <w:tcW w:w="1104" w:type="dxa"/>
            <w:tcBorders>
              <w:bottom w:val="single" w:sz="2" w:space="0" w:color="4B5088"/>
            </w:tcBorders>
            <w:tcMar>
              <w:bottom w:w="35" w:type="dxa"/>
            </w:tcMar>
            <w:vAlign w:val="center"/>
          </w:tcPr>
          <w:p>
            <w:pPr>
              <w:pStyle w:val="TableContents"/>
              <w:bidi w:val="0"/>
              <w:spacing w:before="0" w:after="283"/>
              <w:jc w:val="right"/>
              <w:rPr/>
            </w:pPr>
            <w:r>
              <w:rPr/>
              <w:t>5,838</w:t>
            </w:r>
          </w:p>
        </w:tc>
        <w:tc>
          <w:tcPr>
            <w:tcW w:w="125" w:type="dxa"/>
            <w:tcBorders>
              <w:bottom w:val="single" w:sz="2" w:space="0" w:color="4B5088"/>
            </w:tcBorders>
            <w:tcMar>
              <w:bottom w:w="28" w:type="dxa"/>
            </w:tcMar>
            <w:vAlign w:val="center"/>
          </w:tcPr>
          <w:p>
            <w:pPr>
              <w:pStyle w:val="TableContents"/>
              <w:bidi w:val="0"/>
              <w:spacing w:before="0" w:after="283"/>
              <w:jc w:val="left"/>
              <w:rPr/>
            </w:pPr>
            <w:r>
              <w:rPr/>
              <w:t>​</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319" w:type="dxa"/>
            <w:tcBorders>
              <w:bottom w:val="single" w:sz="2" w:space="0" w:color="4B5088"/>
            </w:tcBorders>
            <w:tcMar>
              <w:bottom w:w="35" w:type="dxa"/>
            </w:tcMar>
            <w:vAlign w:val="center"/>
          </w:tcPr>
          <w:p>
            <w:pPr>
              <w:pStyle w:val="TableContents"/>
              <w:bidi w:val="0"/>
              <w:spacing w:before="0" w:after="283"/>
              <w:jc w:val="left"/>
              <w:rPr/>
            </w:pPr>
            <w:r>
              <w:rPr>
                <w:spacing w:val="-2"/>
              </w:rPr>
              <w:t>FFO attributable to SL Green common stockholders and unit holders</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3" w:type="dxa"/>
            <w:tcBorders>
              <w:bottom w:val="single" w:sz="2" w:space="0" w:color="4B5088"/>
            </w:tcBorders>
            <w:tcMar>
              <w:bottom w:w="28" w:type="dxa"/>
            </w:tcMar>
            <w:vAlign w:val="center"/>
          </w:tcPr>
          <w:p>
            <w:pPr>
              <w:pStyle w:val="TableContents"/>
              <w:bidi w:val="0"/>
              <w:spacing w:before="0" w:after="283"/>
              <w:jc w:val="left"/>
              <w:rPr/>
            </w:pPr>
            <w:r>
              <w:rPr/>
              <w:t>​</w:t>
            </w:r>
          </w:p>
        </w:tc>
        <w:tc>
          <w:tcPr>
            <w:tcW w:w="258" w:type="dxa"/>
            <w:tcBorders>
              <w:bottom w:val="single" w:sz="2" w:space="0" w:color="4B5088"/>
            </w:tcBorders>
            <w:tcMar>
              <w:bottom w:w="35" w:type="dxa"/>
            </w:tcMar>
            <w:vAlign w:val="center"/>
          </w:tcPr>
          <w:p>
            <w:pPr>
              <w:pStyle w:val="TableContents"/>
              <w:bidi w:val="0"/>
              <w:spacing w:before="0" w:after="283"/>
              <w:jc w:val="right"/>
              <w:rPr/>
            </w:pPr>
            <w:r>
              <w:rPr/>
              <w:t>$</w:t>
            </w:r>
          </w:p>
        </w:tc>
        <w:tc>
          <w:tcPr>
            <w:tcW w:w="1104" w:type="dxa"/>
            <w:tcBorders>
              <w:bottom w:val="single" w:sz="2" w:space="0" w:color="4B5088"/>
            </w:tcBorders>
            <w:tcMar>
              <w:bottom w:w="35" w:type="dxa"/>
            </w:tcMar>
            <w:vAlign w:val="center"/>
          </w:tcPr>
          <w:p>
            <w:pPr>
              <w:pStyle w:val="TableContents"/>
              <w:bidi w:val="0"/>
              <w:spacing w:before="0" w:after="283"/>
              <w:jc w:val="right"/>
              <w:rPr/>
            </w:pPr>
            <w:r>
              <w:rPr/>
              <w:t>437,672</w:t>
            </w:r>
          </w:p>
        </w:tc>
        <w:tc>
          <w:tcPr>
            <w:tcW w:w="125" w:type="dxa"/>
            <w:tcBorders>
              <w:bottom w:val="single" w:sz="2" w:space="0" w:color="4B5088"/>
            </w:tcBorders>
            <w:tcMar>
              <w:bottom w:w="28" w:type="dxa"/>
            </w:tcMar>
            <w:vAlign w:val="center"/>
          </w:tcPr>
          <w:p>
            <w:pPr>
              <w:pStyle w:val="TableContents"/>
              <w:bidi w:val="0"/>
              <w:spacing w:before="0" w:after="283"/>
              <w:jc w:val="left"/>
              <w:rPr/>
            </w:pPr>
            <w:r>
              <w:rPr/>
              <w:t>​</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319"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Add: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3" w:type="dxa"/>
            <w:tcBorders>
              <w:bottom w:val="single" w:sz="2" w:space="0" w:color="4B5088"/>
            </w:tcBorders>
            <w:tcMar>
              <w:bottom w:w="28" w:type="dxa"/>
            </w:tcMar>
            <w:vAlign w:val="center"/>
          </w:tcPr>
          <w:p>
            <w:pPr>
              <w:pStyle w:val="TableContents"/>
              <w:bidi w:val="0"/>
              <w:spacing w:before="0" w:after="283"/>
              <w:jc w:val="left"/>
              <w:rPr/>
            </w:pPr>
            <w:r>
              <w:rPr/>
              <w:t>​</w:t>
            </w:r>
          </w:p>
        </w:tc>
        <w:tc>
          <w:tcPr>
            <w:tcW w:w="258" w:type="dxa"/>
            <w:tcBorders>
              <w:bottom w:val="single" w:sz="2" w:space="0" w:color="4B5088"/>
            </w:tcBorders>
            <w:tcMar>
              <w:bottom w:w="35" w:type="dxa"/>
            </w:tcMar>
            <w:vAlign w:val="center"/>
          </w:tcPr>
          <w:p>
            <w:pPr>
              <w:pStyle w:val="TableContents"/>
              <w:bidi w:val="0"/>
              <w:spacing w:before="0" w:after="283"/>
              <w:jc w:val="right"/>
              <w:rPr/>
            </w:pPr>
            <w:r>
              <w:rPr/>
              <w:t>​</w:t>
            </w:r>
          </w:p>
        </w:tc>
        <w:tc>
          <w:tcPr>
            <w:tcW w:w="1104" w:type="dxa"/>
            <w:tcBorders>
              <w:bottom w:val="single" w:sz="2" w:space="0" w:color="4B5088"/>
            </w:tcBorders>
            <w:tcMar>
              <w:bottom w:w="35" w:type="dxa"/>
            </w:tcMar>
            <w:vAlign w:val="center"/>
          </w:tcPr>
          <w:p>
            <w:pPr>
              <w:pStyle w:val="TableContents"/>
              <w:bidi w:val="0"/>
              <w:spacing w:before="0" w:after="283"/>
              <w:jc w:val="right"/>
              <w:rPr/>
            </w:pPr>
            <w:r>
              <w:rPr/>
              <w:t>​</w:t>
            </w:r>
          </w:p>
        </w:tc>
        <w:tc>
          <w:tcPr>
            <w:tcW w:w="125" w:type="dxa"/>
            <w:tcBorders>
              <w:bottom w:val="single" w:sz="2" w:space="0" w:color="4B5088"/>
            </w:tcBorders>
            <w:tcMar>
              <w:bottom w:w="28" w:type="dxa"/>
            </w:tcMar>
            <w:vAlign w:val="center"/>
          </w:tcPr>
          <w:p>
            <w:pPr>
              <w:pStyle w:val="TableContents"/>
              <w:bidi w:val="0"/>
              <w:spacing w:before="0" w:after="283"/>
              <w:jc w:val="left"/>
              <w:rPr/>
            </w:pPr>
            <w:r>
              <w:rPr/>
              <w:t>​</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319"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Non real estate depreciation and amortization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3" w:type="dxa"/>
            <w:tcBorders>
              <w:bottom w:val="single" w:sz="2" w:space="0" w:color="4B5088"/>
            </w:tcBorders>
            <w:tcMar>
              <w:bottom w:w="28" w:type="dxa"/>
            </w:tcMar>
            <w:vAlign w:val="center"/>
          </w:tcPr>
          <w:p>
            <w:pPr>
              <w:pStyle w:val="TableContents"/>
              <w:bidi w:val="0"/>
              <w:spacing w:before="0" w:after="283"/>
              <w:jc w:val="left"/>
              <w:rPr/>
            </w:pPr>
            <w:r>
              <w:rPr/>
              <w:t>​</w:t>
            </w:r>
          </w:p>
        </w:tc>
        <w:tc>
          <w:tcPr>
            <w:tcW w:w="258" w:type="dxa"/>
            <w:tcBorders>
              <w:bottom w:val="single" w:sz="2" w:space="0" w:color="4B5088"/>
            </w:tcBorders>
            <w:tcMar>
              <w:bottom w:w="35" w:type="dxa"/>
            </w:tcMar>
            <w:vAlign w:val="center"/>
          </w:tcPr>
          <w:p>
            <w:pPr>
              <w:pStyle w:val="TableContents"/>
              <w:bidi w:val="0"/>
              <w:spacing w:before="0" w:after="283"/>
              <w:jc w:val="right"/>
              <w:rPr/>
            </w:pPr>
            <w:r>
              <w:rPr/>
              <w:t>​</w:t>
            </w:r>
          </w:p>
        </w:tc>
        <w:tc>
          <w:tcPr>
            <w:tcW w:w="1104" w:type="dxa"/>
            <w:tcBorders>
              <w:bottom w:val="single" w:sz="2" w:space="0" w:color="4B5088"/>
            </w:tcBorders>
            <w:tcMar>
              <w:bottom w:w="35" w:type="dxa"/>
            </w:tcMar>
            <w:vAlign w:val="center"/>
          </w:tcPr>
          <w:p>
            <w:pPr>
              <w:pStyle w:val="TableContents"/>
              <w:bidi w:val="0"/>
              <w:spacing w:before="0" w:after="283"/>
              <w:jc w:val="right"/>
              <w:rPr/>
            </w:pPr>
            <w:r>
              <w:rPr/>
              <w:t>5,838</w:t>
            </w:r>
          </w:p>
        </w:tc>
        <w:tc>
          <w:tcPr>
            <w:tcW w:w="125" w:type="dxa"/>
            <w:tcBorders>
              <w:bottom w:val="single" w:sz="2" w:space="0" w:color="4B5088"/>
            </w:tcBorders>
            <w:tcMar>
              <w:bottom w:w="28" w:type="dxa"/>
            </w:tcMar>
            <w:vAlign w:val="center"/>
          </w:tcPr>
          <w:p>
            <w:pPr>
              <w:pStyle w:val="TableContents"/>
              <w:bidi w:val="0"/>
              <w:spacing w:before="0" w:after="283"/>
              <w:jc w:val="left"/>
              <w:rPr/>
            </w:pPr>
            <w:r>
              <w:rPr/>
              <w:t>​</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319"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Amortization of deferred financing costs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3" w:type="dxa"/>
            <w:tcBorders>
              <w:bottom w:val="single" w:sz="2" w:space="0" w:color="4B5088"/>
            </w:tcBorders>
            <w:tcMar>
              <w:bottom w:w="28" w:type="dxa"/>
            </w:tcMar>
            <w:vAlign w:val="center"/>
          </w:tcPr>
          <w:p>
            <w:pPr>
              <w:pStyle w:val="TableContents"/>
              <w:bidi w:val="0"/>
              <w:spacing w:before="0" w:after="283"/>
              <w:jc w:val="left"/>
              <w:rPr/>
            </w:pPr>
            <w:r>
              <w:rPr/>
              <w:t>​</w:t>
            </w:r>
          </w:p>
        </w:tc>
        <w:tc>
          <w:tcPr>
            <w:tcW w:w="258" w:type="dxa"/>
            <w:tcBorders>
              <w:bottom w:val="single" w:sz="2" w:space="0" w:color="4B5088"/>
            </w:tcBorders>
            <w:tcMar>
              <w:bottom w:w="35" w:type="dxa"/>
            </w:tcMar>
            <w:vAlign w:val="center"/>
          </w:tcPr>
          <w:p>
            <w:pPr>
              <w:pStyle w:val="TableContents"/>
              <w:bidi w:val="0"/>
              <w:spacing w:before="0" w:after="283"/>
              <w:jc w:val="right"/>
              <w:rPr/>
            </w:pPr>
            <w:r>
              <w:rPr/>
              <w:t>​</w:t>
            </w:r>
          </w:p>
        </w:tc>
        <w:tc>
          <w:tcPr>
            <w:tcW w:w="1104" w:type="dxa"/>
            <w:tcBorders>
              <w:bottom w:val="single" w:sz="2" w:space="0" w:color="4B5088"/>
            </w:tcBorders>
            <w:tcMar>
              <w:bottom w:w="35" w:type="dxa"/>
            </w:tcMar>
            <w:vAlign w:val="center"/>
          </w:tcPr>
          <w:p>
            <w:pPr>
              <w:pStyle w:val="TableContents"/>
              <w:bidi w:val="0"/>
              <w:spacing w:before="0" w:after="283"/>
              <w:jc w:val="right"/>
              <w:rPr/>
            </w:pPr>
            <w:r>
              <w:rPr/>
              <w:t>7,054</w:t>
            </w:r>
          </w:p>
        </w:tc>
        <w:tc>
          <w:tcPr>
            <w:tcW w:w="125" w:type="dxa"/>
            <w:tcBorders>
              <w:bottom w:val="single" w:sz="2" w:space="0" w:color="4B5088"/>
            </w:tcBorders>
            <w:tcMar>
              <w:bottom w:w="28" w:type="dxa"/>
            </w:tcMar>
            <w:vAlign w:val="center"/>
          </w:tcPr>
          <w:p>
            <w:pPr>
              <w:pStyle w:val="TableContents"/>
              <w:bidi w:val="0"/>
              <w:spacing w:before="0" w:after="283"/>
              <w:jc w:val="left"/>
              <w:rPr/>
            </w:pPr>
            <w:r>
              <w:rPr/>
              <w:t>​</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319"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Non-cash deferred compensation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3" w:type="dxa"/>
            <w:tcBorders>
              <w:bottom w:val="single" w:sz="2" w:space="0" w:color="4B5088"/>
            </w:tcBorders>
            <w:tcMar>
              <w:bottom w:w="28" w:type="dxa"/>
            </w:tcMar>
            <w:vAlign w:val="center"/>
          </w:tcPr>
          <w:p>
            <w:pPr>
              <w:pStyle w:val="TableContents"/>
              <w:bidi w:val="0"/>
              <w:spacing w:before="0" w:after="283"/>
              <w:jc w:val="left"/>
              <w:rPr/>
            </w:pPr>
            <w:r>
              <w:rPr/>
              <w:t>​</w:t>
            </w:r>
          </w:p>
        </w:tc>
        <w:tc>
          <w:tcPr>
            <w:tcW w:w="258" w:type="dxa"/>
            <w:tcBorders>
              <w:bottom w:val="single" w:sz="2" w:space="0" w:color="4B5088"/>
            </w:tcBorders>
            <w:tcMar>
              <w:bottom w:w="35" w:type="dxa"/>
            </w:tcMar>
            <w:vAlign w:val="center"/>
          </w:tcPr>
          <w:p>
            <w:pPr>
              <w:pStyle w:val="TableContents"/>
              <w:bidi w:val="0"/>
              <w:spacing w:before="0" w:after="283"/>
              <w:jc w:val="right"/>
              <w:rPr/>
            </w:pPr>
            <w:r>
              <w:rPr/>
              <w:t>​</w:t>
            </w:r>
          </w:p>
        </w:tc>
        <w:tc>
          <w:tcPr>
            <w:tcW w:w="1104" w:type="dxa"/>
            <w:tcBorders>
              <w:bottom w:val="single" w:sz="2" w:space="0" w:color="4B5088"/>
            </w:tcBorders>
            <w:tcMar>
              <w:bottom w:w="35" w:type="dxa"/>
            </w:tcMar>
            <w:vAlign w:val="center"/>
          </w:tcPr>
          <w:p>
            <w:pPr>
              <w:pStyle w:val="TableContents"/>
              <w:bidi w:val="0"/>
              <w:spacing w:before="0" w:after="283"/>
              <w:jc w:val="right"/>
              <w:rPr/>
            </w:pPr>
            <w:r>
              <w:rPr/>
              <w:t>51,376</w:t>
            </w:r>
          </w:p>
        </w:tc>
        <w:tc>
          <w:tcPr>
            <w:tcW w:w="125" w:type="dxa"/>
            <w:tcBorders>
              <w:bottom w:val="single" w:sz="2" w:space="0" w:color="4B5088"/>
            </w:tcBorders>
            <w:tcMar>
              <w:bottom w:w="28" w:type="dxa"/>
            </w:tcMar>
            <w:vAlign w:val="center"/>
          </w:tcPr>
          <w:p>
            <w:pPr>
              <w:pStyle w:val="TableContents"/>
              <w:bidi w:val="0"/>
              <w:spacing w:before="0" w:after="283"/>
              <w:jc w:val="left"/>
              <w:rPr/>
            </w:pPr>
            <w:r>
              <w:rPr/>
              <w:t>​</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319"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FAD adjustment for joint ventures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3" w:type="dxa"/>
            <w:tcBorders>
              <w:bottom w:val="single" w:sz="2" w:space="0" w:color="4B5088"/>
            </w:tcBorders>
            <w:tcMar>
              <w:bottom w:w="28" w:type="dxa"/>
            </w:tcMar>
            <w:vAlign w:val="center"/>
          </w:tcPr>
          <w:p>
            <w:pPr>
              <w:pStyle w:val="TableContents"/>
              <w:bidi w:val="0"/>
              <w:spacing w:before="0" w:after="283"/>
              <w:jc w:val="left"/>
              <w:rPr/>
            </w:pPr>
            <w:r>
              <w:rPr/>
              <w:t>​</w:t>
            </w:r>
          </w:p>
        </w:tc>
        <w:tc>
          <w:tcPr>
            <w:tcW w:w="258" w:type="dxa"/>
            <w:tcBorders>
              <w:bottom w:val="single" w:sz="2" w:space="0" w:color="4B5088"/>
            </w:tcBorders>
            <w:tcMar>
              <w:bottom w:w="35" w:type="dxa"/>
            </w:tcMar>
            <w:vAlign w:val="center"/>
          </w:tcPr>
          <w:p>
            <w:pPr>
              <w:pStyle w:val="TableContents"/>
              <w:bidi w:val="0"/>
              <w:spacing w:before="0" w:after="283"/>
              <w:jc w:val="right"/>
              <w:rPr/>
            </w:pPr>
            <w:r>
              <w:rPr/>
              <w:t>​</w:t>
            </w:r>
          </w:p>
        </w:tc>
        <w:tc>
          <w:tcPr>
            <w:tcW w:w="1104" w:type="dxa"/>
            <w:tcBorders>
              <w:bottom w:val="single" w:sz="2" w:space="0" w:color="4B5088"/>
            </w:tcBorders>
            <w:tcMar>
              <w:bottom w:w="35" w:type="dxa"/>
            </w:tcMar>
            <w:vAlign w:val="center"/>
          </w:tcPr>
          <w:p>
            <w:pPr>
              <w:pStyle w:val="TableContents"/>
              <w:bidi w:val="0"/>
              <w:spacing w:before="0" w:after="283"/>
              <w:jc w:val="right"/>
              <w:rPr/>
            </w:pPr>
            <w:r>
              <w:rPr/>
              <w:t>(100,568)</w:t>
            </w:r>
          </w:p>
        </w:tc>
        <w:tc>
          <w:tcPr>
            <w:tcW w:w="125" w:type="dxa"/>
            <w:tcBorders>
              <w:bottom w:val="single" w:sz="2" w:space="0" w:color="4B5088"/>
            </w:tcBorders>
            <w:tcMar>
              <w:bottom w:w="28" w:type="dxa"/>
            </w:tcMar>
            <w:vAlign w:val="center"/>
          </w:tcPr>
          <w:p>
            <w:pPr>
              <w:pStyle w:val="TableContents"/>
              <w:bidi w:val="0"/>
              <w:spacing w:before="0" w:after="283"/>
              <w:jc w:val="left"/>
              <w:rPr/>
            </w:pPr>
            <w:r>
              <w:rPr/>
              <w:t>​</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319"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Straight-line rental income and other non-cash adjustments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3" w:type="dxa"/>
            <w:tcBorders>
              <w:bottom w:val="single" w:sz="2" w:space="0" w:color="4B5088"/>
            </w:tcBorders>
            <w:tcMar>
              <w:bottom w:w="28" w:type="dxa"/>
            </w:tcMar>
            <w:vAlign w:val="center"/>
          </w:tcPr>
          <w:p>
            <w:pPr>
              <w:pStyle w:val="TableContents"/>
              <w:bidi w:val="0"/>
              <w:spacing w:before="0" w:after="283"/>
              <w:jc w:val="left"/>
              <w:rPr/>
            </w:pPr>
            <w:r>
              <w:rPr/>
              <w:t>​</w:t>
            </w:r>
          </w:p>
        </w:tc>
        <w:tc>
          <w:tcPr>
            <w:tcW w:w="258" w:type="dxa"/>
            <w:tcBorders>
              <w:bottom w:val="single" w:sz="2" w:space="0" w:color="4B5088"/>
            </w:tcBorders>
            <w:tcMar>
              <w:bottom w:w="35" w:type="dxa"/>
            </w:tcMar>
            <w:vAlign w:val="center"/>
          </w:tcPr>
          <w:p>
            <w:pPr>
              <w:pStyle w:val="TableContents"/>
              <w:bidi w:val="0"/>
              <w:spacing w:before="0" w:after="283"/>
              <w:jc w:val="right"/>
              <w:rPr/>
            </w:pPr>
            <w:r>
              <w:rPr/>
              <w:t>​</w:t>
            </w:r>
          </w:p>
        </w:tc>
        <w:tc>
          <w:tcPr>
            <w:tcW w:w="1104" w:type="dxa"/>
            <w:tcBorders>
              <w:bottom w:val="single" w:sz="2" w:space="0" w:color="4B5088"/>
            </w:tcBorders>
            <w:tcMar>
              <w:bottom w:w="35" w:type="dxa"/>
            </w:tcMar>
            <w:vAlign w:val="center"/>
          </w:tcPr>
          <w:p>
            <w:pPr>
              <w:pStyle w:val="TableContents"/>
              <w:bidi w:val="0"/>
              <w:spacing w:before="0" w:after="283"/>
              <w:jc w:val="right"/>
              <w:rPr/>
            </w:pPr>
            <w:r>
              <w:rPr/>
              <w:t>661</w:t>
            </w:r>
          </w:p>
        </w:tc>
        <w:tc>
          <w:tcPr>
            <w:tcW w:w="125" w:type="dxa"/>
            <w:tcBorders>
              <w:bottom w:val="single" w:sz="2" w:space="0" w:color="4B5088"/>
            </w:tcBorders>
            <w:tcMar>
              <w:bottom w:w="28" w:type="dxa"/>
            </w:tcMar>
            <w:vAlign w:val="center"/>
          </w:tcPr>
          <w:p>
            <w:pPr>
              <w:pStyle w:val="TableContents"/>
              <w:bidi w:val="0"/>
              <w:spacing w:before="0" w:after="283"/>
              <w:jc w:val="left"/>
              <w:rPr/>
            </w:pPr>
            <w:r>
              <w:rPr/>
              <w:t>​</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319"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Non-cash fair value adjustments on mark-to-market derivatives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3" w:type="dxa"/>
            <w:tcBorders>
              <w:bottom w:val="single" w:sz="2" w:space="0" w:color="4B5088"/>
            </w:tcBorders>
            <w:tcMar>
              <w:bottom w:w="28" w:type="dxa"/>
            </w:tcMar>
            <w:vAlign w:val="center"/>
          </w:tcPr>
          <w:p>
            <w:pPr>
              <w:pStyle w:val="TableContents"/>
              <w:bidi w:val="0"/>
              <w:spacing w:before="0" w:after="283"/>
              <w:jc w:val="left"/>
              <w:rPr/>
            </w:pPr>
            <w:r>
              <w:rPr/>
              <w:t>​</w:t>
            </w:r>
          </w:p>
        </w:tc>
        <w:tc>
          <w:tcPr>
            <w:tcW w:w="258" w:type="dxa"/>
            <w:tcBorders>
              <w:bottom w:val="single" w:sz="2" w:space="0" w:color="4B5088"/>
            </w:tcBorders>
            <w:tcMar>
              <w:bottom w:w="35" w:type="dxa"/>
            </w:tcMar>
            <w:vAlign w:val="center"/>
          </w:tcPr>
          <w:p>
            <w:pPr>
              <w:pStyle w:val="TableContents"/>
              <w:bidi w:val="0"/>
              <w:spacing w:before="0" w:after="283"/>
              <w:jc w:val="right"/>
              <w:rPr/>
            </w:pPr>
            <w:r>
              <w:rPr/>
              <w:t>​</w:t>
            </w:r>
          </w:p>
        </w:tc>
        <w:tc>
          <w:tcPr>
            <w:tcW w:w="1104" w:type="dxa"/>
            <w:tcBorders>
              <w:bottom w:val="single" w:sz="2" w:space="0" w:color="4B5088"/>
            </w:tcBorders>
            <w:tcMar>
              <w:bottom w:w="35" w:type="dxa"/>
            </w:tcMar>
            <w:vAlign w:val="center"/>
          </w:tcPr>
          <w:p>
            <w:pPr>
              <w:pStyle w:val="TableContents"/>
              <w:bidi w:val="0"/>
              <w:spacing w:before="0" w:after="283"/>
              <w:jc w:val="right"/>
              <w:rPr/>
            </w:pPr>
            <w:r>
              <w:rPr/>
              <w:t>3,834</w:t>
            </w:r>
          </w:p>
        </w:tc>
        <w:tc>
          <w:tcPr>
            <w:tcW w:w="125" w:type="dxa"/>
            <w:tcBorders>
              <w:bottom w:val="single" w:sz="2" w:space="0" w:color="4B5088"/>
            </w:tcBorders>
            <w:tcMar>
              <w:bottom w:w="28" w:type="dxa"/>
            </w:tcMar>
            <w:vAlign w:val="center"/>
          </w:tcPr>
          <w:p>
            <w:pPr>
              <w:pStyle w:val="TableContents"/>
              <w:bidi w:val="0"/>
              <w:spacing w:before="0" w:after="283"/>
              <w:jc w:val="left"/>
              <w:rPr/>
            </w:pPr>
            <w:r>
              <w:rPr/>
              <w:t>​</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319"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Second cycle tenant improvements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3" w:type="dxa"/>
            <w:tcBorders>
              <w:bottom w:val="single" w:sz="2" w:space="0" w:color="4B5088"/>
            </w:tcBorders>
            <w:tcMar>
              <w:bottom w:w="28" w:type="dxa"/>
            </w:tcMar>
            <w:vAlign w:val="center"/>
          </w:tcPr>
          <w:p>
            <w:pPr>
              <w:pStyle w:val="TableContents"/>
              <w:bidi w:val="0"/>
              <w:spacing w:before="0" w:after="283"/>
              <w:jc w:val="left"/>
              <w:rPr/>
            </w:pPr>
            <w:r>
              <w:rPr/>
              <w:t>​</w:t>
            </w:r>
          </w:p>
        </w:tc>
        <w:tc>
          <w:tcPr>
            <w:tcW w:w="258" w:type="dxa"/>
            <w:tcBorders>
              <w:bottom w:val="single" w:sz="2" w:space="0" w:color="4B5088"/>
            </w:tcBorders>
            <w:tcMar>
              <w:bottom w:w="35" w:type="dxa"/>
            </w:tcMar>
            <w:vAlign w:val="center"/>
          </w:tcPr>
          <w:p>
            <w:pPr>
              <w:pStyle w:val="TableContents"/>
              <w:bidi w:val="0"/>
              <w:spacing w:before="0" w:after="283"/>
              <w:jc w:val="right"/>
              <w:rPr/>
            </w:pPr>
            <w:r>
              <w:rPr/>
              <w:t>​</w:t>
            </w:r>
          </w:p>
        </w:tc>
        <w:tc>
          <w:tcPr>
            <w:tcW w:w="1104" w:type="dxa"/>
            <w:tcBorders>
              <w:bottom w:val="single" w:sz="2" w:space="0" w:color="4B5088"/>
            </w:tcBorders>
            <w:tcMar>
              <w:bottom w:w="35" w:type="dxa"/>
            </w:tcMar>
            <w:vAlign w:val="center"/>
          </w:tcPr>
          <w:p>
            <w:pPr>
              <w:pStyle w:val="TableContents"/>
              <w:bidi w:val="0"/>
              <w:spacing w:before="0" w:after="283"/>
              <w:jc w:val="right"/>
              <w:rPr/>
            </w:pPr>
            <w:r>
              <w:rPr/>
              <w:t>(105,434)</w:t>
            </w:r>
          </w:p>
        </w:tc>
        <w:tc>
          <w:tcPr>
            <w:tcW w:w="125" w:type="dxa"/>
            <w:tcBorders>
              <w:bottom w:val="single" w:sz="2" w:space="0" w:color="4B5088"/>
            </w:tcBorders>
            <w:tcMar>
              <w:bottom w:w="28" w:type="dxa"/>
            </w:tcMar>
            <w:vAlign w:val="center"/>
          </w:tcPr>
          <w:p>
            <w:pPr>
              <w:pStyle w:val="TableContents"/>
              <w:bidi w:val="0"/>
              <w:spacing w:before="0" w:after="283"/>
              <w:jc w:val="left"/>
              <w:rPr/>
            </w:pPr>
            <w:r>
              <w:rPr/>
              <w:t>​</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319"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Second cycle leasing commissions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3" w:type="dxa"/>
            <w:tcBorders>
              <w:bottom w:val="single" w:sz="2" w:space="0" w:color="4B5088"/>
            </w:tcBorders>
            <w:tcMar>
              <w:bottom w:w="28" w:type="dxa"/>
            </w:tcMar>
            <w:vAlign w:val="center"/>
          </w:tcPr>
          <w:p>
            <w:pPr>
              <w:pStyle w:val="TableContents"/>
              <w:bidi w:val="0"/>
              <w:spacing w:before="0" w:after="283"/>
              <w:jc w:val="left"/>
              <w:rPr/>
            </w:pPr>
            <w:r>
              <w:rPr/>
              <w:t>​</w:t>
            </w:r>
          </w:p>
        </w:tc>
        <w:tc>
          <w:tcPr>
            <w:tcW w:w="258" w:type="dxa"/>
            <w:tcBorders>
              <w:bottom w:val="single" w:sz="2" w:space="0" w:color="4B5088"/>
            </w:tcBorders>
            <w:tcMar>
              <w:bottom w:w="35" w:type="dxa"/>
            </w:tcMar>
            <w:vAlign w:val="center"/>
          </w:tcPr>
          <w:p>
            <w:pPr>
              <w:pStyle w:val="TableContents"/>
              <w:bidi w:val="0"/>
              <w:spacing w:before="0" w:after="283"/>
              <w:jc w:val="right"/>
              <w:rPr/>
            </w:pPr>
            <w:r>
              <w:rPr/>
              <w:t>​</w:t>
            </w:r>
          </w:p>
        </w:tc>
        <w:tc>
          <w:tcPr>
            <w:tcW w:w="1104" w:type="dxa"/>
            <w:tcBorders>
              <w:bottom w:val="single" w:sz="2" w:space="0" w:color="4B5088"/>
            </w:tcBorders>
            <w:tcMar>
              <w:bottom w:w="35" w:type="dxa"/>
            </w:tcMar>
            <w:vAlign w:val="center"/>
          </w:tcPr>
          <w:p>
            <w:pPr>
              <w:pStyle w:val="TableContents"/>
              <w:bidi w:val="0"/>
              <w:spacing w:before="0" w:after="283"/>
              <w:jc w:val="right"/>
              <w:rPr/>
            </w:pPr>
            <w:r>
              <w:rPr/>
              <w:t>(26,558)</w:t>
            </w:r>
          </w:p>
        </w:tc>
        <w:tc>
          <w:tcPr>
            <w:tcW w:w="125" w:type="dxa"/>
            <w:tcBorders>
              <w:bottom w:val="single" w:sz="2" w:space="0" w:color="4B5088"/>
            </w:tcBorders>
            <w:tcMar>
              <w:bottom w:w="28" w:type="dxa"/>
            </w:tcMar>
            <w:vAlign w:val="center"/>
          </w:tcPr>
          <w:p>
            <w:pPr>
              <w:pStyle w:val="TableContents"/>
              <w:bidi w:val="0"/>
              <w:spacing w:before="0" w:after="283"/>
              <w:jc w:val="left"/>
              <w:rPr/>
            </w:pPr>
            <w:r>
              <w:rPr/>
              <w:t>​</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319"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Recurring capital expenditures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3" w:type="dxa"/>
            <w:tcBorders>
              <w:bottom w:val="single" w:sz="2" w:space="0" w:color="4B5088"/>
            </w:tcBorders>
            <w:tcMar>
              <w:bottom w:w="28" w:type="dxa"/>
            </w:tcMar>
            <w:vAlign w:val="center"/>
          </w:tcPr>
          <w:p>
            <w:pPr>
              <w:pStyle w:val="TableContents"/>
              <w:bidi w:val="0"/>
              <w:spacing w:before="0" w:after="283"/>
              <w:jc w:val="left"/>
              <w:rPr/>
            </w:pPr>
            <w:r>
              <w:rPr/>
              <w:t>​</w:t>
            </w:r>
          </w:p>
        </w:tc>
        <w:tc>
          <w:tcPr>
            <w:tcW w:w="258" w:type="dxa"/>
            <w:tcBorders>
              <w:bottom w:val="single" w:sz="2" w:space="0" w:color="4B5088"/>
            </w:tcBorders>
            <w:tcMar>
              <w:bottom w:w="35" w:type="dxa"/>
            </w:tcMar>
            <w:vAlign w:val="center"/>
          </w:tcPr>
          <w:p>
            <w:pPr>
              <w:pStyle w:val="TableContents"/>
              <w:bidi w:val="0"/>
              <w:spacing w:before="0" w:after="283"/>
              <w:jc w:val="right"/>
              <w:rPr/>
            </w:pPr>
            <w:r>
              <w:rPr/>
              <w:t>​</w:t>
            </w:r>
          </w:p>
        </w:tc>
        <w:tc>
          <w:tcPr>
            <w:tcW w:w="1104" w:type="dxa"/>
            <w:tcBorders>
              <w:bottom w:val="single" w:sz="2" w:space="0" w:color="4B5088"/>
            </w:tcBorders>
            <w:tcMar>
              <w:bottom w:w="35" w:type="dxa"/>
            </w:tcMar>
            <w:vAlign w:val="center"/>
          </w:tcPr>
          <w:p>
            <w:pPr>
              <w:pStyle w:val="TableContents"/>
              <w:bidi w:val="0"/>
              <w:spacing w:before="0" w:after="283"/>
              <w:jc w:val="right"/>
              <w:rPr/>
            </w:pPr>
            <w:r>
              <w:rPr/>
              <w:t>(36,632)</w:t>
            </w:r>
          </w:p>
        </w:tc>
        <w:tc>
          <w:tcPr>
            <w:tcW w:w="125" w:type="dxa"/>
            <w:tcBorders>
              <w:bottom w:val="single" w:sz="2" w:space="0" w:color="4B5088"/>
            </w:tcBorders>
            <w:tcMar>
              <w:bottom w:w="28" w:type="dxa"/>
            </w:tcMar>
            <w:vAlign w:val="center"/>
          </w:tcPr>
          <w:p>
            <w:pPr>
              <w:pStyle w:val="TableContents"/>
              <w:bidi w:val="0"/>
              <w:spacing w:before="0" w:after="283"/>
              <w:jc w:val="left"/>
              <w:rPr/>
            </w:pPr>
            <w:r>
              <w:rPr/>
              <w:t>​</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319" w:type="dxa"/>
            <w:tcBorders>
              <w:bottom w:val="single" w:sz="2" w:space="0" w:color="1F2668"/>
            </w:tcBorders>
            <w:tcMar>
              <w:bottom w:w="35" w:type="dxa"/>
            </w:tcMar>
            <w:vAlign w:val="center"/>
          </w:tcPr>
          <w:p>
            <w:pPr>
              <w:pStyle w:val="TableContents"/>
              <w:bidi w:val="0"/>
              <w:spacing w:before="0" w:after="0"/>
              <w:jc w:val="left"/>
              <w:rPr>
                <w:color w:val="1F2668"/>
              </w:rPr>
            </w:pPr>
            <w:r>
              <w:rPr>
                <w:color w:val="1F2668"/>
                <w:spacing w:val="-2"/>
              </w:rPr>
              <w:t>Funds Available for Distribution</w:t>
            </w:r>
            <w:r>
              <w:rPr>
                <w:color w:val="1F2668"/>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3" w:type="dxa"/>
            <w:tcBorders>
              <w:bottom w:val="single" w:sz="2" w:space="0" w:color="1F2668"/>
            </w:tcBorders>
            <w:tcMar>
              <w:bottom w:w="28" w:type="dxa"/>
            </w:tcMar>
            <w:vAlign w:val="center"/>
          </w:tcPr>
          <w:p>
            <w:pPr>
              <w:pStyle w:val="TableContents"/>
              <w:bidi w:val="0"/>
              <w:spacing w:before="0" w:after="283"/>
              <w:jc w:val="left"/>
              <w:rPr/>
            </w:pPr>
            <w:r>
              <w:rPr/>
              <w:t>​</w:t>
            </w:r>
          </w:p>
        </w:tc>
        <w:tc>
          <w:tcPr>
            <w:tcW w:w="258" w:type="dxa"/>
            <w:tcBorders>
              <w:bottom w:val="single" w:sz="2" w:space="0" w:color="1F2668"/>
            </w:tcBorders>
            <w:tcMar>
              <w:bottom w:w="35" w:type="dxa"/>
            </w:tcMar>
            <w:vAlign w:val="center"/>
          </w:tcPr>
          <w:p>
            <w:pPr>
              <w:pStyle w:val="TableContents"/>
              <w:bidi w:val="0"/>
              <w:spacing w:before="0" w:after="283"/>
              <w:jc w:val="right"/>
              <w:rPr/>
            </w:pPr>
            <w:r>
              <w:rPr/>
              <w:t>$</w:t>
            </w:r>
          </w:p>
        </w:tc>
        <w:tc>
          <w:tcPr>
            <w:tcW w:w="1104" w:type="dxa"/>
            <w:tcBorders>
              <w:bottom w:val="single" w:sz="2" w:space="0" w:color="1F2668"/>
            </w:tcBorders>
            <w:tcMar>
              <w:bottom w:w="35" w:type="dxa"/>
            </w:tcMar>
            <w:vAlign w:val="center"/>
          </w:tcPr>
          <w:p>
            <w:pPr>
              <w:pStyle w:val="TableContents"/>
              <w:bidi w:val="0"/>
              <w:spacing w:before="0" w:after="283"/>
              <w:jc w:val="right"/>
              <w:rPr/>
            </w:pPr>
            <w:r>
              <w:rPr/>
              <w:t>237,243</w:t>
            </w:r>
          </w:p>
        </w:tc>
        <w:tc>
          <w:tcPr>
            <w:tcW w:w="125" w:type="dxa"/>
            <w:tcBorders>
              <w:bottom w:val="single" w:sz="2" w:space="0" w:color="1F2668"/>
            </w:tcBorders>
            <w:tcMar>
              <w:bottom w:w="28" w:type="dxa"/>
            </w:tcMar>
            <w:vAlign w:val="center"/>
          </w:tcPr>
          <w:p>
            <w:pPr>
              <w:pStyle w:val="TableContents"/>
              <w:bidi w:val="0"/>
              <w:spacing w:before="0" w:after="283"/>
              <w:jc w:val="left"/>
              <w:rPr/>
            </w:pPr>
            <w:r>
              <w:rPr/>
              <w:t>​</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220" w:after="283"/>
        <w:ind w:left="900" w:right="0" w:hanging="0"/>
        <w:jc w:val="left"/>
        <w:rPr>
          <w:rFonts w:ascii="Arial;Helvetica;sans-serif" w:hAnsi="Arial;Helvetica;sans-serif"/>
          <w:b w:val="false"/>
          <w:i w:val="false"/>
          <w:caps w:val="false"/>
          <w:smallCaps w:val="false"/>
          <w:color w:val="000000"/>
          <w:spacing w:val="-2"/>
          <w:sz w:val="18"/>
        </w:rPr>
      </w:pPr>
      <w:r>
        <w:rPr>
          <w:rFonts w:ascii="Arial;Helvetica;sans-serif" w:hAnsi="Arial;Helvetica;sans-serif"/>
          <w:b w:val="false"/>
          <w:i w:val="false"/>
          <w:caps w:val="false"/>
          <w:smallCaps w:val="false"/>
          <w:color w:val="000000"/>
          <w:spacing w:val="-2"/>
          <w:sz w:val="18"/>
        </w:rPr>
        <w:t xml:space="preserve">Below are reconciliations of net income to operating income, same-store cash net operating income and same-store cash net operating income excluding lease termination income for the twelve months ended December 31, 2025 and 2024 (amounts in thousands).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2644" w:type="dxa"/>
        <w:jc w:val="left"/>
        <w:tblInd w:w="900" w:type="dxa"/>
        <w:tblLayout w:type="fixed"/>
        <w:tblCellMar>
          <w:top w:w="0" w:type="dxa"/>
          <w:left w:w="0" w:type="dxa"/>
          <w:bottom w:w="0" w:type="dxa"/>
          <w:right w:w="0" w:type="dxa"/>
        </w:tblCellMar>
      </w:tblPr>
      <w:tblGrid>
        <w:gridCol w:w="124"/>
        <w:gridCol w:w="1667"/>
        <w:gridCol w:w="109"/>
        <w:gridCol w:w="109"/>
        <w:gridCol w:w="481"/>
        <w:gridCol w:w="154"/>
      </w:tblGrid>
      <w:tr>
        <w:trPr/>
        <w:tc>
          <w:tcPr>
            <w:tcW w:w="124" w:type="dxa"/>
            <w:tcBorders/>
            <w:vAlign w:val="center"/>
          </w:tcPr>
          <w:p>
            <w:pPr>
              <w:pStyle w:val="TableContents"/>
              <w:bidi w:val="0"/>
              <w:spacing w:before="0" w:after="283"/>
              <w:jc w:val="left"/>
              <w:rPr/>
            </w:pPr>
            <w:r>
              <w:rPr/>
              <w:t>​</w:t>
            </w:r>
          </w:p>
        </w:tc>
        <w:tc>
          <w:tcPr>
            <w:tcW w:w="1667" w:type="dxa"/>
            <w:tcBorders/>
            <w:vAlign w:val="center"/>
          </w:tcPr>
          <w:p>
            <w:pPr>
              <w:pStyle w:val="TableContents"/>
              <w:bidi w:val="0"/>
              <w:spacing w:lineRule="atLeast" w:line="200" w:before="0" w:after="0"/>
              <w:jc w:val="left"/>
              <w:rPr/>
            </w:pPr>
            <w:r>
              <w:rPr>
                <w:spacing w:val="-2"/>
              </w:rPr>
              <w:t>APPENDIX A:</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81" w:type="dxa"/>
            <w:tcBorders/>
            <w:vAlign w:val="center"/>
          </w:tcPr>
          <w:p>
            <w:pPr>
              <w:pStyle w:val="TableContents"/>
              <w:bidi w:val="0"/>
              <w:spacing w:before="0" w:after="0"/>
              <w:jc w:val="right"/>
              <w:rPr>
                <w:color w:val="1F2668"/>
                <w:sz w:val="24"/>
              </w:rPr>
            </w:pPr>
            <w:r>
              <w:rPr>
                <w:color w:val="1F2668"/>
                <w:sz w:val="24"/>
              </w:rPr>
              <w:t>A-3</w:t>
            </w:r>
          </w:p>
        </w:tc>
        <w:tc>
          <w:tcPr>
            <w:tcW w:w="154" w:type="dxa"/>
            <w:tcBorders/>
            <w:vAlign w:val="center"/>
          </w:tcPr>
          <w:p>
            <w:pPr>
              <w:pStyle w:val="TableContents"/>
              <w:bidi w:val="0"/>
              <w:spacing w:before="0" w:after="283"/>
              <w:jc w:val="left"/>
              <w:rPr/>
            </w:pPr>
            <w:r>
              <w:rPr/>
              <w:t>​</w:t>
            </w:r>
          </w:p>
        </w:tc>
      </w:tr>
    </w:tbl>
    <w:tbl>
      <w:tblPr>
        <w:tblW w:w="9305" w:type="dxa"/>
        <w:jc w:val="left"/>
        <w:tblInd w:w="900" w:type="dxa"/>
        <w:tblLayout w:type="fixed"/>
        <w:tblCellMar>
          <w:top w:w="0" w:type="dxa"/>
          <w:left w:w="0" w:type="dxa"/>
          <w:bottom w:w="0" w:type="dxa"/>
          <w:right w:w="0" w:type="dxa"/>
        </w:tblCellMar>
      </w:tblPr>
      <w:tblGrid>
        <w:gridCol w:w="5377"/>
        <w:gridCol w:w="109"/>
        <w:gridCol w:w="109"/>
        <w:gridCol w:w="127"/>
        <w:gridCol w:w="265"/>
        <w:gridCol w:w="1128"/>
        <w:gridCol w:w="127"/>
        <w:gridCol w:w="127"/>
        <w:gridCol w:w="127"/>
        <w:gridCol w:w="127"/>
        <w:gridCol w:w="265"/>
        <w:gridCol w:w="1128"/>
        <w:gridCol w:w="134"/>
        <w:gridCol w:w="155"/>
      </w:tblGrid>
      <w:tr>
        <w:trPr/>
        <w:tc>
          <w:tcPr>
            <w:tcW w:w="537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555" w:type="dxa"/>
            <w:gridSpan w:val="10"/>
            <w:tcBorders>
              <w:bottom w:val="single" w:sz="2" w:space="0" w:color="1F2668"/>
            </w:tcBorders>
            <w:tcMar>
              <w:bottom w:w="70" w:type="dxa"/>
            </w:tcMar>
            <w:vAlign w:val="center"/>
          </w:tcPr>
          <w:p>
            <w:pPr>
              <w:pStyle w:val="TableContents"/>
              <w:bidi w:val="0"/>
              <w:spacing w:before="0" w:after="0"/>
              <w:jc w:val="right"/>
              <w:rPr/>
            </w:pPr>
            <w:r>
              <w:rPr>
                <w:spacing w:val="-2"/>
              </w:rPr>
              <w:t>Twelve months ended December 31,</w:t>
            </w:r>
            <w:r>
              <w:rPr/>
              <w:t xml:space="preserve">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377" w:type="dxa"/>
            <w:tcBorders>
              <w:bottom w:val="single" w:sz="2" w:space="0" w:color="1F2668"/>
            </w:tcBorders>
            <w:tcMar>
              <w:bottom w:w="70"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47" w:type="dxa"/>
            <w:gridSpan w:val="4"/>
            <w:tcBorders>
              <w:bottom w:val="single" w:sz="2" w:space="0" w:color="1F2668"/>
            </w:tcBorders>
            <w:tcMar>
              <w:bottom w:w="70" w:type="dxa"/>
            </w:tcMar>
            <w:vAlign w:val="center"/>
          </w:tcPr>
          <w:p>
            <w:pPr>
              <w:pStyle w:val="TableContents"/>
              <w:bidi w:val="0"/>
              <w:spacing w:before="0" w:after="0"/>
              <w:jc w:val="right"/>
              <w:rPr/>
            </w:pPr>
            <w:r>
              <w:rPr>
                <w:spacing w:val="-2"/>
              </w:rPr>
              <w:t>2025</w:t>
            </w:r>
            <w:r>
              <w:rPr/>
              <w:t xml:space="preserve"> </w:t>
            </w:r>
          </w:p>
        </w:tc>
        <w:tc>
          <w:tcPr>
            <w:tcW w:w="127"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FFFFFF"/>
            </w:tcBorders>
            <w:tcMar>
              <w:bottom w:w="28" w:type="dxa"/>
            </w:tcMar>
            <w:vAlign w:val="center"/>
          </w:tcPr>
          <w:p>
            <w:pPr>
              <w:pStyle w:val="TableContents"/>
              <w:bidi w:val="0"/>
              <w:spacing w:before="0" w:after="283"/>
              <w:jc w:val="left"/>
              <w:rPr/>
            </w:pPr>
            <w:r>
              <w:rPr/>
              <w:t>​</w:t>
            </w:r>
          </w:p>
        </w:tc>
        <w:tc>
          <w:tcPr>
            <w:tcW w:w="1654" w:type="dxa"/>
            <w:gridSpan w:val="4"/>
            <w:tcBorders>
              <w:bottom w:val="single" w:sz="2" w:space="0" w:color="1F2668"/>
            </w:tcBorders>
            <w:tcMar>
              <w:bottom w:w="70" w:type="dxa"/>
            </w:tcMar>
            <w:vAlign w:val="center"/>
          </w:tcPr>
          <w:p>
            <w:pPr>
              <w:pStyle w:val="TableContents"/>
              <w:bidi w:val="0"/>
              <w:spacing w:before="0" w:after="0"/>
              <w:jc w:val="right"/>
              <w:rPr/>
            </w:pPr>
            <w:r>
              <w:rPr>
                <w:spacing w:val="-2"/>
              </w:rPr>
              <w:t>2024</w:t>
            </w:r>
            <w:r>
              <w:rPr/>
              <w:t xml:space="preserve">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377" w:type="dxa"/>
            <w:tcBorders>
              <w:bottom w:val="single" w:sz="2" w:space="0" w:color="4B5088"/>
            </w:tcBorders>
            <w:tcMar>
              <w:bottom w:w="35" w:type="dxa"/>
            </w:tcMar>
            <w:vAlign w:val="center"/>
          </w:tcPr>
          <w:p>
            <w:pPr>
              <w:pStyle w:val="TableContents"/>
              <w:bidi w:val="0"/>
              <w:spacing w:before="0" w:after="283"/>
              <w:jc w:val="left"/>
              <w:rPr/>
            </w:pPr>
            <w:r>
              <w:rPr>
                <w:spacing w:val="-2"/>
              </w:rPr>
              <w:t>Operating Income and Same-store cash NOI Reconciliation</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265" w:type="dxa"/>
            <w:tcBorders>
              <w:bottom w:val="single" w:sz="2" w:space="0" w:color="4B5088"/>
            </w:tcBorders>
            <w:tcMar>
              <w:bottom w:w="35" w:type="dxa"/>
            </w:tcMar>
            <w:vAlign w:val="center"/>
          </w:tcPr>
          <w:p>
            <w:pPr>
              <w:pStyle w:val="TableContents"/>
              <w:bidi w:val="0"/>
              <w:spacing w:before="0" w:after="283"/>
              <w:jc w:val="right"/>
              <w:rPr/>
            </w:pPr>
            <w:r>
              <w:rPr/>
              <w:t>​</w:t>
            </w:r>
          </w:p>
        </w:tc>
        <w:tc>
          <w:tcPr>
            <w:tcW w:w="1128" w:type="dxa"/>
            <w:tcBorders>
              <w:bottom w:val="single" w:sz="2" w:space="0" w:color="4B5088"/>
            </w:tcBorders>
            <w:tcMar>
              <w:bottom w:w="35" w:type="dxa"/>
            </w:tcMar>
            <w:vAlign w:val="center"/>
          </w:tcPr>
          <w:p>
            <w:pPr>
              <w:pStyle w:val="TableContents"/>
              <w:bidi w:val="0"/>
              <w:spacing w:before="0" w:after="283"/>
              <w:jc w:val="right"/>
              <w:rPr/>
            </w:pPr>
            <w:r>
              <w:rPr/>
              <w:t>​</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127"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265" w:type="dxa"/>
            <w:tcBorders>
              <w:bottom w:val="single" w:sz="2" w:space="0" w:color="4B5088"/>
            </w:tcBorders>
            <w:tcMar>
              <w:bottom w:w="35" w:type="dxa"/>
            </w:tcMar>
            <w:vAlign w:val="center"/>
          </w:tcPr>
          <w:p>
            <w:pPr>
              <w:pStyle w:val="TableContents"/>
              <w:bidi w:val="0"/>
              <w:spacing w:before="0" w:after="283"/>
              <w:jc w:val="right"/>
              <w:rPr/>
            </w:pPr>
            <w:r>
              <w:rPr/>
              <w:t>​</w:t>
            </w:r>
          </w:p>
        </w:tc>
        <w:tc>
          <w:tcPr>
            <w:tcW w:w="1128" w:type="dxa"/>
            <w:tcBorders>
              <w:bottom w:val="single" w:sz="2" w:space="0" w:color="4B5088"/>
            </w:tcBorders>
            <w:tcMar>
              <w:bottom w:w="35" w:type="dxa"/>
            </w:tcMar>
            <w:vAlign w:val="center"/>
          </w:tcPr>
          <w:p>
            <w:pPr>
              <w:pStyle w:val="TableContents"/>
              <w:bidi w:val="0"/>
              <w:spacing w:before="0" w:after="283"/>
              <w:jc w:val="right"/>
              <w:rPr/>
            </w:pPr>
            <w:r>
              <w:rPr/>
              <w:t>​</w:t>
            </w:r>
          </w:p>
        </w:tc>
        <w:tc>
          <w:tcPr>
            <w:tcW w:w="134" w:type="dxa"/>
            <w:tcBorders>
              <w:bottom w:val="single" w:sz="2" w:space="0" w:color="4B5088"/>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377" w:type="dxa"/>
            <w:tcBorders>
              <w:bottom w:val="single" w:sz="2" w:space="0" w:color="4B5088"/>
            </w:tcBorders>
            <w:tcMar>
              <w:bottom w:w="35" w:type="dxa"/>
            </w:tcMar>
            <w:vAlign w:val="center"/>
          </w:tcPr>
          <w:p>
            <w:pPr>
              <w:pStyle w:val="TableContents"/>
              <w:bidi w:val="0"/>
              <w:spacing w:before="0" w:after="283"/>
              <w:jc w:val="left"/>
              <w:rPr/>
            </w:pPr>
            <w:r>
              <w:rPr>
                <w:spacing w:val="-2"/>
              </w:rPr>
              <w:t>Net income (loss)</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265" w:type="dxa"/>
            <w:tcBorders>
              <w:bottom w:val="single" w:sz="2" w:space="0" w:color="4B5088"/>
            </w:tcBorders>
            <w:tcMar>
              <w:bottom w:w="35" w:type="dxa"/>
            </w:tcMar>
            <w:vAlign w:val="center"/>
          </w:tcPr>
          <w:p>
            <w:pPr>
              <w:pStyle w:val="TableContents"/>
              <w:bidi w:val="0"/>
              <w:spacing w:before="0" w:after="283"/>
              <w:jc w:val="right"/>
              <w:rPr/>
            </w:pPr>
            <w:r>
              <w:rPr/>
              <w:t>$</w:t>
            </w:r>
          </w:p>
        </w:tc>
        <w:tc>
          <w:tcPr>
            <w:tcW w:w="1128" w:type="dxa"/>
            <w:tcBorders>
              <w:bottom w:val="single" w:sz="2" w:space="0" w:color="4B5088"/>
            </w:tcBorders>
            <w:tcMar>
              <w:bottom w:w="35" w:type="dxa"/>
            </w:tcMar>
            <w:vAlign w:val="center"/>
          </w:tcPr>
          <w:p>
            <w:pPr>
              <w:pStyle w:val="TableContents"/>
              <w:bidi w:val="0"/>
              <w:spacing w:before="0" w:after="283"/>
              <w:jc w:val="right"/>
              <w:rPr/>
            </w:pPr>
            <w:r>
              <w:rPr/>
              <w:t>(96,921)</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127"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265" w:type="dxa"/>
            <w:tcBorders>
              <w:bottom w:val="single" w:sz="2" w:space="0" w:color="4B5088"/>
            </w:tcBorders>
            <w:tcMar>
              <w:bottom w:w="35" w:type="dxa"/>
            </w:tcMar>
            <w:vAlign w:val="center"/>
          </w:tcPr>
          <w:p>
            <w:pPr>
              <w:pStyle w:val="TableContents"/>
              <w:bidi w:val="0"/>
              <w:spacing w:before="0" w:after="283"/>
              <w:jc w:val="right"/>
              <w:rPr/>
            </w:pPr>
            <w:r>
              <w:rPr/>
              <w:t>$</w:t>
            </w:r>
          </w:p>
        </w:tc>
        <w:tc>
          <w:tcPr>
            <w:tcW w:w="1128" w:type="dxa"/>
            <w:tcBorders>
              <w:bottom w:val="single" w:sz="2" w:space="0" w:color="4B5088"/>
            </w:tcBorders>
            <w:tcMar>
              <w:bottom w:w="35" w:type="dxa"/>
            </w:tcMar>
            <w:vAlign w:val="center"/>
          </w:tcPr>
          <w:p>
            <w:pPr>
              <w:pStyle w:val="TableContents"/>
              <w:bidi w:val="0"/>
              <w:spacing w:before="0" w:after="283"/>
              <w:jc w:val="right"/>
              <w:rPr/>
            </w:pPr>
            <w:r>
              <w:rPr/>
              <w:t>30,222</w:t>
            </w:r>
          </w:p>
        </w:tc>
        <w:tc>
          <w:tcPr>
            <w:tcW w:w="134" w:type="dxa"/>
            <w:tcBorders>
              <w:bottom w:val="single" w:sz="2" w:space="0" w:color="4B5088"/>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377" w:type="dxa"/>
            <w:tcBorders>
              <w:bottom w:val="single" w:sz="2" w:space="0" w:color="4B5088"/>
            </w:tcBorders>
            <w:tcMar>
              <w:bottom w:w="35" w:type="dxa"/>
            </w:tcMar>
            <w:vAlign w:val="center"/>
          </w:tcPr>
          <w:p>
            <w:pPr>
              <w:pStyle w:val="TableContents"/>
              <w:bidi w:val="0"/>
              <w:spacing w:before="0" w:after="283"/>
              <w:jc w:val="left"/>
              <w:rPr/>
            </w:pPr>
            <w:r>
              <w:rPr>
                <w:spacing w:val="-2"/>
              </w:rPr>
              <w:t>Depreciable real estate reserves</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265" w:type="dxa"/>
            <w:tcBorders>
              <w:bottom w:val="single" w:sz="2" w:space="0" w:color="4B5088"/>
            </w:tcBorders>
            <w:tcMar>
              <w:bottom w:w="35" w:type="dxa"/>
            </w:tcMar>
            <w:vAlign w:val="center"/>
          </w:tcPr>
          <w:p>
            <w:pPr>
              <w:pStyle w:val="TableContents"/>
              <w:bidi w:val="0"/>
              <w:spacing w:before="0" w:after="283"/>
              <w:jc w:val="right"/>
              <w:rPr/>
            </w:pPr>
            <w:r>
              <w:rPr/>
              <w:t>​</w:t>
            </w:r>
          </w:p>
        </w:tc>
        <w:tc>
          <w:tcPr>
            <w:tcW w:w="1128" w:type="dxa"/>
            <w:tcBorders>
              <w:bottom w:val="single" w:sz="2" w:space="0" w:color="4B5088"/>
            </w:tcBorders>
            <w:tcMar>
              <w:bottom w:w="35" w:type="dxa"/>
            </w:tcMar>
            <w:vAlign w:val="center"/>
          </w:tcPr>
          <w:p>
            <w:pPr>
              <w:pStyle w:val="TableContents"/>
              <w:bidi w:val="0"/>
              <w:spacing w:before="0" w:after="283"/>
              <w:jc w:val="right"/>
              <w:rPr/>
            </w:pPr>
            <w:r>
              <w:rPr/>
              <w:t>32,092</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127"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265" w:type="dxa"/>
            <w:tcBorders>
              <w:bottom w:val="single" w:sz="2" w:space="0" w:color="4B5088"/>
            </w:tcBorders>
            <w:tcMar>
              <w:bottom w:w="35" w:type="dxa"/>
            </w:tcMar>
            <w:vAlign w:val="center"/>
          </w:tcPr>
          <w:p>
            <w:pPr>
              <w:pStyle w:val="TableContents"/>
              <w:bidi w:val="0"/>
              <w:spacing w:before="0" w:after="283"/>
              <w:jc w:val="right"/>
              <w:rPr/>
            </w:pPr>
            <w:r>
              <w:rPr/>
              <w:t>​</w:t>
            </w:r>
          </w:p>
        </w:tc>
        <w:tc>
          <w:tcPr>
            <w:tcW w:w="1128" w:type="dxa"/>
            <w:tcBorders>
              <w:bottom w:val="single" w:sz="2" w:space="0" w:color="4B5088"/>
            </w:tcBorders>
            <w:tcMar>
              <w:bottom w:w="35" w:type="dxa"/>
            </w:tcMar>
            <w:vAlign w:val="center"/>
          </w:tcPr>
          <w:p>
            <w:pPr>
              <w:pStyle w:val="TableContents"/>
              <w:bidi w:val="0"/>
              <w:spacing w:before="0" w:after="283"/>
              <w:jc w:val="right"/>
              <w:rPr/>
            </w:pPr>
            <w:r>
              <w:rPr/>
              <w:t>104,071</w:t>
            </w:r>
          </w:p>
        </w:tc>
        <w:tc>
          <w:tcPr>
            <w:tcW w:w="134" w:type="dxa"/>
            <w:tcBorders>
              <w:bottom w:val="single" w:sz="2" w:space="0" w:color="4B5088"/>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377"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Depreciable real estate reserves in unconsolidated joint venture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265" w:type="dxa"/>
            <w:tcBorders>
              <w:bottom w:val="single" w:sz="2" w:space="0" w:color="4B5088"/>
            </w:tcBorders>
            <w:tcMar>
              <w:bottom w:w="35" w:type="dxa"/>
            </w:tcMar>
            <w:vAlign w:val="center"/>
          </w:tcPr>
          <w:p>
            <w:pPr>
              <w:pStyle w:val="TableContents"/>
              <w:bidi w:val="0"/>
              <w:spacing w:before="0" w:after="283"/>
              <w:jc w:val="right"/>
              <w:rPr/>
            </w:pPr>
            <w:r>
              <w:rPr/>
              <w:t>​</w:t>
            </w:r>
          </w:p>
        </w:tc>
        <w:tc>
          <w:tcPr>
            <w:tcW w:w="1128" w:type="dxa"/>
            <w:tcBorders>
              <w:bottom w:val="single" w:sz="2" w:space="0" w:color="4B5088"/>
            </w:tcBorders>
            <w:tcMar>
              <w:bottom w:w="35" w:type="dxa"/>
            </w:tcMar>
            <w:vAlign w:val="center"/>
          </w:tcPr>
          <w:p>
            <w:pPr>
              <w:pStyle w:val="TableContents"/>
              <w:bidi w:val="0"/>
              <w:spacing w:before="0" w:after="283"/>
              <w:jc w:val="right"/>
              <w:rPr/>
            </w:pPr>
            <w:r>
              <w:rPr/>
              <w:t>14,592</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127"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265" w:type="dxa"/>
            <w:tcBorders>
              <w:bottom w:val="single" w:sz="2" w:space="0" w:color="4B5088"/>
            </w:tcBorders>
            <w:tcMar>
              <w:bottom w:w="35" w:type="dxa"/>
            </w:tcMar>
            <w:vAlign w:val="center"/>
          </w:tcPr>
          <w:p>
            <w:pPr>
              <w:pStyle w:val="TableContents"/>
              <w:bidi w:val="0"/>
              <w:spacing w:before="0" w:after="283"/>
              <w:jc w:val="right"/>
              <w:rPr/>
            </w:pPr>
            <w:r>
              <w:rPr/>
              <w:t>​</w:t>
            </w:r>
          </w:p>
        </w:tc>
        <w:tc>
          <w:tcPr>
            <w:tcW w:w="1128" w:type="dxa"/>
            <w:tcBorders>
              <w:bottom w:val="single" w:sz="2" w:space="0" w:color="4B5088"/>
            </w:tcBorders>
            <w:tcMar>
              <w:bottom w:w="35" w:type="dxa"/>
            </w:tcMar>
            <w:vAlign w:val="center"/>
          </w:tcPr>
          <w:p>
            <w:pPr>
              <w:pStyle w:val="TableContents"/>
              <w:bidi w:val="0"/>
              <w:spacing w:before="0" w:after="283"/>
              <w:jc w:val="right"/>
              <w:rPr/>
            </w:pPr>
            <w:r>
              <w:rPr/>
              <w:t>263,190</w:t>
            </w:r>
          </w:p>
        </w:tc>
        <w:tc>
          <w:tcPr>
            <w:tcW w:w="134" w:type="dxa"/>
            <w:tcBorders>
              <w:bottom w:val="single" w:sz="2" w:space="0" w:color="4B5088"/>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377"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Loss (gain) on sale of real estate, net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265" w:type="dxa"/>
            <w:tcBorders>
              <w:bottom w:val="single" w:sz="2" w:space="0" w:color="4B5088"/>
            </w:tcBorders>
            <w:tcMar>
              <w:bottom w:w="35" w:type="dxa"/>
            </w:tcMar>
            <w:vAlign w:val="center"/>
          </w:tcPr>
          <w:p>
            <w:pPr>
              <w:pStyle w:val="TableContents"/>
              <w:bidi w:val="0"/>
              <w:spacing w:before="0" w:after="283"/>
              <w:jc w:val="right"/>
              <w:rPr/>
            </w:pPr>
            <w:r>
              <w:rPr/>
              <w:t>​</w:t>
            </w:r>
          </w:p>
        </w:tc>
        <w:tc>
          <w:tcPr>
            <w:tcW w:w="1128" w:type="dxa"/>
            <w:tcBorders>
              <w:bottom w:val="single" w:sz="2" w:space="0" w:color="4B5088"/>
            </w:tcBorders>
            <w:tcMar>
              <w:bottom w:w="35" w:type="dxa"/>
            </w:tcMar>
            <w:vAlign w:val="center"/>
          </w:tcPr>
          <w:p>
            <w:pPr>
              <w:pStyle w:val="TableContents"/>
              <w:bidi w:val="0"/>
              <w:spacing w:before="0" w:after="283"/>
              <w:jc w:val="right"/>
              <w:rPr/>
            </w:pPr>
            <w:r>
              <w:rPr/>
              <w:t>2,143</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127"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265" w:type="dxa"/>
            <w:tcBorders>
              <w:bottom w:val="single" w:sz="2" w:space="0" w:color="4B5088"/>
            </w:tcBorders>
            <w:tcMar>
              <w:bottom w:w="35" w:type="dxa"/>
            </w:tcMar>
            <w:vAlign w:val="center"/>
          </w:tcPr>
          <w:p>
            <w:pPr>
              <w:pStyle w:val="TableContents"/>
              <w:bidi w:val="0"/>
              <w:spacing w:before="0" w:after="283"/>
              <w:jc w:val="right"/>
              <w:rPr/>
            </w:pPr>
            <w:r>
              <w:rPr/>
              <w:t>​</w:t>
            </w:r>
          </w:p>
        </w:tc>
        <w:tc>
          <w:tcPr>
            <w:tcW w:w="1128" w:type="dxa"/>
            <w:tcBorders>
              <w:bottom w:val="single" w:sz="2" w:space="0" w:color="4B5088"/>
            </w:tcBorders>
            <w:tcMar>
              <w:bottom w:w="35" w:type="dxa"/>
            </w:tcMar>
            <w:vAlign w:val="center"/>
          </w:tcPr>
          <w:p>
            <w:pPr>
              <w:pStyle w:val="TableContents"/>
              <w:bidi w:val="0"/>
              <w:spacing w:before="0" w:after="283"/>
              <w:jc w:val="right"/>
              <w:rPr/>
            </w:pPr>
            <w:r>
              <w:rPr/>
              <w:t>(3,025)</w:t>
            </w:r>
          </w:p>
        </w:tc>
        <w:tc>
          <w:tcPr>
            <w:tcW w:w="134" w:type="dxa"/>
            <w:tcBorders>
              <w:bottom w:val="single" w:sz="2" w:space="0" w:color="4B5088"/>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377"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Purchase price and other fair value adjustments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265" w:type="dxa"/>
            <w:tcBorders>
              <w:bottom w:val="single" w:sz="2" w:space="0" w:color="4B5088"/>
            </w:tcBorders>
            <w:tcMar>
              <w:bottom w:w="35" w:type="dxa"/>
            </w:tcMar>
            <w:vAlign w:val="center"/>
          </w:tcPr>
          <w:p>
            <w:pPr>
              <w:pStyle w:val="TableContents"/>
              <w:bidi w:val="0"/>
              <w:spacing w:before="0" w:after="283"/>
              <w:jc w:val="right"/>
              <w:rPr/>
            </w:pPr>
            <w:r>
              <w:rPr/>
              <w:t>​</w:t>
            </w:r>
          </w:p>
        </w:tc>
        <w:tc>
          <w:tcPr>
            <w:tcW w:w="1128" w:type="dxa"/>
            <w:tcBorders>
              <w:bottom w:val="single" w:sz="2" w:space="0" w:color="4B5088"/>
            </w:tcBorders>
            <w:tcMar>
              <w:bottom w:w="35" w:type="dxa"/>
            </w:tcMar>
            <w:vAlign w:val="center"/>
          </w:tcPr>
          <w:p>
            <w:pPr>
              <w:pStyle w:val="TableContents"/>
              <w:bidi w:val="0"/>
              <w:spacing w:before="0" w:after="283"/>
              <w:jc w:val="right"/>
              <w:rPr/>
            </w:pPr>
            <w:r>
              <w:rPr/>
              <w:t>36,233</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127"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265" w:type="dxa"/>
            <w:tcBorders>
              <w:bottom w:val="single" w:sz="2" w:space="0" w:color="4B5088"/>
            </w:tcBorders>
            <w:tcMar>
              <w:bottom w:w="35" w:type="dxa"/>
            </w:tcMar>
            <w:vAlign w:val="center"/>
          </w:tcPr>
          <w:p>
            <w:pPr>
              <w:pStyle w:val="TableContents"/>
              <w:bidi w:val="0"/>
              <w:spacing w:before="0" w:after="283"/>
              <w:jc w:val="right"/>
              <w:rPr/>
            </w:pPr>
            <w:r>
              <w:rPr/>
              <w:t>​</w:t>
            </w:r>
          </w:p>
        </w:tc>
        <w:tc>
          <w:tcPr>
            <w:tcW w:w="1128" w:type="dxa"/>
            <w:tcBorders>
              <w:bottom w:val="single" w:sz="2" w:space="0" w:color="4B5088"/>
            </w:tcBorders>
            <w:tcMar>
              <w:bottom w:w="35" w:type="dxa"/>
            </w:tcMar>
            <w:vAlign w:val="center"/>
          </w:tcPr>
          <w:p>
            <w:pPr>
              <w:pStyle w:val="TableContents"/>
              <w:bidi w:val="0"/>
              <w:spacing w:before="0" w:after="283"/>
              <w:jc w:val="right"/>
              <w:rPr/>
            </w:pPr>
            <w:r>
              <w:rPr/>
              <w:t>(88,966)</w:t>
            </w:r>
          </w:p>
        </w:tc>
        <w:tc>
          <w:tcPr>
            <w:tcW w:w="134" w:type="dxa"/>
            <w:tcBorders>
              <w:bottom w:val="single" w:sz="2" w:space="0" w:color="4B5088"/>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377"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Equity in net gain on sale of interest in unconsolidated joint venture/real estate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265" w:type="dxa"/>
            <w:tcBorders>
              <w:bottom w:val="single" w:sz="2" w:space="0" w:color="4B5088"/>
            </w:tcBorders>
            <w:tcMar>
              <w:bottom w:w="35" w:type="dxa"/>
            </w:tcMar>
            <w:vAlign w:val="center"/>
          </w:tcPr>
          <w:p>
            <w:pPr>
              <w:pStyle w:val="TableContents"/>
              <w:bidi w:val="0"/>
              <w:spacing w:before="0" w:after="283"/>
              <w:jc w:val="right"/>
              <w:rPr/>
            </w:pPr>
            <w:r>
              <w:rPr/>
              <w:t>​</w:t>
            </w:r>
          </w:p>
        </w:tc>
        <w:tc>
          <w:tcPr>
            <w:tcW w:w="1128" w:type="dxa"/>
            <w:tcBorders>
              <w:bottom w:val="single" w:sz="2" w:space="0" w:color="4B5088"/>
            </w:tcBorders>
            <w:tcMar>
              <w:bottom w:w="35" w:type="dxa"/>
            </w:tcMar>
            <w:vAlign w:val="center"/>
          </w:tcPr>
          <w:p>
            <w:pPr>
              <w:pStyle w:val="TableContents"/>
              <w:bidi w:val="0"/>
              <w:spacing w:before="0" w:after="283"/>
              <w:jc w:val="right"/>
              <w:rPr/>
            </w:pPr>
            <w:r>
              <w:rPr/>
              <w:t>(86,068)</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127"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265" w:type="dxa"/>
            <w:tcBorders>
              <w:bottom w:val="single" w:sz="2" w:space="0" w:color="4B5088"/>
            </w:tcBorders>
            <w:tcMar>
              <w:bottom w:w="35" w:type="dxa"/>
            </w:tcMar>
            <w:vAlign w:val="center"/>
          </w:tcPr>
          <w:p>
            <w:pPr>
              <w:pStyle w:val="TableContents"/>
              <w:bidi w:val="0"/>
              <w:spacing w:before="0" w:after="283"/>
              <w:jc w:val="right"/>
              <w:rPr/>
            </w:pPr>
            <w:r>
              <w:rPr/>
              <w:t>​</w:t>
            </w:r>
          </w:p>
        </w:tc>
        <w:tc>
          <w:tcPr>
            <w:tcW w:w="1128" w:type="dxa"/>
            <w:tcBorders>
              <w:bottom w:val="single" w:sz="2" w:space="0" w:color="4B5088"/>
            </w:tcBorders>
            <w:tcMar>
              <w:bottom w:w="35" w:type="dxa"/>
            </w:tcMar>
            <w:vAlign w:val="center"/>
          </w:tcPr>
          <w:p>
            <w:pPr>
              <w:pStyle w:val="TableContents"/>
              <w:bidi w:val="0"/>
              <w:spacing w:before="0" w:after="283"/>
              <w:jc w:val="right"/>
              <w:rPr/>
            </w:pPr>
            <w:r>
              <w:rPr/>
              <w:t>(208,144)</w:t>
            </w:r>
          </w:p>
        </w:tc>
        <w:tc>
          <w:tcPr>
            <w:tcW w:w="134" w:type="dxa"/>
            <w:tcBorders>
              <w:bottom w:val="single" w:sz="2" w:space="0" w:color="4B5088"/>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377"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Gain on sale of marketable securities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265" w:type="dxa"/>
            <w:tcBorders>
              <w:bottom w:val="single" w:sz="2" w:space="0" w:color="4B5088"/>
            </w:tcBorders>
            <w:tcMar>
              <w:bottom w:w="35" w:type="dxa"/>
            </w:tcMar>
            <w:vAlign w:val="center"/>
          </w:tcPr>
          <w:p>
            <w:pPr>
              <w:pStyle w:val="TableContents"/>
              <w:bidi w:val="0"/>
              <w:spacing w:before="0" w:after="283"/>
              <w:jc w:val="right"/>
              <w:rPr/>
            </w:pPr>
            <w:r>
              <w:rPr/>
              <w:t>​</w:t>
            </w:r>
          </w:p>
        </w:tc>
        <w:tc>
          <w:tcPr>
            <w:tcW w:w="1128" w:type="dxa"/>
            <w:tcBorders>
              <w:bottom w:val="single" w:sz="2" w:space="0" w:color="4B5088"/>
            </w:tcBorders>
            <w:tcMar>
              <w:bottom w:w="35" w:type="dxa"/>
            </w:tcMar>
            <w:vAlign w:val="center"/>
          </w:tcPr>
          <w:p>
            <w:pPr>
              <w:pStyle w:val="TableContents"/>
              <w:bidi w:val="0"/>
              <w:spacing w:before="0" w:after="283"/>
              <w:jc w:val="right"/>
              <w:rPr/>
            </w:pPr>
            <w:r>
              <w:rPr/>
              <w:t>(10,232)</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127"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265" w:type="dxa"/>
            <w:tcBorders>
              <w:bottom w:val="single" w:sz="2" w:space="0" w:color="4B5088"/>
            </w:tcBorders>
            <w:tcMar>
              <w:bottom w:w="35" w:type="dxa"/>
            </w:tcMar>
            <w:vAlign w:val="center"/>
          </w:tcPr>
          <w:p>
            <w:pPr>
              <w:pStyle w:val="TableContents"/>
              <w:bidi w:val="0"/>
              <w:spacing w:before="0" w:after="283"/>
              <w:jc w:val="right"/>
              <w:rPr/>
            </w:pPr>
            <w:r>
              <w:rPr/>
              <w:t>​</w:t>
            </w:r>
          </w:p>
        </w:tc>
        <w:tc>
          <w:tcPr>
            <w:tcW w:w="1128" w:type="dxa"/>
            <w:tcBorders>
              <w:bottom w:val="single" w:sz="2" w:space="0" w:color="4B5088"/>
            </w:tcBorders>
            <w:tcMar>
              <w:bottom w:w="35" w:type="dxa"/>
            </w:tcMar>
            <w:vAlign w:val="center"/>
          </w:tcPr>
          <w:p>
            <w:pPr>
              <w:pStyle w:val="TableContents"/>
              <w:bidi w:val="0"/>
              <w:spacing w:before="0" w:after="283"/>
              <w:jc w:val="right"/>
              <w:rPr/>
            </w:pPr>
            <w:r>
              <w:rPr/>
              <w:t>—</w:t>
            </w:r>
          </w:p>
        </w:tc>
        <w:tc>
          <w:tcPr>
            <w:tcW w:w="134" w:type="dxa"/>
            <w:tcBorders>
              <w:bottom w:val="single" w:sz="2" w:space="0" w:color="4B5088"/>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377"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Depreciation and amortization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265" w:type="dxa"/>
            <w:tcBorders>
              <w:bottom w:val="single" w:sz="2" w:space="0" w:color="4B5088"/>
            </w:tcBorders>
            <w:tcMar>
              <w:bottom w:w="35" w:type="dxa"/>
            </w:tcMar>
            <w:vAlign w:val="center"/>
          </w:tcPr>
          <w:p>
            <w:pPr>
              <w:pStyle w:val="TableContents"/>
              <w:bidi w:val="0"/>
              <w:spacing w:before="0" w:after="283"/>
              <w:jc w:val="right"/>
              <w:rPr/>
            </w:pPr>
            <w:r>
              <w:rPr/>
              <w:t>​</w:t>
            </w:r>
          </w:p>
        </w:tc>
        <w:tc>
          <w:tcPr>
            <w:tcW w:w="1128" w:type="dxa"/>
            <w:tcBorders>
              <w:bottom w:val="single" w:sz="2" w:space="0" w:color="4B5088"/>
            </w:tcBorders>
            <w:tcMar>
              <w:bottom w:w="35" w:type="dxa"/>
            </w:tcMar>
            <w:vAlign w:val="center"/>
          </w:tcPr>
          <w:p>
            <w:pPr>
              <w:pStyle w:val="TableContents"/>
              <w:bidi w:val="0"/>
              <w:spacing w:before="0" w:after="283"/>
              <w:jc w:val="right"/>
              <w:rPr/>
            </w:pPr>
            <w:r>
              <w:rPr/>
              <w:t>255,713</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127"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265" w:type="dxa"/>
            <w:tcBorders>
              <w:bottom w:val="single" w:sz="2" w:space="0" w:color="4B5088"/>
            </w:tcBorders>
            <w:tcMar>
              <w:bottom w:w="35" w:type="dxa"/>
            </w:tcMar>
            <w:vAlign w:val="center"/>
          </w:tcPr>
          <w:p>
            <w:pPr>
              <w:pStyle w:val="TableContents"/>
              <w:bidi w:val="0"/>
              <w:spacing w:before="0" w:after="283"/>
              <w:jc w:val="right"/>
              <w:rPr/>
            </w:pPr>
            <w:r>
              <w:rPr/>
              <w:t>​</w:t>
            </w:r>
          </w:p>
        </w:tc>
        <w:tc>
          <w:tcPr>
            <w:tcW w:w="1128" w:type="dxa"/>
            <w:tcBorders>
              <w:bottom w:val="single" w:sz="2" w:space="0" w:color="4B5088"/>
            </w:tcBorders>
            <w:tcMar>
              <w:bottom w:w="35" w:type="dxa"/>
            </w:tcMar>
            <w:vAlign w:val="center"/>
          </w:tcPr>
          <w:p>
            <w:pPr>
              <w:pStyle w:val="TableContents"/>
              <w:bidi w:val="0"/>
              <w:spacing w:before="0" w:after="283"/>
              <w:jc w:val="right"/>
              <w:rPr/>
            </w:pPr>
            <w:r>
              <w:rPr/>
              <w:t>207,443</w:t>
            </w:r>
          </w:p>
        </w:tc>
        <w:tc>
          <w:tcPr>
            <w:tcW w:w="134" w:type="dxa"/>
            <w:tcBorders>
              <w:bottom w:val="single" w:sz="2" w:space="0" w:color="4B5088"/>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377"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SUMMIT Operator tax expense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265" w:type="dxa"/>
            <w:tcBorders>
              <w:bottom w:val="single" w:sz="2" w:space="0" w:color="4B5088"/>
            </w:tcBorders>
            <w:tcMar>
              <w:bottom w:w="35" w:type="dxa"/>
            </w:tcMar>
            <w:vAlign w:val="center"/>
          </w:tcPr>
          <w:p>
            <w:pPr>
              <w:pStyle w:val="TableContents"/>
              <w:bidi w:val="0"/>
              <w:spacing w:before="0" w:after="283"/>
              <w:jc w:val="right"/>
              <w:rPr/>
            </w:pPr>
            <w:r>
              <w:rPr/>
              <w:t>​</w:t>
            </w:r>
          </w:p>
        </w:tc>
        <w:tc>
          <w:tcPr>
            <w:tcW w:w="1128" w:type="dxa"/>
            <w:tcBorders>
              <w:bottom w:val="single" w:sz="2" w:space="0" w:color="4B5088"/>
            </w:tcBorders>
            <w:tcMar>
              <w:bottom w:w="35" w:type="dxa"/>
            </w:tcMar>
            <w:vAlign w:val="center"/>
          </w:tcPr>
          <w:p>
            <w:pPr>
              <w:pStyle w:val="TableContents"/>
              <w:bidi w:val="0"/>
              <w:spacing w:before="0" w:after="283"/>
              <w:jc w:val="right"/>
              <w:rPr/>
            </w:pPr>
            <w:r>
              <w:rPr/>
              <w:t>3,259</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127"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265" w:type="dxa"/>
            <w:tcBorders>
              <w:bottom w:val="single" w:sz="2" w:space="0" w:color="4B5088"/>
            </w:tcBorders>
            <w:tcMar>
              <w:bottom w:w="35" w:type="dxa"/>
            </w:tcMar>
            <w:vAlign w:val="center"/>
          </w:tcPr>
          <w:p>
            <w:pPr>
              <w:pStyle w:val="TableContents"/>
              <w:bidi w:val="0"/>
              <w:spacing w:before="0" w:after="283"/>
              <w:jc w:val="right"/>
              <w:rPr/>
            </w:pPr>
            <w:r>
              <w:rPr/>
              <w:t>​</w:t>
            </w:r>
          </w:p>
        </w:tc>
        <w:tc>
          <w:tcPr>
            <w:tcW w:w="1128" w:type="dxa"/>
            <w:tcBorders>
              <w:bottom w:val="single" w:sz="2" w:space="0" w:color="4B5088"/>
            </w:tcBorders>
            <w:tcMar>
              <w:bottom w:w="35" w:type="dxa"/>
            </w:tcMar>
            <w:vAlign w:val="center"/>
          </w:tcPr>
          <w:p>
            <w:pPr>
              <w:pStyle w:val="TableContents"/>
              <w:bidi w:val="0"/>
              <w:spacing w:before="0" w:after="283"/>
              <w:jc w:val="right"/>
              <w:rPr/>
            </w:pPr>
            <w:r>
              <w:rPr/>
              <w:t>730</w:t>
            </w:r>
          </w:p>
        </w:tc>
        <w:tc>
          <w:tcPr>
            <w:tcW w:w="134" w:type="dxa"/>
            <w:tcBorders>
              <w:bottom w:val="single" w:sz="2" w:space="0" w:color="4B5088"/>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377"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Amortization of deferred financing costs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265" w:type="dxa"/>
            <w:tcBorders>
              <w:bottom w:val="single" w:sz="2" w:space="0" w:color="4B5088"/>
            </w:tcBorders>
            <w:tcMar>
              <w:bottom w:w="35" w:type="dxa"/>
            </w:tcMar>
            <w:vAlign w:val="center"/>
          </w:tcPr>
          <w:p>
            <w:pPr>
              <w:pStyle w:val="TableContents"/>
              <w:bidi w:val="0"/>
              <w:spacing w:before="0" w:after="283"/>
              <w:jc w:val="right"/>
              <w:rPr/>
            </w:pPr>
            <w:r>
              <w:rPr/>
              <w:t>​</w:t>
            </w:r>
          </w:p>
        </w:tc>
        <w:tc>
          <w:tcPr>
            <w:tcW w:w="1128" w:type="dxa"/>
            <w:tcBorders>
              <w:bottom w:val="single" w:sz="2" w:space="0" w:color="4B5088"/>
            </w:tcBorders>
            <w:tcMar>
              <w:bottom w:w="35" w:type="dxa"/>
            </w:tcMar>
            <w:vAlign w:val="center"/>
          </w:tcPr>
          <w:p>
            <w:pPr>
              <w:pStyle w:val="TableContents"/>
              <w:bidi w:val="0"/>
              <w:spacing w:before="0" w:after="283"/>
              <w:jc w:val="right"/>
              <w:rPr/>
            </w:pPr>
            <w:r>
              <w:rPr/>
              <w:t>7,054</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127"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265" w:type="dxa"/>
            <w:tcBorders>
              <w:bottom w:val="single" w:sz="2" w:space="0" w:color="4B5088"/>
            </w:tcBorders>
            <w:tcMar>
              <w:bottom w:w="35" w:type="dxa"/>
            </w:tcMar>
            <w:vAlign w:val="center"/>
          </w:tcPr>
          <w:p>
            <w:pPr>
              <w:pStyle w:val="TableContents"/>
              <w:bidi w:val="0"/>
              <w:spacing w:before="0" w:after="283"/>
              <w:jc w:val="right"/>
              <w:rPr/>
            </w:pPr>
            <w:r>
              <w:rPr/>
              <w:t>​</w:t>
            </w:r>
          </w:p>
        </w:tc>
        <w:tc>
          <w:tcPr>
            <w:tcW w:w="1128" w:type="dxa"/>
            <w:tcBorders>
              <w:bottom w:val="single" w:sz="2" w:space="0" w:color="4B5088"/>
            </w:tcBorders>
            <w:tcMar>
              <w:bottom w:w="35" w:type="dxa"/>
            </w:tcMar>
            <w:vAlign w:val="center"/>
          </w:tcPr>
          <w:p>
            <w:pPr>
              <w:pStyle w:val="TableContents"/>
              <w:bidi w:val="0"/>
              <w:spacing w:before="0" w:after="283"/>
              <w:jc w:val="right"/>
              <w:rPr/>
            </w:pPr>
            <w:r>
              <w:rPr/>
              <w:t>6,619</w:t>
            </w:r>
          </w:p>
        </w:tc>
        <w:tc>
          <w:tcPr>
            <w:tcW w:w="134" w:type="dxa"/>
            <w:tcBorders>
              <w:bottom w:val="single" w:sz="2" w:space="0" w:color="4B5088"/>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377"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Interest expense, net of interest income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265" w:type="dxa"/>
            <w:tcBorders>
              <w:bottom w:val="single" w:sz="2" w:space="0" w:color="4B5088"/>
            </w:tcBorders>
            <w:tcMar>
              <w:bottom w:w="35" w:type="dxa"/>
            </w:tcMar>
            <w:vAlign w:val="center"/>
          </w:tcPr>
          <w:p>
            <w:pPr>
              <w:pStyle w:val="TableContents"/>
              <w:bidi w:val="0"/>
              <w:spacing w:before="0" w:after="283"/>
              <w:jc w:val="right"/>
              <w:rPr/>
            </w:pPr>
            <w:r>
              <w:rPr/>
              <w:t>​</w:t>
            </w:r>
          </w:p>
        </w:tc>
        <w:tc>
          <w:tcPr>
            <w:tcW w:w="1128" w:type="dxa"/>
            <w:tcBorders>
              <w:bottom w:val="single" w:sz="2" w:space="0" w:color="4B5088"/>
            </w:tcBorders>
            <w:tcMar>
              <w:bottom w:w="35" w:type="dxa"/>
            </w:tcMar>
            <w:vAlign w:val="center"/>
          </w:tcPr>
          <w:p>
            <w:pPr>
              <w:pStyle w:val="TableContents"/>
              <w:bidi w:val="0"/>
              <w:spacing w:before="0" w:after="283"/>
              <w:jc w:val="right"/>
              <w:rPr/>
            </w:pPr>
            <w:r>
              <w:rPr/>
              <w:t>187,656</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127"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265" w:type="dxa"/>
            <w:tcBorders>
              <w:bottom w:val="single" w:sz="2" w:space="0" w:color="4B5088"/>
            </w:tcBorders>
            <w:tcMar>
              <w:bottom w:w="35" w:type="dxa"/>
            </w:tcMar>
            <w:vAlign w:val="center"/>
          </w:tcPr>
          <w:p>
            <w:pPr>
              <w:pStyle w:val="TableContents"/>
              <w:bidi w:val="0"/>
              <w:spacing w:before="0" w:after="283"/>
              <w:jc w:val="right"/>
              <w:rPr/>
            </w:pPr>
            <w:r>
              <w:rPr/>
              <w:t>​</w:t>
            </w:r>
          </w:p>
        </w:tc>
        <w:tc>
          <w:tcPr>
            <w:tcW w:w="1128" w:type="dxa"/>
            <w:tcBorders>
              <w:bottom w:val="single" w:sz="2" w:space="0" w:color="4B5088"/>
            </w:tcBorders>
            <w:tcMar>
              <w:bottom w:w="35" w:type="dxa"/>
            </w:tcMar>
            <w:vAlign w:val="center"/>
          </w:tcPr>
          <w:p>
            <w:pPr>
              <w:pStyle w:val="TableContents"/>
              <w:bidi w:val="0"/>
              <w:spacing w:before="0" w:after="283"/>
              <w:jc w:val="right"/>
              <w:rPr/>
            </w:pPr>
            <w:r>
              <w:rPr/>
              <w:t>147,220</w:t>
            </w:r>
          </w:p>
        </w:tc>
        <w:tc>
          <w:tcPr>
            <w:tcW w:w="134" w:type="dxa"/>
            <w:tcBorders>
              <w:bottom w:val="single" w:sz="2" w:space="0" w:color="4B5088"/>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377"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Interest expense on senior obligations of consolidated securitization vehicles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265" w:type="dxa"/>
            <w:tcBorders>
              <w:bottom w:val="single" w:sz="2" w:space="0" w:color="4B5088"/>
            </w:tcBorders>
            <w:tcMar>
              <w:bottom w:w="35" w:type="dxa"/>
            </w:tcMar>
            <w:vAlign w:val="center"/>
          </w:tcPr>
          <w:p>
            <w:pPr>
              <w:pStyle w:val="TableContents"/>
              <w:bidi w:val="0"/>
              <w:spacing w:before="0" w:after="283"/>
              <w:jc w:val="right"/>
              <w:rPr/>
            </w:pPr>
            <w:r>
              <w:rPr/>
              <w:t>​</w:t>
            </w:r>
          </w:p>
        </w:tc>
        <w:tc>
          <w:tcPr>
            <w:tcW w:w="1128" w:type="dxa"/>
            <w:tcBorders>
              <w:bottom w:val="single" w:sz="2" w:space="0" w:color="4B5088"/>
            </w:tcBorders>
            <w:tcMar>
              <w:bottom w:w="35" w:type="dxa"/>
            </w:tcMar>
            <w:vAlign w:val="center"/>
          </w:tcPr>
          <w:p>
            <w:pPr>
              <w:pStyle w:val="TableContents"/>
              <w:bidi w:val="0"/>
              <w:spacing w:before="0" w:after="283"/>
              <w:jc w:val="right"/>
              <w:rPr/>
            </w:pPr>
            <w:r>
              <w:rPr/>
              <w:t>60,693</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127"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265" w:type="dxa"/>
            <w:tcBorders>
              <w:bottom w:val="single" w:sz="2" w:space="0" w:color="4B5088"/>
            </w:tcBorders>
            <w:tcMar>
              <w:bottom w:w="35" w:type="dxa"/>
            </w:tcMar>
            <w:vAlign w:val="center"/>
          </w:tcPr>
          <w:p>
            <w:pPr>
              <w:pStyle w:val="TableContents"/>
              <w:bidi w:val="0"/>
              <w:spacing w:before="0" w:after="283"/>
              <w:jc w:val="right"/>
              <w:rPr/>
            </w:pPr>
            <w:r>
              <w:rPr/>
              <w:t>​</w:t>
            </w:r>
          </w:p>
        </w:tc>
        <w:tc>
          <w:tcPr>
            <w:tcW w:w="1128" w:type="dxa"/>
            <w:tcBorders>
              <w:bottom w:val="single" w:sz="2" w:space="0" w:color="4B5088"/>
            </w:tcBorders>
            <w:tcMar>
              <w:bottom w:w="35" w:type="dxa"/>
            </w:tcMar>
            <w:vAlign w:val="center"/>
          </w:tcPr>
          <w:p>
            <w:pPr>
              <w:pStyle w:val="TableContents"/>
              <w:bidi w:val="0"/>
              <w:spacing w:before="0" w:after="283"/>
              <w:jc w:val="right"/>
              <w:rPr/>
            </w:pPr>
            <w:r>
              <w:rPr/>
              <w:t>14,634</w:t>
            </w:r>
          </w:p>
        </w:tc>
        <w:tc>
          <w:tcPr>
            <w:tcW w:w="134" w:type="dxa"/>
            <w:tcBorders>
              <w:bottom w:val="single" w:sz="2" w:space="0" w:color="4B5088"/>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377" w:type="dxa"/>
            <w:tcBorders>
              <w:bottom w:val="single" w:sz="2" w:space="0" w:color="4B5088"/>
            </w:tcBorders>
            <w:tcMar>
              <w:bottom w:w="35" w:type="dxa"/>
            </w:tcMar>
            <w:vAlign w:val="center"/>
          </w:tcPr>
          <w:p>
            <w:pPr>
              <w:pStyle w:val="TableContents"/>
              <w:bidi w:val="0"/>
              <w:spacing w:before="0" w:after="283"/>
              <w:jc w:val="left"/>
              <w:rPr/>
            </w:pPr>
            <w:r>
              <w:rPr>
                <w:spacing w:val="-2"/>
              </w:rPr>
              <w:t>Operating income</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265" w:type="dxa"/>
            <w:tcBorders>
              <w:bottom w:val="single" w:sz="2" w:space="0" w:color="4B5088"/>
            </w:tcBorders>
            <w:tcMar>
              <w:bottom w:w="35" w:type="dxa"/>
            </w:tcMar>
            <w:vAlign w:val="center"/>
          </w:tcPr>
          <w:p>
            <w:pPr>
              <w:pStyle w:val="TableContents"/>
              <w:bidi w:val="0"/>
              <w:spacing w:before="0" w:after="283"/>
              <w:jc w:val="right"/>
              <w:rPr/>
            </w:pPr>
            <w:r>
              <w:rPr/>
              <w:t>$</w:t>
            </w:r>
          </w:p>
        </w:tc>
        <w:tc>
          <w:tcPr>
            <w:tcW w:w="1128" w:type="dxa"/>
            <w:tcBorders>
              <w:bottom w:val="single" w:sz="2" w:space="0" w:color="4B5088"/>
            </w:tcBorders>
            <w:tcMar>
              <w:bottom w:w="35" w:type="dxa"/>
            </w:tcMar>
            <w:vAlign w:val="center"/>
          </w:tcPr>
          <w:p>
            <w:pPr>
              <w:pStyle w:val="TableContents"/>
              <w:bidi w:val="0"/>
              <w:spacing w:before="0" w:after="283"/>
              <w:jc w:val="right"/>
              <w:rPr/>
            </w:pPr>
            <w:r>
              <w:rPr/>
              <w:t>406,214</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127"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265" w:type="dxa"/>
            <w:tcBorders>
              <w:bottom w:val="single" w:sz="2" w:space="0" w:color="4B5088"/>
            </w:tcBorders>
            <w:tcMar>
              <w:bottom w:w="35" w:type="dxa"/>
            </w:tcMar>
            <w:vAlign w:val="center"/>
          </w:tcPr>
          <w:p>
            <w:pPr>
              <w:pStyle w:val="TableContents"/>
              <w:bidi w:val="0"/>
              <w:spacing w:before="0" w:after="283"/>
              <w:jc w:val="right"/>
              <w:rPr/>
            </w:pPr>
            <w:r>
              <w:rPr/>
              <w:t>$</w:t>
            </w:r>
          </w:p>
        </w:tc>
        <w:tc>
          <w:tcPr>
            <w:tcW w:w="1128" w:type="dxa"/>
            <w:tcBorders>
              <w:bottom w:val="single" w:sz="2" w:space="0" w:color="4B5088"/>
            </w:tcBorders>
            <w:tcMar>
              <w:bottom w:w="35" w:type="dxa"/>
            </w:tcMar>
            <w:vAlign w:val="center"/>
          </w:tcPr>
          <w:p>
            <w:pPr>
              <w:pStyle w:val="TableContents"/>
              <w:bidi w:val="0"/>
              <w:spacing w:before="0" w:after="283"/>
              <w:jc w:val="right"/>
              <w:rPr/>
            </w:pPr>
            <w:r>
              <w:rPr/>
              <w:t>473,994</w:t>
            </w:r>
          </w:p>
        </w:tc>
        <w:tc>
          <w:tcPr>
            <w:tcW w:w="134" w:type="dxa"/>
            <w:tcBorders>
              <w:bottom w:val="single" w:sz="2" w:space="0" w:color="4B5088"/>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377"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Equity in net loss (income) from unconsolidated joint ventures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265" w:type="dxa"/>
            <w:tcBorders>
              <w:bottom w:val="single" w:sz="2" w:space="0" w:color="4B5088"/>
            </w:tcBorders>
            <w:tcMar>
              <w:bottom w:w="35" w:type="dxa"/>
            </w:tcMar>
            <w:vAlign w:val="center"/>
          </w:tcPr>
          <w:p>
            <w:pPr>
              <w:pStyle w:val="TableContents"/>
              <w:bidi w:val="0"/>
              <w:spacing w:before="0" w:after="283"/>
              <w:jc w:val="right"/>
              <w:rPr/>
            </w:pPr>
            <w:r>
              <w:rPr/>
              <w:t>​</w:t>
            </w:r>
          </w:p>
        </w:tc>
        <w:tc>
          <w:tcPr>
            <w:tcW w:w="1128" w:type="dxa"/>
            <w:tcBorders>
              <w:bottom w:val="single" w:sz="2" w:space="0" w:color="4B5088"/>
            </w:tcBorders>
            <w:tcMar>
              <w:bottom w:w="35" w:type="dxa"/>
            </w:tcMar>
            <w:vAlign w:val="center"/>
          </w:tcPr>
          <w:p>
            <w:pPr>
              <w:pStyle w:val="TableContents"/>
              <w:bidi w:val="0"/>
              <w:spacing w:before="0" w:after="283"/>
              <w:jc w:val="right"/>
              <w:rPr/>
            </w:pPr>
            <w:r>
              <w:rPr/>
              <w:t>41,551</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127"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265" w:type="dxa"/>
            <w:tcBorders>
              <w:bottom w:val="single" w:sz="2" w:space="0" w:color="4B5088"/>
            </w:tcBorders>
            <w:tcMar>
              <w:bottom w:w="35" w:type="dxa"/>
            </w:tcMar>
            <w:vAlign w:val="center"/>
          </w:tcPr>
          <w:p>
            <w:pPr>
              <w:pStyle w:val="TableContents"/>
              <w:bidi w:val="0"/>
              <w:spacing w:before="0" w:after="283"/>
              <w:jc w:val="right"/>
              <w:rPr/>
            </w:pPr>
            <w:r>
              <w:rPr/>
              <w:t>​</w:t>
            </w:r>
          </w:p>
        </w:tc>
        <w:tc>
          <w:tcPr>
            <w:tcW w:w="1128" w:type="dxa"/>
            <w:tcBorders>
              <w:bottom w:val="single" w:sz="2" w:space="0" w:color="4B5088"/>
            </w:tcBorders>
            <w:tcMar>
              <w:bottom w:w="35" w:type="dxa"/>
            </w:tcMar>
            <w:vAlign w:val="center"/>
          </w:tcPr>
          <w:p>
            <w:pPr>
              <w:pStyle w:val="TableContents"/>
              <w:bidi w:val="0"/>
              <w:spacing w:before="0" w:after="283"/>
              <w:jc w:val="right"/>
              <w:rPr/>
            </w:pPr>
            <w:r>
              <w:rPr/>
              <w:t>(83,495)</w:t>
            </w:r>
          </w:p>
        </w:tc>
        <w:tc>
          <w:tcPr>
            <w:tcW w:w="134" w:type="dxa"/>
            <w:tcBorders>
              <w:bottom w:val="single" w:sz="2" w:space="0" w:color="4B5088"/>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377" w:type="dxa"/>
            <w:tcBorders>
              <w:bottom w:val="single" w:sz="2" w:space="0" w:color="4B5088"/>
            </w:tcBorders>
            <w:tcMar>
              <w:bottom w:w="35" w:type="dxa"/>
            </w:tcMar>
            <w:vAlign w:val="center"/>
          </w:tcPr>
          <w:p>
            <w:pPr>
              <w:pStyle w:val="TableContents"/>
              <w:bidi w:val="0"/>
              <w:spacing w:before="0" w:after="283"/>
              <w:jc w:val="left"/>
              <w:rPr/>
            </w:pPr>
            <w:r>
              <w:rPr>
                <w:spacing w:val="-2"/>
              </w:rPr>
              <w:t>Loss from debt fund investments, net</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265" w:type="dxa"/>
            <w:tcBorders>
              <w:bottom w:val="single" w:sz="2" w:space="0" w:color="4B5088"/>
            </w:tcBorders>
            <w:tcMar>
              <w:bottom w:w="35" w:type="dxa"/>
            </w:tcMar>
            <w:vAlign w:val="center"/>
          </w:tcPr>
          <w:p>
            <w:pPr>
              <w:pStyle w:val="TableContents"/>
              <w:bidi w:val="0"/>
              <w:spacing w:before="0" w:after="283"/>
              <w:jc w:val="right"/>
              <w:rPr/>
            </w:pPr>
            <w:r>
              <w:rPr/>
              <w:t>​</w:t>
            </w:r>
          </w:p>
        </w:tc>
        <w:tc>
          <w:tcPr>
            <w:tcW w:w="1128" w:type="dxa"/>
            <w:tcBorders>
              <w:bottom w:val="single" w:sz="2" w:space="0" w:color="4B5088"/>
            </w:tcBorders>
            <w:tcMar>
              <w:bottom w:w="35" w:type="dxa"/>
            </w:tcMar>
            <w:vAlign w:val="center"/>
          </w:tcPr>
          <w:p>
            <w:pPr>
              <w:pStyle w:val="TableContents"/>
              <w:bidi w:val="0"/>
              <w:spacing w:before="0" w:after="283"/>
              <w:jc w:val="right"/>
              <w:rPr/>
            </w:pPr>
            <w:r>
              <w:rPr/>
              <w:t>1,446</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127"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265" w:type="dxa"/>
            <w:tcBorders>
              <w:bottom w:val="single" w:sz="2" w:space="0" w:color="4B5088"/>
            </w:tcBorders>
            <w:tcMar>
              <w:bottom w:w="35" w:type="dxa"/>
            </w:tcMar>
            <w:vAlign w:val="center"/>
          </w:tcPr>
          <w:p>
            <w:pPr>
              <w:pStyle w:val="TableContents"/>
              <w:bidi w:val="0"/>
              <w:spacing w:before="0" w:after="283"/>
              <w:jc w:val="right"/>
              <w:rPr/>
            </w:pPr>
            <w:r>
              <w:rPr/>
              <w:t>​</w:t>
            </w:r>
          </w:p>
        </w:tc>
        <w:tc>
          <w:tcPr>
            <w:tcW w:w="1128" w:type="dxa"/>
            <w:tcBorders>
              <w:bottom w:val="single" w:sz="2" w:space="0" w:color="4B5088"/>
            </w:tcBorders>
            <w:tcMar>
              <w:bottom w:w="35" w:type="dxa"/>
            </w:tcMar>
            <w:vAlign w:val="center"/>
          </w:tcPr>
          <w:p>
            <w:pPr>
              <w:pStyle w:val="TableContents"/>
              <w:bidi w:val="0"/>
              <w:spacing w:before="0" w:after="283"/>
              <w:jc w:val="right"/>
              <w:rPr/>
            </w:pPr>
            <w:r>
              <w:rPr/>
              <w:t>—</w:t>
            </w:r>
          </w:p>
        </w:tc>
        <w:tc>
          <w:tcPr>
            <w:tcW w:w="134" w:type="dxa"/>
            <w:tcBorders>
              <w:bottom w:val="single" w:sz="2" w:space="0" w:color="4B5088"/>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377"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Marketing, general and administrative expense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265" w:type="dxa"/>
            <w:tcBorders>
              <w:bottom w:val="single" w:sz="2" w:space="0" w:color="4B5088"/>
            </w:tcBorders>
            <w:tcMar>
              <w:bottom w:w="35" w:type="dxa"/>
            </w:tcMar>
            <w:vAlign w:val="center"/>
          </w:tcPr>
          <w:p>
            <w:pPr>
              <w:pStyle w:val="TableContents"/>
              <w:bidi w:val="0"/>
              <w:spacing w:before="0" w:after="283"/>
              <w:jc w:val="right"/>
              <w:rPr/>
            </w:pPr>
            <w:r>
              <w:rPr/>
              <w:t>​</w:t>
            </w:r>
          </w:p>
        </w:tc>
        <w:tc>
          <w:tcPr>
            <w:tcW w:w="1128" w:type="dxa"/>
            <w:tcBorders>
              <w:bottom w:val="single" w:sz="2" w:space="0" w:color="4B5088"/>
            </w:tcBorders>
            <w:tcMar>
              <w:bottom w:w="35" w:type="dxa"/>
            </w:tcMar>
            <w:vAlign w:val="center"/>
          </w:tcPr>
          <w:p>
            <w:pPr>
              <w:pStyle w:val="TableContents"/>
              <w:bidi w:val="0"/>
              <w:spacing w:before="0" w:after="283"/>
              <w:jc w:val="right"/>
              <w:rPr/>
            </w:pPr>
            <w:r>
              <w:rPr/>
              <w:t>89,310</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127"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265" w:type="dxa"/>
            <w:tcBorders>
              <w:bottom w:val="single" w:sz="2" w:space="0" w:color="4B5088"/>
            </w:tcBorders>
            <w:tcMar>
              <w:bottom w:w="35" w:type="dxa"/>
            </w:tcMar>
            <w:vAlign w:val="center"/>
          </w:tcPr>
          <w:p>
            <w:pPr>
              <w:pStyle w:val="TableContents"/>
              <w:bidi w:val="0"/>
              <w:spacing w:before="0" w:after="283"/>
              <w:jc w:val="right"/>
              <w:rPr/>
            </w:pPr>
            <w:r>
              <w:rPr/>
              <w:t>​</w:t>
            </w:r>
          </w:p>
        </w:tc>
        <w:tc>
          <w:tcPr>
            <w:tcW w:w="1128" w:type="dxa"/>
            <w:tcBorders>
              <w:bottom w:val="single" w:sz="2" w:space="0" w:color="4B5088"/>
            </w:tcBorders>
            <w:tcMar>
              <w:bottom w:w="35" w:type="dxa"/>
            </w:tcMar>
            <w:vAlign w:val="center"/>
          </w:tcPr>
          <w:p>
            <w:pPr>
              <w:pStyle w:val="TableContents"/>
              <w:bidi w:val="0"/>
              <w:spacing w:before="0" w:after="283"/>
              <w:jc w:val="right"/>
              <w:rPr/>
            </w:pPr>
            <w:r>
              <w:rPr/>
              <w:t>85,187</w:t>
            </w:r>
          </w:p>
        </w:tc>
        <w:tc>
          <w:tcPr>
            <w:tcW w:w="134" w:type="dxa"/>
            <w:tcBorders>
              <w:bottom w:val="single" w:sz="2" w:space="0" w:color="4B5088"/>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377"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Transaction related costs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265" w:type="dxa"/>
            <w:tcBorders>
              <w:bottom w:val="single" w:sz="2" w:space="0" w:color="4B5088"/>
            </w:tcBorders>
            <w:tcMar>
              <w:bottom w:w="35" w:type="dxa"/>
            </w:tcMar>
            <w:vAlign w:val="center"/>
          </w:tcPr>
          <w:p>
            <w:pPr>
              <w:pStyle w:val="TableContents"/>
              <w:bidi w:val="0"/>
              <w:spacing w:before="0" w:after="283"/>
              <w:jc w:val="right"/>
              <w:rPr/>
            </w:pPr>
            <w:r>
              <w:rPr/>
              <w:t>​</w:t>
            </w:r>
          </w:p>
        </w:tc>
        <w:tc>
          <w:tcPr>
            <w:tcW w:w="1128" w:type="dxa"/>
            <w:tcBorders>
              <w:bottom w:val="single" w:sz="2" w:space="0" w:color="4B5088"/>
            </w:tcBorders>
            <w:tcMar>
              <w:bottom w:w="35" w:type="dxa"/>
            </w:tcMar>
            <w:vAlign w:val="center"/>
          </w:tcPr>
          <w:p>
            <w:pPr>
              <w:pStyle w:val="TableContents"/>
              <w:bidi w:val="0"/>
              <w:spacing w:before="0" w:after="283"/>
              <w:jc w:val="right"/>
              <w:rPr/>
            </w:pPr>
            <w:r>
              <w:rPr/>
              <w:t>13,942</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127"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265" w:type="dxa"/>
            <w:tcBorders>
              <w:bottom w:val="single" w:sz="2" w:space="0" w:color="4B5088"/>
            </w:tcBorders>
            <w:tcMar>
              <w:bottom w:w="35" w:type="dxa"/>
            </w:tcMar>
            <w:vAlign w:val="center"/>
          </w:tcPr>
          <w:p>
            <w:pPr>
              <w:pStyle w:val="TableContents"/>
              <w:bidi w:val="0"/>
              <w:spacing w:before="0" w:after="283"/>
              <w:jc w:val="right"/>
              <w:rPr/>
            </w:pPr>
            <w:r>
              <w:rPr/>
              <w:t>​</w:t>
            </w:r>
          </w:p>
        </w:tc>
        <w:tc>
          <w:tcPr>
            <w:tcW w:w="1128" w:type="dxa"/>
            <w:tcBorders>
              <w:bottom w:val="single" w:sz="2" w:space="0" w:color="4B5088"/>
            </w:tcBorders>
            <w:tcMar>
              <w:bottom w:w="35" w:type="dxa"/>
            </w:tcMar>
            <w:vAlign w:val="center"/>
          </w:tcPr>
          <w:p>
            <w:pPr>
              <w:pStyle w:val="TableContents"/>
              <w:bidi w:val="0"/>
              <w:spacing w:before="0" w:after="283"/>
              <w:jc w:val="right"/>
              <w:rPr/>
            </w:pPr>
            <w:r>
              <w:rPr/>
              <w:t>401</w:t>
            </w:r>
          </w:p>
        </w:tc>
        <w:tc>
          <w:tcPr>
            <w:tcW w:w="134" w:type="dxa"/>
            <w:tcBorders>
              <w:bottom w:val="single" w:sz="2" w:space="0" w:color="4B5088"/>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377"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Loan loss and other investment reserves, net of recoveries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265" w:type="dxa"/>
            <w:tcBorders>
              <w:bottom w:val="single" w:sz="2" w:space="0" w:color="4B5088"/>
            </w:tcBorders>
            <w:tcMar>
              <w:bottom w:w="35" w:type="dxa"/>
            </w:tcMar>
            <w:vAlign w:val="center"/>
          </w:tcPr>
          <w:p>
            <w:pPr>
              <w:pStyle w:val="TableContents"/>
              <w:bidi w:val="0"/>
              <w:spacing w:before="0" w:after="283"/>
              <w:jc w:val="right"/>
              <w:rPr/>
            </w:pPr>
            <w:r>
              <w:rPr/>
              <w:t>​</w:t>
            </w:r>
          </w:p>
        </w:tc>
        <w:tc>
          <w:tcPr>
            <w:tcW w:w="1128" w:type="dxa"/>
            <w:tcBorders>
              <w:bottom w:val="single" w:sz="2" w:space="0" w:color="4B5088"/>
            </w:tcBorders>
            <w:tcMar>
              <w:bottom w:w="35" w:type="dxa"/>
            </w:tcMar>
            <w:vAlign w:val="center"/>
          </w:tcPr>
          <w:p>
            <w:pPr>
              <w:pStyle w:val="TableContents"/>
              <w:bidi w:val="0"/>
              <w:spacing w:before="0" w:after="283"/>
              <w:jc w:val="right"/>
              <w:rPr/>
            </w:pPr>
            <w:r>
              <w:rPr/>
              <w:t>(71,326)</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127"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265" w:type="dxa"/>
            <w:tcBorders>
              <w:bottom w:val="single" w:sz="2" w:space="0" w:color="4B5088"/>
            </w:tcBorders>
            <w:tcMar>
              <w:bottom w:w="35" w:type="dxa"/>
            </w:tcMar>
            <w:vAlign w:val="center"/>
          </w:tcPr>
          <w:p>
            <w:pPr>
              <w:pStyle w:val="TableContents"/>
              <w:bidi w:val="0"/>
              <w:spacing w:before="0" w:after="283"/>
              <w:jc w:val="right"/>
              <w:rPr/>
            </w:pPr>
            <w:r>
              <w:rPr/>
              <w:t>​</w:t>
            </w:r>
          </w:p>
        </w:tc>
        <w:tc>
          <w:tcPr>
            <w:tcW w:w="1128" w:type="dxa"/>
            <w:tcBorders>
              <w:bottom w:val="single" w:sz="2" w:space="0" w:color="4B5088"/>
            </w:tcBorders>
            <w:tcMar>
              <w:bottom w:w="35" w:type="dxa"/>
            </w:tcMar>
            <w:vAlign w:val="center"/>
          </w:tcPr>
          <w:p>
            <w:pPr>
              <w:pStyle w:val="TableContents"/>
              <w:bidi w:val="0"/>
              <w:spacing w:before="0" w:after="283"/>
              <w:jc w:val="right"/>
              <w:rPr/>
            </w:pPr>
            <w:r>
              <w:rPr/>
              <w:t>—</w:t>
            </w:r>
          </w:p>
        </w:tc>
        <w:tc>
          <w:tcPr>
            <w:tcW w:w="134" w:type="dxa"/>
            <w:tcBorders>
              <w:bottom w:val="single" w:sz="2" w:space="0" w:color="4B5088"/>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377"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SUMMIT Operator expenses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265" w:type="dxa"/>
            <w:tcBorders>
              <w:bottom w:val="single" w:sz="2" w:space="0" w:color="4B5088"/>
            </w:tcBorders>
            <w:tcMar>
              <w:bottom w:w="35" w:type="dxa"/>
            </w:tcMar>
            <w:vAlign w:val="center"/>
          </w:tcPr>
          <w:p>
            <w:pPr>
              <w:pStyle w:val="TableContents"/>
              <w:bidi w:val="0"/>
              <w:spacing w:before="0" w:after="283"/>
              <w:jc w:val="right"/>
              <w:rPr/>
            </w:pPr>
            <w:r>
              <w:rPr/>
              <w:t>​</w:t>
            </w:r>
          </w:p>
        </w:tc>
        <w:tc>
          <w:tcPr>
            <w:tcW w:w="1128" w:type="dxa"/>
            <w:tcBorders>
              <w:bottom w:val="single" w:sz="2" w:space="0" w:color="4B5088"/>
            </w:tcBorders>
            <w:tcMar>
              <w:bottom w:w="35" w:type="dxa"/>
            </w:tcMar>
            <w:vAlign w:val="center"/>
          </w:tcPr>
          <w:p>
            <w:pPr>
              <w:pStyle w:val="TableContents"/>
              <w:bidi w:val="0"/>
              <w:spacing w:before="0" w:after="283"/>
              <w:jc w:val="right"/>
              <w:rPr/>
            </w:pPr>
            <w:r>
              <w:rPr/>
              <w:t>116,364</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127"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265" w:type="dxa"/>
            <w:tcBorders>
              <w:bottom w:val="single" w:sz="2" w:space="0" w:color="4B5088"/>
            </w:tcBorders>
            <w:tcMar>
              <w:bottom w:w="35" w:type="dxa"/>
            </w:tcMar>
            <w:vAlign w:val="center"/>
          </w:tcPr>
          <w:p>
            <w:pPr>
              <w:pStyle w:val="TableContents"/>
              <w:bidi w:val="0"/>
              <w:spacing w:before="0" w:after="283"/>
              <w:jc w:val="right"/>
              <w:rPr/>
            </w:pPr>
            <w:r>
              <w:rPr/>
              <w:t>​</w:t>
            </w:r>
          </w:p>
        </w:tc>
        <w:tc>
          <w:tcPr>
            <w:tcW w:w="1128" w:type="dxa"/>
            <w:tcBorders>
              <w:bottom w:val="single" w:sz="2" w:space="0" w:color="4B5088"/>
            </w:tcBorders>
            <w:tcMar>
              <w:bottom w:w="35" w:type="dxa"/>
            </w:tcMar>
            <w:vAlign w:val="center"/>
          </w:tcPr>
          <w:p>
            <w:pPr>
              <w:pStyle w:val="TableContents"/>
              <w:bidi w:val="0"/>
              <w:spacing w:before="0" w:after="283"/>
              <w:jc w:val="right"/>
              <w:rPr/>
            </w:pPr>
            <w:r>
              <w:rPr/>
              <w:t>111,379</w:t>
            </w:r>
          </w:p>
        </w:tc>
        <w:tc>
          <w:tcPr>
            <w:tcW w:w="134" w:type="dxa"/>
            <w:tcBorders>
              <w:bottom w:val="single" w:sz="2" w:space="0" w:color="4B5088"/>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377"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Gain on early extinguishment of debt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265" w:type="dxa"/>
            <w:tcBorders>
              <w:bottom w:val="single" w:sz="2" w:space="0" w:color="4B5088"/>
            </w:tcBorders>
            <w:tcMar>
              <w:bottom w:w="35" w:type="dxa"/>
            </w:tcMar>
            <w:vAlign w:val="center"/>
          </w:tcPr>
          <w:p>
            <w:pPr>
              <w:pStyle w:val="TableContents"/>
              <w:bidi w:val="0"/>
              <w:spacing w:before="0" w:after="283"/>
              <w:jc w:val="right"/>
              <w:rPr/>
            </w:pPr>
            <w:r>
              <w:rPr/>
              <w:t>​</w:t>
            </w:r>
          </w:p>
        </w:tc>
        <w:tc>
          <w:tcPr>
            <w:tcW w:w="1128" w:type="dxa"/>
            <w:tcBorders>
              <w:bottom w:val="single" w:sz="2" w:space="0" w:color="4B5088"/>
            </w:tcBorders>
            <w:tcMar>
              <w:bottom w:w="35" w:type="dxa"/>
            </w:tcMar>
            <w:vAlign w:val="center"/>
          </w:tcPr>
          <w:p>
            <w:pPr>
              <w:pStyle w:val="TableContents"/>
              <w:bidi w:val="0"/>
              <w:spacing w:before="0" w:after="283"/>
              <w:jc w:val="right"/>
              <w:rPr/>
            </w:pPr>
            <w:r>
              <w:rPr/>
              <w:t>—</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127"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265" w:type="dxa"/>
            <w:tcBorders>
              <w:bottom w:val="single" w:sz="2" w:space="0" w:color="4B5088"/>
            </w:tcBorders>
            <w:tcMar>
              <w:bottom w:w="35" w:type="dxa"/>
            </w:tcMar>
            <w:vAlign w:val="center"/>
          </w:tcPr>
          <w:p>
            <w:pPr>
              <w:pStyle w:val="TableContents"/>
              <w:bidi w:val="0"/>
              <w:spacing w:before="0" w:after="283"/>
              <w:jc w:val="right"/>
              <w:rPr/>
            </w:pPr>
            <w:r>
              <w:rPr/>
              <w:t>​</w:t>
            </w:r>
          </w:p>
        </w:tc>
        <w:tc>
          <w:tcPr>
            <w:tcW w:w="1128" w:type="dxa"/>
            <w:tcBorders>
              <w:bottom w:val="single" w:sz="2" w:space="0" w:color="4B5088"/>
            </w:tcBorders>
            <w:tcMar>
              <w:bottom w:w="35" w:type="dxa"/>
            </w:tcMar>
            <w:vAlign w:val="center"/>
          </w:tcPr>
          <w:p>
            <w:pPr>
              <w:pStyle w:val="TableContents"/>
              <w:bidi w:val="0"/>
              <w:spacing w:before="0" w:after="283"/>
              <w:jc w:val="right"/>
              <w:rPr/>
            </w:pPr>
            <w:r>
              <w:rPr/>
              <w:t>(43,762)</w:t>
            </w:r>
          </w:p>
        </w:tc>
        <w:tc>
          <w:tcPr>
            <w:tcW w:w="134" w:type="dxa"/>
            <w:tcBorders>
              <w:bottom w:val="single" w:sz="2" w:space="0" w:color="4B5088"/>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377"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Investment income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265" w:type="dxa"/>
            <w:tcBorders>
              <w:bottom w:val="single" w:sz="2" w:space="0" w:color="4B5088"/>
            </w:tcBorders>
            <w:tcMar>
              <w:bottom w:w="35" w:type="dxa"/>
            </w:tcMar>
            <w:vAlign w:val="center"/>
          </w:tcPr>
          <w:p>
            <w:pPr>
              <w:pStyle w:val="TableContents"/>
              <w:bidi w:val="0"/>
              <w:spacing w:before="0" w:after="283"/>
              <w:jc w:val="right"/>
              <w:rPr/>
            </w:pPr>
            <w:r>
              <w:rPr/>
              <w:t>​</w:t>
            </w:r>
          </w:p>
        </w:tc>
        <w:tc>
          <w:tcPr>
            <w:tcW w:w="1128" w:type="dxa"/>
            <w:tcBorders>
              <w:bottom w:val="single" w:sz="2" w:space="0" w:color="4B5088"/>
            </w:tcBorders>
            <w:tcMar>
              <w:bottom w:w="35" w:type="dxa"/>
            </w:tcMar>
            <w:vAlign w:val="center"/>
          </w:tcPr>
          <w:p>
            <w:pPr>
              <w:pStyle w:val="TableContents"/>
              <w:bidi w:val="0"/>
              <w:spacing w:before="0" w:after="283"/>
              <w:jc w:val="right"/>
              <w:rPr/>
            </w:pPr>
            <w:r>
              <w:rPr/>
              <w:t>(29,377)</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127"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265" w:type="dxa"/>
            <w:tcBorders>
              <w:bottom w:val="single" w:sz="2" w:space="0" w:color="4B5088"/>
            </w:tcBorders>
            <w:tcMar>
              <w:bottom w:w="35" w:type="dxa"/>
            </w:tcMar>
            <w:vAlign w:val="center"/>
          </w:tcPr>
          <w:p>
            <w:pPr>
              <w:pStyle w:val="TableContents"/>
              <w:bidi w:val="0"/>
              <w:spacing w:before="0" w:after="283"/>
              <w:jc w:val="right"/>
              <w:rPr/>
            </w:pPr>
            <w:r>
              <w:rPr/>
              <w:t>​</w:t>
            </w:r>
          </w:p>
        </w:tc>
        <w:tc>
          <w:tcPr>
            <w:tcW w:w="1128" w:type="dxa"/>
            <w:tcBorders>
              <w:bottom w:val="single" w:sz="2" w:space="0" w:color="4B5088"/>
            </w:tcBorders>
            <w:tcMar>
              <w:bottom w:w="35" w:type="dxa"/>
            </w:tcMar>
            <w:vAlign w:val="center"/>
          </w:tcPr>
          <w:p>
            <w:pPr>
              <w:pStyle w:val="TableContents"/>
              <w:bidi w:val="0"/>
              <w:spacing w:before="0" w:after="283"/>
              <w:jc w:val="right"/>
              <w:rPr/>
            </w:pPr>
            <w:r>
              <w:rPr/>
              <w:t>(24,353)</w:t>
            </w:r>
          </w:p>
        </w:tc>
        <w:tc>
          <w:tcPr>
            <w:tcW w:w="134" w:type="dxa"/>
            <w:tcBorders>
              <w:bottom w:val="single" w:sz="2" w:space="0" w:color="4B5088"/>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377"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Interest income from real estate loans held by consolidated securitization vehicles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265" w:type="dxa"/>
            <w:tcBorders>
              <w:bottom w:val="single" w:sz="2" w:space="0" w:color="4B5088"/>
            </w:tcBorders>
            <w:tcMar>
              <w:bottom w:w="35" w:type="dxa"/>
            </w:tcMar>
            <w:vAlign w:val="center"/>
          </w:tcPr>
          <w:p>
            <w:pPr>
              <w:pStyle w:val="TableContents"/>
              <w:bidi w:val="0"/>
              <w:spacing w:before="0" w:after="283"/>
              <w:jc w:val="right"/>
              <w:rPr/>
            </w:pPr>
            <w:r>
              <w:rPr/>
              <w:t>​</w:t>
            </w:r>
          </w:p>
        </w:tc>
        <w:tc>
          <w:tcPr>
            <w:tcW w:w="1128" w:type="dxa"/>
            <w:tcBorders>
              <w:bottom w:val="single" w:sz="2" w:space="0" w:color="4B5088"/>
            </w:tcBorders>
            <w:tcMar>
              <w:bottom w:w="35" w:type="dxa"/>
            </w:tcMar>
            <w:vAlign w:val="center"/>
          </w:tcPr>
          <w:p>
            <w:pPr>
              <w:pStyle w:val="TableContents"/>
              <w:bidi w:val="0"/>
              <w:spacing w:before="0" w:after="283"/>
              <w:jc w:val="right"/>
              <w:rPr/>
            </w:pPr>
            <w:r>
              <w:rPr/>
              <w:t>(62,734)</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127"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265" w:type="dxa"/>
            <w:tcBorders>
              <w:bottom w:val="single" w:sz="2" w:space="0" w:color="4B5088"/>
            </w:tcBorders>
            <w:tcMar>
              <w:bottom w:w="35" w:type="dxa"/>
            </w:tcMar>
            <w:vAlign w:val="center"/>
          </w:tcPr>
          <w:p>
            <w:pPr>
              <w:pStyle w:val="TableContents"/>
              <w:bidi w:val="0"/>
              <w:spacing w:before="0" w:after="283"/>
              <w:jc w:val="right"/>
              <w:rPr/>
            </w:pPr>
            <w:r>
              <w:rPr/>
              <w:t>​</w:t>
            </w:r>
          </w:p>
        </w:tc>
        <w:tc>
          <w:tcPr>
            <w:tcW w:w="1128" w:type="dxa"/>
            <w:tcBorders>
              <w:bottom w:val="single" w:sz="2" w:space="0" w:color="4B5088"/>
            </w:tcBorders>
            <w:tcMar>
              <w:bottom w:w="35" w:type="dxa"/>
            </w:tcMar>
            <w:vAlign w:val="center"/>
          </w:tcPr>
          <w:p>
            <w:pPr>
              <w:pStyle w:val="TableContents"/>
              <w:bidi w:val="0"/>
              <w:spacing w:before="0" w:after="283"/>
              <w:jc w:val="right"/>
              <w:rPr/>
            </w:pPr>
            <w:r>
              <w:rPr/>
              <w:t>(18,980)</w:t>
            </w:r>
          </w:p>
        </w:tc>
        <w:tc>
          <w:tcPr>
            <w:tcW w:w="134" w:type="dxa"/>
            <w:tcBorders>
              <w:bottom w:val="single" w:sz="2" w:space="0" w:color="4B5088"/>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377"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SUMMIT Operator revenue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265" w:type="dxa"/>
            <w:tcBorders>
              <w:bottom w:val="single" w:sz="2" w:space="0" w:color="4B5088"/>
            </w:tcBorders>
            <w:tcMar>
              <w:bottom w:w="35" w:type="dxa"/>
            </w:tcMar>
            <w:vAlign w:val="center"/>
          </w:tcPr>
          <w:p>
            <w:pPr>
              <w:pStyle w:val="TableContents"/>
              <w:bidi w:val="0"/>
              <w:spacing w:before="0" w:after="283"/>
              <w:jc w:val="right"/>
              <w:rPr/>
            </w:pPr>
            <w:r>
              <w:rPr/>
              <w:t>​</w:t>
            </w:r>
          </w:p>
        </w:tc>
        <w:tc>
          <w:tcPr>
            <w:tcW w:w="1128" w:type="dxa"/>
            <w:tcBorders>
              <w:bottom w:val="single" w:sz="2" w:space="0" w:color="4B5088"/>
            </w:tcBorders>
            <w:tcMar>
              <w:bottom w:w="35" w:type="dxa"/>
            </w:tcMar>
            <w:vAlign w:val="center"/>
          </w:tcPr>
          <w:p>
            <w:pPr>
              <w:pStyle w:val="TableContents"/>
              <w:bidi w:val="0"/>
              <w:spacing w:before="0" w:after="283"/>
              <w:jc w:val="right"/>
              <w:rPr/>
            </w:pPr>
            <w:r>
              <w:rPr/>
              <w:t>(122,344)</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127"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265" w:type="dxa"/>
            <w:tcBorders>
              <w:bottom w:val="single" w:sz="2" w:space="0" w:color="4B5088"/>
            </w:tcBorders>
            <w:tcMar>
              <w:bottom w:w="35" w:type="dxa"/>
            </w:tcMar>
            <w:vAlign w:val="center"/>
          </w:tcPr>
          <w:p>
            <w:pPr>
              <w:pStyle w:val="TableContents"/>
              <w:bidi w:val="0"/>
              <w:spacing w:before="0" w:after="283"/>
              <w:jc w:val="right"/>
              <w:rPr/>
            </w:pPr>
            <w:r>
              <w:rPr/>
              <w:t>​</w:t>
            </w:r>
          </w:p>
        </w:tc>
        <w:tc>
          <w:tcPr>
            <w:tcW w:w="1128" w:type="dxa"/>
            <w:tcBorders>
              <w:bottom w:val="single" w:sz="2" w:space="0" w:color="4B5088"/>
            </w:tcBorders>
            <w:tcMar>
              <w:bottom w:w="35" w:type="dxa"/>
            </w:tcMar>
            <w:vAlign w:val="center"/>
          </w:tcPr>
          <w:p>
            <w:pPr>
              <w:pStyle w:val="TableContents"/>
              <w:bidi w:val="0"/>
              <w:spacing w:before="0" w:after="283"/>
              <w:jc w:val="right"/>
              <w:rPr/>
            </w:pPr>
            <w:r>
              <w:rPr/>
              <w:t>(133,214)</w:t>
            </w:r>
          </w:p>
        </w:tc>
        <w:tc>
          <w:tcPr>
            <w:tcW w:w="134" w:type="dxa"/>
            <w:tcBorders>
              <w:bottom w:val="single" w:sz="2" w:space="0" w:color="4B5088"/>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377"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Non-building revenue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265" w:type="dxa"/>
            <w:tcBorders>
              <w:bottom w:val="single" w:sz="2" w:space="0" w:color="4B5088"/>
            </w:tcBorders>
            <w:tcMar>
              <w:bottom w:w="35" w:type="dxa"/>
            </w:tcMar>
            <w:vAlign w:val="center"/>
          </w:tcPr>
          <w:p>
            <w:pPr>
              <w:pStyle w:val="TableContents"/>
              <w:bidi w:val="0"/>
              <w:spacing w:before="0" w:after="283"/>
              <w:jc w:val="right"/>
              <w:rPr/>
            </w:pPr>
            <w:r>
              <w:rPr/>
              <w:t>​</w:t>
            </w:r>
          </w:p>
        </w:tc>
        <w:tc>
          <w:tcPr>
            <w:tcW w:w="1128" w:type="dxa"/>
            <w:tcBorders>
              <w:bottom w:val="single" w:sz="2" w:space="0" w:color="4B5088"/>
            </w:tcBorders>
            <w:tcMar>
              <w:bottom w:w="35" w:type="dxa"/>
            </w:tcMar>
            <w:vAlign w:val="center"/>
          </w:tcPr>
          <w:p>
            <w:pPr>
              <w:pStyle w:val="TableContents"/>
              <w:bidi w:val="0"/>
              <w:spacing w:before="0" w:after="283"/>
              <w:jc w:val="right"/>
              <w:rPr/>
            </w:pPr>
            <w:r>
              <w:rPr/>
              <w:t>(73,431)</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127"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265" w:type="dxa"/>
            <w:tcBorders>
              <w:bottom w:val="single" w:sz="2" w:space="0" w:color="4B5088"/>
            </w:tcBorders>
            <w:tcMar>
              <w:bottom w:w="35" w:type="dxa"/>
            </w:tcMar>
            <w:vAlign w:val="center"/>
          </w:tcPr>
          <w:p>
            <w:pPr>
              <w:pStyle w:val="TableContents"/>
              <w:bidi w:val="0"/>
              <w:spacing w:before="0" w:after="283"/>
              <w:jc w:val="right"/>
              <w:rPr/>
            </w:pPr>
            <w:r>
              <w:rPr/>
              <w:t>​</w:t>
            </w:r>
          </w:p>
        </w:tc>
        <w:tc>
          <w:tcPr>
            <w:tcW w:w="1128" w:type="dxa"/>
            <w:tcBorders>
              <w:bottom w:val="single" w:sz="2" w:space="0" w:color="4B5088"/>
            </w:tcBorders>
            <w:tcMar>
              <w:bottom w:w="35" w:type="dxa"/>
            </w:tcMar>
            <w:vAlign w:val="center"/>
          </w:tcPr>
          <w:p>
            <w:pPr>
              <w:pStyle w:val="TableContents"/>
              <w:bidi w:val="0"/>
              <w:spacing w:before="0" w:after="283"/>
              <w:jc w:val="right"/>
              <w:rPr/>
            </w:pPr>
            <w:r>
              <w:rPr/>
              <w:t>(68,881)</w:t>
            </w:r>
          </w:p>
        </w:tc>
        <w:tc>
          <w:tcPr>
            <w:tcW w:w="134" w:type="dxa"/>
            <w:tcBorders>
              <w:bottom w:val="single" w:sz="2" w:space="0" w:color="4B5088"/>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377" w:type="dxa"/>
            <w:tcBorders>
              <w:bottom w:val="single" w:sz="2" w:space="0" w:color="4B5088"/>
            </w:tcBorders>
            <w:tcMar>
              <w:bottom w:w="35" w:type="dxa"/>
            </w:tcMar>
            <w:vAlign w:val="center"/>
          </w:tcPr>
          <w:p>
            <w:pPr>
              <w:pStyle w:val="TableContents"/>
              <w:bidi w:val="0"/>
              <w:spacing w:before="0" w:after="283"/>
              <w:jc w:val="left"/>
              <w:rPr/>
            </w:pPr>
            <w:r>
              <w:rPr>
                <w:spacing w:val="-2"/>
              </w:rPr>
              <w:t>Net operating income (NOI)</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265" w:type="dxa"/>
            <w:tcBorders>
              <w:bottom w:val="single" w:sz="2" w:space="0" w:color="4B5088"/>
            </w:tcBorders>
            <w:tcMar>
              <w:bottom w:w="35" w:type="dxa"/>
            </w:tcMar>
            <w:vAlign w:val="center"/>
          </w:tcPr>
          <w:p>
            <w:pPr>
              <w:pStyle w:val="TableContents"/>
              <w:bidi w:val="0"/>
              <w:spacing w:before="0" w:after="283"/>
              <w:jc w:val="right"/>
              <w:rPr/>
            </w:pPr>
            <w:r>
              <w:rPr/>
              <w:t>$</w:t>
            </w:r>
          </w:p>
        </w:tc>
        <w:tc>
          <w:tcPr>
            <w:tcW w:w="1128" w:type="dxa"/>
            <w:tcBorders>
              <w:bottom w:val="single" w:sz="2" w:space="0" w:color="4B5088"/>
            </w:tcBorders>
            <w:tcMar>
              <w:bottom w:w="35" w:type="dxa"/>
            </w:tcMar>
            <w:vAlign w:val="center"/>
          </w:tcPr>
          <w:p>
            <w:pPr>
              <w:pStyle w:val="TableContents"/>
              <w:bidi w:val="0"/>
              <w:spacing w:before="0" w:after="283"/>
              <w:jc w:val="right"/>
              <w:rPr/>
            </w:pPr>
            <w:r>
              <w:rPr/>
              <w:t>309,615</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127"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265" w:type="dxa"/>
            <w:tcBorders>
              <w:bottom w:val="single" w:sz="2" w:space="0" w:color="4B5088"/>
            </w:tcBorders>
            <w:tcMar>
              <w:bottom w:w="35" w:type="dxa"/>
            </w:tcMar>
            <w:vAlign w:val="center"/>
          </w:tcPr>
          <w:p>
            <w:pPr>
              <w:pStyle w:val="TableContents"/>
              <w:bidi w:val="0"/>
              <w:spacing w:before="0" w:after="283"/>
              <w:jc w:val="right"/>
              <w:rPr/>
            </w:pPr>
            <w:r>
              <w:rPr/>
              <w:t>$</w:t>
            </w:r>
          </w:p>
        </w:tc>
        <w:tc>
          <w:tcPr>
            <w:tcW w:w="1128" w:type="dxa"/>
            <w:tcBorders>
              <w:bottom w:val="single" w:sz="2" w:space="0" w:color="4B5088"/>
            </w:tcBorders>
            <w:tcMar>
              <w:bottom w:w="35" w:type="dxa"/>
            </w:tcMar>
            <w:vAlign w:val="center"/>
          </w:tcPr>
          <w:p>
            <w:pPr>
              <w:pStyle w:val="TableContents"/>
              <w:bidi w:val="0"/>
              <w:spacing w:before="0" w:after="283"/>
              <w:jc w:val="right"/>
              <w:rPr/>
            </w:pPr>
            <w:r>
              <w:rPr/>
              <w:t>298,636</w:t>
            </w:r>
          </w:p>
        </w:tc>
        <w:tc>
          <w:tcPr>
            <w:tcW w:w="134" w:type="dxa"/>
            <w:tcBorders>
              <w:bottom w:val="single" w:sz="2" w:space="0" w:color="4B5088"/>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377"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Equity in net (loss) income from unconsolidated joint venture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265" w:type="dxa"/>
            <w:tcBorders>
              <w:bottom w:val="single" w:sz="2" w:space="0" w:color="4B5088"/>
            </w:tcBorders>
            <w:tcMar>
              <w:bottom w:w="35" w:type="dxa"/>
            </w:tcMar>
            <w:vAlign w:val="center"/>
          </w:tcPr>
          <w:p>
            <w:pPr>
              <w:pStyle w:val="TableContents"/>
              <w:bidi w:val="0"/>
              <w:spacing w:before="0" w:after="283"/>
              <w:jc w:val="right"/>
              <w:rPr/>
            </w:pPr>
            <w:r>
              <w:rPr/>
              <w:t>​</w:t>
            </w:r>
          </w:p>
        </w:tc>
        <w:tc>
          <w:tcPr>
            <w:tcW w:w="1128" w:type="dxa"/>
            <w:tcBorders>
              <w:bottom w:val="single" w:sz="2" w:space="0" w:color="4B5088"/>
            </w:tcBorders>
            <w:tcMar>
              <w:bottom w:w="35" w:type="dxa"/>
            </w:tcMar>
            <w:vAlign w:val="center"/>
          </w:tcPr>
          <w:p>
            <w:pPr>
              <w:pStyle w:val="TableContents"/>
              <w:bidi w:val="0"/>
              <w:spacing w:before="0" w:after="283"/>
              <w:jc w:val="right"/>
              <w:rPr/>
            </w:pPr>
            <w:r>
              <w:rPr/>
              <w:t>(41,551)</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127"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265" w:type="dxa"/>
            <w:tcBorders>
              <w:bottom w:val="single" w:sz="2" w:space="0" w:color="4B5088"/>
            </w:tcBorders>
            <w:tcMar>
              <w:bottom w:w="35" w:type="dxa"/>
            </w:tcMar>
            <w:vAlign w:val="center"/>
          </w:tcPr>
          <w:p>
            <w:pPr>
              <w:pStyle w:val="TableContents"/>
              <w:bidi w:val="0"/>
              <w:spacing w:before="0" w:after="283"/>
              <w:jc w:val="right"/>
              <w:rPr/>
            </w:pPr>
            <w:r>
              <w:rPr/>
              <w:t>​</w:t>
            </w:r>
          </w:p>
        </w:tc>
        <w:tc>
          <w:tcPr>
            <w:tcW w:w="1128" w:type="dxa"/>
            <w:tcBorders>
              <w:bottom w:val="single" w:sz="2" w:space="0" w:color="4B5088"/>
            </w:tcBorders>
            <w:tcMar>
              <w:bottom w:w="35" w:type="dxa"/>
            </w:tcMar>
            <w:vAlign w:val="center"/>
          </w:tcPr>
          <w:p>
            <w:pPr>
              <w:pStyle w:val="TableContents"/>
              <w:bidi w:val="0"/>
              <w:spacing w:before="0" w:after="283"/>
              <w:jc w:val="right"/>
              <w:rPr/>
            </w:pPr>
            <w:r>
              <w:rPr/>
              <w:t>83,495</w:t>
            </w:r>
          </w:p>
        </w:tc>
        <w:tc>
          <w:tcPr>
            <w:tcW w:w="134" w:type="dxa"/>
            <w:tcBorders>
              <w:bottom w:val="single" w:sz="2" w:space="0" w:color="4B5088"/>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377"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SLG share of unconsolidated JV depreciation and amortization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265" w:type="dxa"/>
            <w:tcBorders>
              <w:bottom w:val="single" w:sz="2" w:space="0" w:color="4B5088"/>
            </w:tcBorders>
            <w:tcMar>
              <w:bottom w:w="35" w:type="dxa"/>
            </w:tcMar>
            <w:vAlign w:val="center"/>
          </w:tcPr>
          <w:p>
            <w:pPr>
              <w:pStyle w:val="TableContents"/>
              <w:bidi w:val="0"/>
              <w:spacing w:before="0" w:after="283"/>
              <w:jc w:val="right"/>
              <w:rPr/>
            </w:pPr>
            <w:r>
              <w:rPr/>
              <w:t>​</w:t>
            </w:r>
          </w:p>
        </w:tc>
        <w:tc>
          <w:tcPr>
            <w:tcW w:w="1128" w:type="dxa"/>
            <w:tcBorders>
              <w:bottom w:val="single" w:sz="2" w:space="0" w:color="4B5088"/>
            </w:tcBorders>
            <w:tcMar>
              <w:bottom w:w="35" w:type="dxa"/>
            </w:tcMar>
            <w:vAlign w:val="center"/>
          </w:tcPr>
          <w:p>
            <w:pPr>
              <w:pStyle w:val="TableContents"/>
              <w:bidi w:val="0"/>
              <w:spacing w:before="0" w:after="283"/>
              <w:jc w:val="right"/>
              <w:rPr/>
            </w:pPr>
            <w:r>
              <w:rPr/>
              <w:t>259,498</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127"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265" w:type="dxa"/>
            <w:tcBorders>
              <w:bottom w:val="single" w:sz="2" w:space="0" w:color="4B5088"/>
            </w:tcBorders>
            <w:tcMar>
              <w:bottom w:w="35" w:type="dxa"/>
            </w:tcMar>
            <w:vAlign w:val="center"/>
          </w:tcPr>
          <w:p>
            <w:pPr>
              <w:pStyle w:val="TableContents"/>
              <w:bidi w:val="0"/>
              <w:spacing w:before="0" w:after="283"/>
              <w:jc w:val="right"/>
              <w:rPr/>
            </w:pPr>
            <w:r>
              <w:rPr/>
              <w:t>​</w:t>
            </w:r>
          </w:p>
        </w:tc>
        <w:tc>
          <w:tcPr>
            <w:tcW w:w="1128" w:type="dxa"/>
            <w:tcBorders>
              <w:bottom w:val="single" w:sz="2" w:space="0" w:color="4B5088"/>
            </w:tcBorders>
            <w:tcMar>
              <w:bottom w:w="35" w:type="dxa"/>
            </w:tcMar>
            <w:vAlign w:val="center"/>
          </w:tcPr>
          <w:p>
            <w:pPr>
              <w:pStyle w:val="TableContents"/>
              <w:bidi w:val="0"/>
              <w:spacing w:before="0" w:after="283"/>
              <w:jc w:val="right"/>
              <w:rPr/>
            </w:pPr>
            <w:r>
              <w:rPr/>
              <w:t>275,098</w:t>
            </w:r>
          </w:p>
        </w:tc>
        <w:tc>
          <w:tcPr>
            <w:tcW w:w="134" w:type="dxa"/>
            <w:tcBorders>
              <w:bottom w:val="single" w:sz="2" w:space="0" w:color="4B5088"/>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377"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SLG share of unconsolidated JV amortization of deferred financing costs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265" w:type="dxa"/>
            <w:tcBorders>
              <w:bottom w:val="single" w:sz="2" w:space="0" w:color="4B5088"/>
            </w:tcBorders>
            <w:tcMar>
              <w:bottom w:w="35" w:type="dxa"/>
            </w:tcMar>
            <w:vAlign w:val="center"/>
          </w:tcPr>
          <w:p>
            <w:pPr>
              <w:pStyle w:val="TableContents"/>
              <w:bidi w:val="0"/>
              <w:spacing w:before="0" w:after="283"/>
              <w:jc w:val="right"/>
              <w:rPr/>
            </w:pPr>
            <w:r>
              <w:rPr/>
              <w:t>​</w:t>
            </w:r>
          </w:p>
        </w:tc>
        <w:tc>
          <w:tcPr>
            <w:tcW w:w="1128" w:type="dxa"/>
            <w:tcBorders>
              <w:bottom w:val="single" w:sz="2" w:space="0" w:color="4B5088"/>
            </w:tcBorders>
            <w:tcMar>
              <w:bottom w:w="35" w:type="dxa"/>
            </w:tcMar>
            <w:vAlign w:val="center"/>
          </w:tcPr>
          <w:p>
            <w:pPr>
              <w:pStyle w:val="TableContents"/>
              <w:bidi w:val="0"/>
              <w:spacing w:before="0" w:after="283"/>
              <w:jc w:val="right"/>
              <w:rPr/>
            </w:pPr>
            <w:r>
              <w:rPr/>
              <w:t>15,738</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127"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265" w:type="dxa"/>
            <w:tcBorders>
              <w:bottom w:val="single" w:sz="2" w:space="0" w:color="4B5088"/>
            </w:tcBorders>
            <w:tcMar>
              <w:bottom w:w="35" w:type="dxa"/>
            </w:tcMar>
            <w:vAlign w:val="center"/>
          </w:tcPr>
          <w:p>
            <w:pPr>
              <w:pStyle w:val="TableContents"/>
              <w:bidi w:val="0"/>
              <w:spacing w:before="0" w:after="283"/>
              <w:jc w:val="right"/>
              <w:rPr/>
            </w:pPr>
            <w:r>
              <w:rPr/>
              <w:t>​</w:t>
            </w:r>
          </w:p>
        </w:tc>
        <w:tc>
          <w:tcPr>
            <w:tcW w:w="1128" w:type="dxa"/>
            <w:tcBorders>
              <w:bottom w:val="single" w:sz="2" w:space="0" w:color="4B5088"/>
            </w:tcBorders>
            <w:tcMar>
              <w:bottom w:w="35" w:type="dxa"/>
            </w:tcMar>
            <w:vAlign w:val="center"/>
          </w:tcPr>
          <w:p>
            <w:pPr>
              <w:pStyle w:val="TableContents"/>
              <w:bidi w:val="0"/>
              <w:spacing w:before="0" w:after="283"/>
              <w:jc w:val="right"/>
              <w:rPr/>
            </w:pPr>
            <w:r>
              <w:rPr/>
              <w:t>11,334</w:t>
            </w:r>
          </w:p>
        </w:tc>
        <w:tc>
          <w:tcPr>
            <w:tcW w:w="134" w:type="dxa"/>
            <w:tcBorders>
              <w:bottom w:val="single" w:sz="2" w:space="0" w:color="4B5088"/>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377"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SLG share of unconsolidated JV interest expense, net of interest income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265" w:type="dxa"/>
            <w:tcBorders>
              <w:bottom w:val="single" w:sz="2" w:space="0" w:color="4B5088"/>
            </w:tcBorders>
            <w:tcMar>
              <w:bottom w:w="35" w:type="dxa"/>
            </w:tcMar>
            <w:vAlign w:val="center"/>
          </w:tcPr>
          <w:p>
            <w:pPr>
              <w:pStyle w:val="TableContents"/>
              <w:bidi w:val="0"/>
              <w:spacing w:before="0" w:after="283"/>
              <w:jc w:val="right"/>
              <w:rPr/>
            </w:pPr>
            <w:r>
              <w:rPr/>
              <w:t>​</w:t>
            </w:r>
          </w:p>
        </w:tc>
        <w:tc>
          <w:tcPr>
            <w:tcW w:w="1128" w:type="dxa"/>
            <w:tcBorders>
              <w:bottom w:val="single" w:sz="2" w:space="0" w:color="4B5088"/>
            </w:tcBorders>
            <w:tcMar>
              <w:bottom w:w="35" w:type="dxa"/>
            </w:tcMar>
            <w:vAlign w:val="center"/>
          </w:tcPr>
          <w:p>
            <w:pPr>
              <w:pStyle w:val="TableContents"/>
              <w:bidi w:val="0"/>
              <w:spacing w:before="0" w:after="283"/>
              <w:jc w:val="right"/>
              <w:rPr/>
            </w:pPr>
            <w:r>
              <w:rPr/>
              <w:t>263,710</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127"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265" w:type="dxa"/>
            <w:tcBorders>
              <w:bottom w:val="single" w:sz="2" w:space="0" w:color="4B5088"/>
            </w:tcBorders>
            <w:tcMar>
              <w:bottom w:w="35" w:type="dxa"/>
            </w:tcMar>
            <w:vAlign w:val="center"/>
          </w:tcPr>
          <w:p>
            <w:pPr>
              <w:pStyle w:val="TableContents"/>
              <w:bidi w:val="0"/>
              <w:spacing w:before="0" w:after="283"/>
              <w:jc w:val="right"/>
              <w:rPr/>
            </w:pPr>
            <w:r>
              <w:rPr/>
              <w:t>​</w:t>
            </w:r>
          </w:p>
        </w:tc>
        <w:tc>
          <w:tcPr>
            <w:tcW w:w="1128" w:type="dxa"/>
            <w:tcBorders>
              <w:bottom w:val="single" w:sz="2" w:space="0" w:color="4B5088"/>
            </w:tcBorders>
            <w:tcMar>
              <w:bottom w:w="35" w:type="dxa"/>
            </w:tcMar>
            <w:vAlign w:val="center"/>
          </w:tcPr>
          <w:p>
            <w:pPr>
              <w:pStyle w:val="TableContents"/>
              <w:bidi w:val="0"/>
              <w:spacing w:before="0" w:after="283"/>
              <w:jc w:val="right"/>
              <w:rPr/>
            </w:pPr>
            <w:r>
              <w:rPr/>
              <w:t>276,852</w:t>
            </w:r>
          </w:p>
        </w:tc>
        <w:tc>
          <w:tcPr>
            <w:tcW w:w="134" w:type="dxa"/>
            <w:tcBorders>
              <w:bottom w:val="single" w:sz="2" w:space="0" w:color="4B5088"/>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377"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SLG share of unconsolidated JV gain on early extinguishment of debt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265" w:type="dxa"/>
            <w:tcBorders>
              <w:bottom w:val="single" w:sz="2" w:space="0" w:color="4B5088"/>
            </w:tcBorders>
            <w:tcMar>
              <w:bottom w:w="35" w:type="dxa"/>
            </w:tcMar>
            <w:vAlign w:val="center"/>
          </w:tcPr>
          <w:p>
            <w:pPr>
              <w:pStyle w:val="TableContents"/>
              <w:bidi w:val="0"/>
              <w:spacing w:before="0" w:after="283"/>
              <w:jc w:val="right"/>
              <w:rPr/>
            </w:pPr>
            <w:r>
              <w:rPr/>
              <w:t>​</w:t>
            </w:r>
          </w:p>
        </w:tc>
        <w:tc>
          <w:tcPr>
            <w:tcW w:w="1128" w:type="dxa"/>
            <w:tcBorders>
              <w:bottom w:val="single" w:sz="2" w:space="0" w:color="4B5088"/>
            </w:tcBorders>
            <w:tcMar>
              <w:bottom w:w="35" w:type="dxa"/>
            </w:tcMar>
            <w:vAlign w:val="center"/>
          </w:tcPr>
          <w:p>
            <w:pPr>
              <w:pStyle w:val="TableContents"/>
              <w:bidi w:val="0"/>
              <w:spacing w:before="0" w:after="283"/>
              <w:jc w:val="right"/>
              <w:rPr/>
            </w:pPr>
            <w:r>
              <w:rPr/>
              <w:t>(57,187)</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127"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265" w:type="dxa"/>
            <w:tcBorders>
              <w:bottom w:val="single" w:sz="2" w:space="0" w:color="4B5088"/>
            </w:tcBorders>
            <w:tcMar>
              <w:bottom w:w="35" w:type="dxa"/>
            </w:tcMar>
            <w:vAlign w:val="center"/>
          </w:tcPr>
          <w:p>
            <w:pPr>
              <w:pStyle w:val="TableContents"/>
              <w:bidi w:val="0"/>
              <w:spacing w:before="0" w:after="283"/>
              <w:jc w:val="right"/>
              <w:rPr/>
            </w:pPr>
            <w:r>
              <w:rPr/>
              <w:t>​</w:t>
            </w:r>
          </w:p>
        </w:tc>
        <w:tc>
          <w:tcPr>
            <w:tcW w:w="1128" w:type="dxa"/>
            <w:tcBorders>
              <w:bottom w:val="single" w:sz="2" w:space="0" w:color="4B5088"/>
            </w:tcBorders>
            <w:tcMar>
              <w:bottom w:w="35" w:type="dxa"/>
            </w:tcMar>
            <w:vAlign w:val="center"/>
          </w:tcPr>
          <w:p>
            <w:pPr>
              <w:pStyle w:val="TableContents"/>
              <w:bidi w:val="0"/>
              <w:spacing w:before="0" w:after="283"/>
              <w:jc w:val="right"/>
              <w:rPr/>
            </w:pPr>
            <w:r>
              <w:rPr/>
              <w:t>(172,369)</w:t>
            </w:r>
          </w:p>
        </w:tc>
        <w:tc>
          <w:tcPr>
            <w:tcW w:w="134" w:type="dxa"/>
            <w:tcBorders>
              <w:bottom w:val="single" w:sz="2" w:space="0" w:color="4B5088"/>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377"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SLG share of unconsolidated JV investment income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265" w:type="dxa"/>
            <w:tcBorders>
              <w:bottom w:val="single" w:sz="2" w:space="0" w:color="4B5088"/>
            </w:tcBorders>
            <w:tcMar>
              <w:bottom w:w="35" w:type="dxa"/>
            </w:tcMar>
            <w:vAlign w:val="center"/>
          </w:tcPr>
          <w:p>
            <w:pPr>
              <w:pStyle w:val="TableContents"/>
              <w:bidi w:val="0"/>
              <w:spacing w:before="0" w:after="283"/>
              <w:jc w:val="right"/>
              <w:rPr/>
            </w:pPr>
            <w:r>
              <w:rPr/>
              <w:t>​</w:t>
            </w:r>
          </w:p>
        </w:tc>
        <w:tc>
          <w:tcPr>
            <w:tcW w:w="1128" w:type="dxa"/>
            <w:tcBorders>
              <w:bottom w:val="single" w:sz="2" w:space="0" w:color="4B5088"/>
            </w:tcBorders>
            <w:tcMar>
              <w:bottom w:w="35" w:type="dxa"/>
            </w:tcMar>
            <w:vAlign w:val="center"/>
          </w:tcPr>
          <w:p>
            <w:pPr>
              <w:pStyle w:val="TableContents"/>
              <w:bidi w:val="0"/>
              <w:spacing w:before="0" w:after="283"/>
              <w:jc w:val="right"/>
              <w:rPr/>
            </w:pPr>
            <w:r>
              <w:rPr/>
              <w:t>(14,366)</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127"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265" w:type="dxa"/>
            <w:tcBorders>
              <w:bottom w:val="single" w:sz="2" w:space="0" w:color="4B5088"/>
            </w:tcBorders>
            <w:tcMar>
              <w:bottom w:w="35" w:type="dxa"/>
            </w:tcMar>
            <w:vAlign w:val="center"/>
          </w:tcPr>
          <w:p>
            <w:pPr>
              <w:pStyle w:val="TableContents"/>
              <w:bidi w:val="0"/>
              <w:spacing w:before="0" w:after="283"/>
              <w:jc w:val="right"/>
              <w:rPr/>
            </w:pPr>
            <w:r>
              <w:rPr/>
              <w:t>​</w:t>
            </w:r>
          </w:p>
        </w:tc>
        <w:tc>
          <w:tcPr>
            <w:tcW w:w="1128" w:type="dxa"/>
            <w:tcBorders>
              <w:bottom w:val="single" w:sz="2" w:space="0" w:color="4B5088"/>
            </w:tcBorders>
            <w:tcMar>
              <w:bottom w:w="35" w:type="dxa"/>
            </w:tcMar>
            <w:vAlign w:val="center"/>
          </w:tcPr>
          <w:p>
            <w:pPr>
              <w:pStyle w:val="TableContents"/>
              <w:bidi w:val="0"/>
              <w:spacing w:before="0" w:after="283"/>
              <w:jc w:val="right"/>
              <w:rPr/>
            </w:pPr>
            <w:r>
              <w:rPr/>
              <w:t>(11,513)</w:t>
            </w:r>
          </w:p>
        </w:tc>
        <w:tc>
          <w:tcPr>
            <w:tcW w:w="134" w:type="dxa"/>
            <w:tcBorders>
              <w:bottom w:val="single" w:sz="2" w:space="0" w:color="4B5088"/>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377" w:type="dxa"/>
            <w:tcBorders>
              <w:bottom w:val="single" w:sz="2" w:space="0" w:color="4B5088"/>
            </w:tcBorders>
            <w:tcMar>
              <w:bottom w:w="28" w:type="dxa"/>
            </w:tcMar>
            <w:vAlign w:val="center"/>
          </w:tcPr>
          <w:p>
            <w:pPr>
              <w:pStyle w:val="TableContents"/>
              <w:bidi w:val="0"/>
              <w:spacing w:before="0" w:after="283"/>
              <w:jc w:val="left"/>
              <w:rPr>
                <w:spacing w:val="-2"/>
              </w:rPr>
            </w:pPr>
            <w:r>
              <w:rPr>
                <w:spacing w:val="-2"/>
              </w:rPr>
              <w:t xml:space="preserve">SLG share of unconsolidated JV loan loss and other investment reserves, net of recoveries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265" w:type="dxa"/>
            <w:tcBorders>
              <w:bottom w:val="single" w:sz="2" w:space="0" w:color="4B5088"/>
            </w:tcBorders>
            <w:tcMar>
              <w:bottom w:w="28" w:type="dxa"/>
            </w:tcMar>
            <w:vAlign w:val="center"/>
          </w:tcPr>
          <w:p>
            <w:pPr>
              <w:pStyle w:val="TableContents"/>
              <w:bidi w:val="0"/>
              <w:spacing w:before="0" w:after="283"/>
              <w:jc w:val="right"/>
              <w:rPr/>
            </w:pPr>
            <w:r>
              <w:rPr/>
              <w:t>​</w:t>
            </w:r>
          </w:p>
        </w:tc>
        <w:tc>
          <w:tcPr>
            <w:tcW w:w="1128" w:type="dxa"/>
            <w:tcBorders>
              <w:bottom w:val="single" w:sz="2" w:space="0" w:color="4B5088"/>
            </w:tcBorders>
            <w:tcMar>
              <w:bottom w:w="28" w:type="dxa"/>
            </w:tcMar>
            <w:vAlign w:val="center"/>
          </w:tcPr>
          <w:p>
            <w:pPr>
              <w:pStyle w:val="TableContents"/>
              <w:bidi w:val="0"/>
              <w:spacing w:before="0" w:after="283"/>
              <w:jc w:val="right"/>
              <w:rPr/>
            </w:pPr>
            <w:r>
              <w:rPr/>
              <w:t>14,531</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127"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265" w:type="dxa"/>
            <w:tcBorders>
              <w:bottom w:val="single" w:sz="2" w:space="0" w:color="4B5088"/>
            </w:tcBorders>
            <w:tcMar>
              <w:bottom w:w="28" w:type="dxa"/>
            </w:tcMar>
            <w:vAlign w:val="center"/>
          </w:tcPr>
          <w:p>
            <w:pPr>
              <w:pStyle w:val="TableContents"/>
              <w:bidi w:val="0"/>
              <w:spacing w:before="0" w:after="283"/>
              <w:jc w:val="right"/>
              <w:rPr/>
            </w:pPr>
            <w:r>
              <w:rPr/>
              <w:t>​</w:t>
            </w:r>
          </w:p>
        </w:tc>
        <w:tc>
          <w:tcPr>
            <w:tcW w:w="1128" w:type="dxa"/>
            <w:tcBorders>
              <w:bottom w:val="single" w:sz="2" w:space="0" w:color="4B5088"/>
            </w:tcBorders>
            <w:tcMar>
              <w:bottom w:w="28" w:type="dxa"/>
            </w:tcMar>
            <w:vAlign w:val="center"/>
          </w:tcPr>
          <w:p>
            <w:pPr>
              <w:pStyle w:val="TableContents"/>
              <w:bidi w:val="0"/>
              <w:spacing w:before="0" w:after="283"/>
              <w:jc w:val="right"/>
              <w:rPr/>
            </w:pPr>
            <w:r>
              <w:rPr/>
              <w:t>—</w:t>
            </w:r>
          </w:p>
        </w:tc>
        <w:tc>
          <w:tcPr>
            <w:tcW w:w="134" w:type="dxa"/>
            <w:tcBorders>
              <w:bottom w:val="single" w:sz="2" w:space="0" w:color="4B5088"/>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377"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SLG share of unconsolidated JV non-building revenue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265" w:type="dxa"/>
            <w:tcBorders>
              <w:bottom w:val="single" w:sz="2" w:space="0" w:color="4B5088"/>
            </w:tcBorders>
            <w:tcMar>
              <w:bottom w:w="35" w:type="dxa"/>
            </w:tcMar>
            <w:vAlign w:val="center"/>
          </w:tcPr>
          <w:p>
            <w:pPr>
              <w:pStyle w:val="TableContents"/>
              <w:bidi w:val="0"/>
              <w:spacing w:before="0" w:after="283"/>
              <w:jc w:val="right"/>
              <w:rPr/>
            </w:pPr>
            <w:r>
              <w:rPr/>
              <w:t>​</w:t>
            </w:r>
          </w:p>
        </w:tc>
        <w:tc>
          <w:tcPr>
            <w:tcW w:w="1128" w:type="dxa"/>
            <w:tcBorders>
              <w:bottom w:val="single" w:sz="2" w:space="0" w:color="4B5088"/>
            </w:tcBorders>
            <w:tcMar>
              <w:bottom w:w="35" w:type="dxa"/>
            </w:tcMar>
            <w:vAlign w:val="center"/>
          </w:tcPr>
          <w:p>
            <w:pPr>
              <w:pStyle w:val="TableContents"/>
              <w:bidi w:val="0"/>
              <w:spacing w:before="0" w:after="283"/>
              <w:jc w:val="right"/>
              <w:rPr/>
            </w:pPr>
            <w:r>
              <w:rPr/>
              <w:t>(8,580)</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127"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265" w:type="dxa"/>
            <w:tcBorders>
              <w:bottom w:val="single" w:sz="2" w:space="0" w:color="4B5088"/>
            </w:tcBorders>
            <w:tcMar>
              <w:bottom w:w="35" w:type="dxa"/>
            </w:tcMar>
            <w:vAlign w:val="center"/>
          </w:tcPr>
          <w:p>
            <w:pPr>
              <w:pStyle w:val="TableContents"/>
              <w:bidi w:val="0"/>
              <w:spacing w:before="0" w:after="283"/>
              <w:jc w:val="right"/>
              <w:rPr/>
            </w:pPr>
            <w:r>
              <w:rPr/>
              <w:t>​</w:t>
            </w:r>
          </w:p>
        </w:tc>
        <w:tc>
          <w:tcPr>
            <w:tcW w:w="1128" w:type="dxa"/>
            <w:tcBorders>
              <w:bottom w:val="single" w:sz="2" w:space="0" w:color="4B5088"/>
            </w:tcBorders>
            <w:tcMar>
              <w:bottom w:w="35" w:type="dxa"/>
            </w:tcMar>
            <w:vAlign w:val="center"/>
          </w:tcPr>
          <w:p>
            <w:pPr>
              <w:pStyle w:val="TableContents"/>
              <w:bidi w:val="0"/>
              <w:spacing w:before="0" w:after="283"/>
              <w:jc w:val="right"/>
              <w:rPr/>
            </w:pPr>
            <w:r>
              <w:rPr/>
              <w:t>(3,051)</w:t>
            </w:r>
          </w:p>
        </w:tc>
        <w:tc>
          <w:tcPr>
            <w:tcW w:w="134" w:type="dxa"/>
            <w:tcBorders>
              <w:bottom w:val="single" w:sz="2" w:space="0" w:color="4B5088"/>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377" w:type="dxa"/>
            <w:tcBorders>
              <w:bottom w:val="single" w:sz="2" w:space="0" w:color="4B5088"/>
            </w:tcBorders>
            <w:tcMar>
              <w:bottom w:w="35" w:type="dxa"/>
            </w:tcMar>
            <w:vAlign w:val="center"/>
          </w:tcPr>
          <w:p>
            <w:pPr>
              <w:pStyle w:val="TableContents"/>
              <w:bidi w:val="0"/>
              <w:spacing w:before="0" w:after="283"/>
              <w:jc w:val="left"/>
              <w:rPr/>
            </w:pPr>
            <w:r>
              <w:rPr>
                <w:spacing w:val="-2"/>
              </w:rPr>
              <w:t>NOI including SLG share of unconsolidated JVs</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265" w:type="dxa"/>
            <w:tcBorders>
              <w:bottom w:val="single" w:sz="2" w:space="0" w:color="4B5088"/>
            </w:tcBorders>
            <w:tcMar>
              <w:bottom w:w="35" w:type="dxa"/>
            </w:tcMar>
            <w:vAlign w:val="center"/>
          </w:tcPr>
          <w:p>
            <w:pPr>
              <w:pStyle w:val="TableContents"/>
              <w:bidi w:val="0"/>
              <w:spacing w:before="0" w:after="283"/>
              <w:jc w:val="right"/>
              <w:rPr/>
            </w:pPr>
            <w:r>
              <w:rPr/>
              <w:t>$</w:t>
            </w:r>
          </w:p>
        </w:tc>
        <w:tc>
          <w:tcPr>
            <w:tcW w:w="1128" w:type="dxa"/>
            <w:tcBorders>
              <w:bottom w:val="single" w:sz="2" w:space="0" w:color="4B5088"/>
            </w:tcBorders>
            <w:tcMar>
              <w:bottom w:w="35" w:type="dxa"/>
            </w:tcMar>
            <w:vAlign w:val="center"/>
          </w:tcPr>
          <w:p>
            <w:pPr>
              <w:pStyle w:val="TableContents"/>
              <w:bidi w:val="0"/>
              <w:spacing w:before="0" w:after="283"/>
              <w:jc w:val="right"/>
              <w:rPr/>
            </w:pPr>
            <w:r>
              <w:rPr/>
              <w:t>741,408</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127"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265" w:type="dxa"/>
            <w:tcBorders>
              <w:bottom w:val="single" w:sz="2" w:space="0" w:color="4B5088"/>
            </w:tcBorders>
            <w:tcMar>
              <w:bottom w:w="35" w:type="dxa"/>
            </w:tcMar>
            <w:vAlign w:val="center"/>
          </w:tcPr>
          <w:p>
            <w:pPr>
              <w:pStyle w:val="TableContents"/>
              <w:bidi w:val="0"/>
              <w:spacing w:before="0" w:after="283"/>
              <w:jc w:val="right"/>
              <w:rPr/>
            </w:pPr>
            <w:r>
              <w:rPr/>
              <w:t>$</w:t>
            </w:r>
          </w:p>
        </w:tc>
        <w:tc>
          <w:tcPr>
            <w:tcW w:w="1128" w:type="dxa"/>
            <w:tcBorders>
              <w:bottom w:val="single" w:sz="2" w:space="0" w:color="4B5088"/>
            </w:tcBorders>
            <w:tcMar>
              <w:bottom w:w="35" w:type="dxa"/>
            </w:tcMar>
            <w:vAlign w:val="center"/>
          </w:tcPr>
          <w:p>
            <w:pPr>
              <w:pStyle w:val="TableContents"/>
              <w:bidi w:val="0"/>
              <w:spacing w:before="0" w:after="283"/>
              <w:jc w:val="right"/>
              <w:rPr/>
            </w:pPr>
            <w:r>
              <w:rPr/>
              <w:t>758,482</w:t>
            </w:r>
          </w:p>
        </w:tc>
        <w:tc>
          <w:tcPr>
            <w:tcW w:w="134" w:type="dxa"/>
            <w:tcBorders>
              <w:bottom w:val="single" w:sz="2" w:space="0" w:color="4B5088"/>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377"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NOI from other properties/affiliates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265" w:type="dxa"/>
            <w:tcBorders>
              <w:bottom w:val="single" w:sz="2" w:space="0" w:color="4B5088"/>
            </w:tcBorders>
            <w:tcMar>
              <w:bottom w:w="35" w:type="dxa"/>
            </w:tcMar>
            <w:vAlign w:val="center"/>
          </w:tcPr>
          <w:p>
            <w:pPr>
              <w:pStyle w:val="TableContents"/>
              <w:bidi w:val="0"/>
              <w:spacing w:before="0" w:after="283"/>
              <w:jc w:val="right"/>
              <w:rPr/>
            </w:pPr>
            <w:r>
              <w:rPr/>
              <w:t>​</w:t>
            </w:r>
          </w:p>
        </w:tc>
        <w:tc>
          <w:tcPr>
            <w:tcW w:w="1128" w:type="dxa"/>
            <w:tcBorders>
              <w:bottom w:val="single" w:sz="2" w:space="0" w:color="4B5088"/>
            </w:tcBorders>
            <w:tcMar>
              <w:bottom w:w="35" w:type="dxa"/>
            </w:tcMar>
            <w:vAlign w:val="center"/>
          </w:tcPr>
          <w:p>
            <w:pPr>
              <w:pStyle w:val="TableContents"/>
              <w:bidi w:val="0"/>
              <w:spacing w:before="0" w:after="283"/>
              <w:jc w:val="right"/>
              <w:rPr/>
            </w:pPr>
            <w:r>
              <w:rPr/>
              <w:t>(59,851)</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127"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265" w:type="dxa"/>
            <w:tcBorders>
              <w:bottom w:val="single" w:sz="2" w:space="0" w:color="4B5088"/>
            </w:tcBorders>
            <w:tcMar>
              <w:bottom w:w="35" w:type="dxa"/>
            </w:tcMar>
            <w:vAlign w:val="center"/>
          </w:tcPr>
          <w:p>
            <w:pPr>
              <w:pStyle w:val="TableContents"/>
              <w:bidi w:val="0"/>
              <w:spacing w:before="0" w:after="283"/>
              <w:jc w:val="right"/>
              <w:rPr/>
            </w:pPr>
            <w:r>
              <w:rPr/>
              <w:t>​</w:t>
            </w:r>
          </w:p>
        </w:tc>
        <w:tc>
          <w:tcPr>
            <w:tcW w:w="1128" w:type="dxa"/>
            <w:tcBorders>
              <w:bottom w:val="single" w:sz="2" w:space="0" w:color="4B5088"/>
            </w:tcBorders>
            <w:tcMar>
              <w:bottom w:w="35" w:type="dxa"/>
            </w:tcMar>
            <w:vAlign w:val="center"/>
          </w:tcPr>
          <w:p>
            <w:pPr>
              <w:pStyle w:val="TableContents"/>
              <w:bidi w:val="0"/>
              <w:spacing w:before="0" w:after="283"/>
              <w:jc w:val="right"/>
              <w:rPr/>
            </w:pPr>
            <w:r>
              <w:rPr/>
              <w:t>(83,520)</w:t>
            </w:r>
          </w:p>
        </w:tc>
        <w:tc>
          <w:tcPr>
            <w:tcW w:w="134" w:type="dxa"/>
            <w:tcBorders>
              <w:bottom w:val="single" w:sz="2" w:space="0" w:color="4B5088"/>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377" w:type="dxa"/>
            <w:tcBorders>
              <w:bottom w:val="single" w:sz="2" w:space="0" w:color="4B5088"/>
            </w:tcBorders>
            <w:tcMar>
              <w:bottom w:w="35" w:type="dxa"/>
            </w:tcMar>
            <w:vAlign w:val="center"/>
          </w:tcPr>
          <w:p>
            <w:pPr>
              <w:pStyle w:val="TableContents"/>
              <w:bidi w:val="0"/>
              <w:spacing w:before="0" w:after="283"/>
              <w:jc w:val="left"/>
              <w:rPr/>
            </w:pPr>
            <w:r>
              <w:rPr>
                <w:spacing w:val="-2"/>
              </w:rPr>
              <w:t>Same-Store NOI</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265" w:type="dxa"/>
            <w:tcBorders>
              <w:bottom w:val="single" w:sz="2" w:space="0" w:color="4B5088"/>
            </w:tcBorders>
            <w:tcMar>
              <w:bottom w:w="35" w:type="dxa"/>
            </w:tcMar>
            <w:vAlign w:val="center"/>
          </w:tcPr>
          <w:p>
            <w:pPr>
              <w:pStyle w:val="TableContents"/>
              <w:bidi w:val="0"/>
              <w:spacing w:before="0" w:after="283"/>
              <w:jc w:val="right"/>
              <w:rPr/>
            </w:pPr>
            <w:r>
              <w:rPr/>
              <w:t>$</w:t>
            </w:r>
          </w:p>
        </w:tc>
        <w:tc>
          <w:tcPr>
            <w:tcW w:w="1128" w:type="dxa"/>
            <w:tcBorders>
              <w:bottom w:val="single" w:sz="2" w:space="0" w:color="4B5088"/>
            </w:tcBorders>
            <w:tcMar>
              <w:bottom w:w="35" w:type="dxa"/>
            </w:tcMar>
            <w:vAlign w:val="center"/>
          </w:tcPr>
          <w:p>
            <w:pPr>
              <w:pStyle w:val="TableContents"/>
              <w:bidi w:val="0"/>
              <w:spacing w:before="0" w:after="283"/>
              <w:jc w:val="right"/>
              <w:rPr/>
            </w:pPr>
            <w:r>
              <w:rPr/>
              <w:t>681,557</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127"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265" w:type="dxa"/>
            <w:tcBorders>
              <w:bottom w:val="single" w:sz="2" w:space="0" w:color="4B5088"/>
            </w:tcBorders>
            <w:tcMar>
              <w:bottom w:w="35" w:type="dxa"/>
            </w:tcMar>
            <w:vAlign w:val="center"/>
          </w:tcPr>
          <w:p>
            <w:pPr>
              <w:pStyle w:val="TableContents"/>
              <w:bidi w:val="0"/>
              <w:spacing w:before="0" w:after="283"/>
              <w:jc w:val="right"/>
              <w:rPr/>
            </w:pPr>
            <w:r>
              <w:rPr/>
              <w:t>$</w:t>
            </w:r>
          </w:p>
        </w:tc>
        <w:tc>
          <w:tcPr>
            <w:tcW w:w="1128" w:type="dxa"/>
            <w:tcBorders>
              <w:bottom w:val="single" w:sz="2" w:space="0" w:color="4B5088"/>
            </w:tcBorders>
            <w:tcMar>
              <w:bottom w:w="35" w:type="dxa"/>
            </w:tcMar>
            <w:vAlign w:val="center"/>
          </w:tcPr>
          <w:p>
            <w:pPr>
              <w:pStyle w:val="TableContents"/>
              <w:bidi w:val="0"/>
              <w:spacing w:before="0" w:after="283"/>
              <w:jc w:val="right"/>
              <w:rPr/>
            </w:pPr>
            <w:r>
              <w:rPr/>
              <w:t>674,962</w:t>
            </w:r>
          </w:p>
        </w:tc>
        <w:tc>
          <w:tcPr>
            <w:tcW w:w="134" w:type="dxa"/>
            <w:tcBorders>
              <w:bottom w:val="single" w:sz="2" w:space="0" w:color="4B5088"/>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377"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Straight-line and free rent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265" w:type="dxa"/>
            <w:tcBorders>
              <w:bottom w:val="single" w:sz="2" w:space="0" w:color="4B5088"/>
            </w:tcBorders>
            <w:tcMar>
              <w:bottom w:w="35" w:type="dxa"/>
            </w:tcMar>
            <w:vAlign w:val="center"/>
          </w:tcPr>
          <w:p>
            <w:pPr>
              <w:pStyle w:val="TableContents"/>
              <w:bidi w:val="0"/>
              <w:spacing w:before="0" w:after="283"/>
              <w:jc w:val="right"/>
              <w:rPr/>
            </w:pPr>
            <w:r>
              <w:rPr/>
              <w:t>​</w:t>
            </w:r>
          </w:p>
        </w:tc>
        <w:tc>
          <w:tcPr>
            <w:tcW w:w="1128" w:type="dxa"/>
            <w:tcBorders>
              <w:bottom w:val="single" w:sz="2" w:space="0" w:color="4B5088"/>
            </w:tcBorders>
            <w:tcMar>
              <w:bottom w:w="35" w:type="dxa"/>
            </w:tcMar>
            <w:vAlign w:val="center"/>
          </w:tcPr>
          <w:p>
            <w:pPr>
              <w:pStyle w:val="TableContents"/>
              <w:bidi w:val="0"/>
              <w:spacing w:before="0" w:after="283"/>
              <w:jc w:val="right"/>
              <w:rPr/>
            </w:pPr>
            <w:r>
              <w:rPr/>
              <w:t>1,433</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127"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265" w:type="dxa"/>
            <w:tcBorders>
              <w:bottom w:val="single" w:sz="2" w:space="0" w:color="4B5088"/>
            </w:tcBorders>
            <w:tcMar>
              <w:bottom w:w="35" w:type="dxa"/>
            </w:tcMar>
            <w:vAlign w:val="center"/>
          </w:tcPr>
          <w:p>
            <w:pPr>
              <w:pStyle w:val="TableContents"/>
              <w:bidi w:val="0"/>
              <w:spacing w:before="0" w:after="283"/>
              <w:jc w:val="right"/>
              <w:rPr/>
            </w:pPr>
            <w:r>
              <w:rPr/>
              <w:t>​</w:t>
            </w:r>
          </w:p>
        </w:tc>
        <w:tc>
          <w:tcPr>
            <w:tcW w:w="1128" w:type="dxa"/>
            <w:tcBorders>
              <w:bottom w:val="single" w:sz="2" w:space="0" w:color="4B5088"/>
            </w:tcBorders>
            <w:tcMar>
              <w:bottom w:w="35" w:type="dxa"/>
            </w:tcMar>
            <w:vAlign w:val="center"/>
          </w:tcPr>
          <w:p>
            <w:pPr>
              <w:pStyle w:val="TableContents"/>
              <w:bidi w:val="0"/>
              <w:spacing w:before="0" w:after="283"/>
              <w:jc w:val="right"/>
              <w:rPr/>
            </w:pPr>
            <w:r>
              <w:rPr/>
              <w:t>(2,800)</w:t>
            </w:r>
          </w:p>
        </w:tc>
        <w:tc>
          <w:tcPr>
            <w:tcW w:w="134" w:type="dxa"/>
            <w:tcBorders>
              <w:bottom w:val="single" w:sz="2" w:space="0" w:color="4B5088"/>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377"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Amortization of acquired above and below-market leases, net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265" w:type="dxa"/>
            <w:tcBorders>
              <w:bottom w:val="single" w:sz="2" w:space="0" w:color="4B5088"/>
            </w:tcBorders>
            <w:tcMar>
              <w:bottom w:w="35" w:type="dxa"/>
            </w:tcMar>
            <w:vAlign w:val="center"/>
          </w:tcPr>
          <w:p>
            <w:pPr>
              <w:pStyle w:val="TableContents"/>
              <w:bidi w:val="0"/>
              <w:spacing w:before="0" w:after="283"/>
              <w:jc w:val="right"/>
              <w:rPr/>
            </w:pPr>
            <w:r>
              <w:rPr/>
              <w:t>​</w:t>
            </w:r>
          </w:p>
        </w:tc>
        <w:tc>
          <w:tcPr>
            <w:tcW w:w="1128" w:type="dxa"/>
            <w:tcBorders>
              <w:bottom w:val="single" w:sz="2" w:space="0" w:color="4B5088"/>
            </w:tcBorders>
            <w:tcMar>
              <w:bottom w:w="35" w:type="dxa"/>
            </w:tcMar>
            <w:vAlign w:val="center"/>
          </w:tcPr>
          <w:p>
            <w:pPr>
              <w:pStyle w:val="TableContents"/>
              <w:bidi w:val="0"/>
              <w:spacing w:before="0" w:after="283"/>
              <w:jc w:val="right"/>
              <w:rPr/>
            </w:pPr>
            <w:r>
              <w:rPr/>
              <w:t>3,516</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127"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265" w:type="dxa"/>
            <w:tcBorders>
              <w:bottom w:val="single" w:sz="2" w:space="0" w:color="4B5088"/>
            </w:tcBorders>
            <w:tcMar>
              <w:bottom w:w="35" w:type="dxa"/>
            </w:tcMar>
            <w:vAlign w:val="center"/>
          </w:tcPr>
          <w:p>
            <w:pPr>
              <w:pStyle w:val="TableContents"/>
              <w:bidi w:val="0"/>
              <w:spacing w:before="0" w:after="283"/>
              <w:jc w:val="right"/>
              <w:rPr/>
            </w:pPr>
            <w:r>
              <w:rPr/>
              <w:t>​</w:t>
            </w:r>
          </w:p>
        </w:tc>
        <w:tc>
          <w:tcPr>
            <w:tcW w:w="1128" w:type="dxa"/>
            <w:tcBorders>
              <w:bottom w:val="single" w:sz="2" w:space="0" w:color="4B5088"/>
            </w:tcBorders>
            <w:tcMar>
              <w:bottom w:w="35" w:type="dxa"/>
            </w:tcMar>
            <w:vAlign w:val="center"/>
          </w:tcPr>
          <w:p>
            <w:pPr>
              <w:pStyle w:val="TableContents"/>
              <w:bidi w:val="0"/>
              <w:spacing w:before="0" w:after="283"/>
              <w:jc w:val="right"/>
              <w:rPr/>
            </w:pPr>
            <w:r>
              <w:rPr/>
              <w:t>2,578</w:t>
            </w:r>
          </w:p>
        </w:tc>
        <w:tc>
          <w:tcPr>
            <w:tcW w:w="134" w:type="dxa"/>
            <w:tcBorders>
              <w:bottom w:val="single" w:sz="2" w:space="0" w:color="4B5088"/>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377"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Operating lease straight-line adjustment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265" w:type="dxa"/>
            <w:tcBorders>
              <w:bottom w:val="single" w:sz="2" w:space="0" w:color="4B5088"/>
            </w:tcBorders>
            <w:tcMar>
              <w:bottom w:w="35" w:type="dxa"/>
            </w:tcMar>
            <w:vAlign w:val="center"/>
          </w:tcPr>
          <w:p>
            <w:pPr>
              <w:pStyle w:val="TableContents"/>
              <w:bidi w:val="0"/>
              <w:spacing w:before="0" w:after="283"/>
              <w:jc w:val="right"/>
              <w:rPr/>
            </w:pPr>
            <w:r>
              <w:rPr/>
              <w:t>​</w:t>
            </w:r>
          </w:p>
        </w:tc>
        <w:tc>
          <w:tcPr>
            <w:tcW w:w="1128" w:type="dxa"/>
            <w:tcBorders>
              <w:bottom w:val="single" w:sz="2" w:space="0" w:color="4B5088"/>
            </w:tcBorders>
            <w:tcMar>
              <w:bottom w:w="35" w:type="dxa"/>
            </w:tcMar>
            <w:vAlign w:val="center"/>
          </w:tcPr>
          <w:p>
            <w:pPr>
              <w:pStyle w:val="TableContents"/>
              <w:bidi w:val="0"/>
              <w:spacing w:before="0" w:after="283"/>
              <w:jc w:val="right"/>
              <w:rPr/>
            </w:pPr>
            <w:r>
              <w:rPr/>
              <w:t>815</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127"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265" w:type="dxa"/>
            <w:tcBorders>
              <w:bottom w:val="single" w:sz="2" w:space="0" w:color="4B5088"/>
            </w:tcBorders>
            <w:tcMar>
              <w:bottom w:w="35" w:type="dxa"/>
            </w:tcMar>
            <w:vAlign w:val="center"/>
          </w:tcPr>
          <w:p>
            <w:pPr>
              <w:pStyle w:val="TableContents"/>
              <w:bidi w:val="0"/>
              <w:spacing w:before="0" w:after="283"/>
              <w:jc w:val="right"/>
              <w:rPr/>
            </w:pPr>
            <w:r>
              <w:rPr/>
              <w:t>​</w:t>
            </w:r>
          </w:p>
        </w:tc>
        <w:tc>
          <w:tcPr>
            <w:tcW w:w="1128" w:type="dxa"/>
            <w:tcBorders>
              <w:bottom w:val="single" w:sz="2" w:space="0" w:color="4B5088"/>
            </w:tcBorders>
            <w:tcMar>
              <w:bottom w:w="35" w:type="dxa"/>
            </w:tcMar>
            <w:vAlign w:val="center"/>
          </w:tcPr>
          <w:p>
            <w:pPr>
              <w:pStyle w:val="TableContents"/>
              <w:bidi w:val="0"/>
              <w:spacing w:before="0" w:after="283"/>
              <w:jc w:val="right"/>
              <w:rPr/>
            </w:pPr>
            <w:r>
              <w:rPr/>
              <w:t>815</w:t>
            </w:r>
          </w:p>
        </w:tc>
        <w:tc>
          <w:tcPr>
            <w:tcW w:w="134" w:type="dxa"/>
            <w:tcBorders>
              <w:bottom w:val="single" w:sz="2" w:space="0" w:color="4B5088"/>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377"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SLG share of unconsolidated JV straight-line and free rent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265" w:type="dxa"/>
            <w:tcBorders>
              <w:bottom w:val="single" w:sz="2" w:space="0" w:color="4B5088"/>
            </w:tcBorders>
            <w:tcMar>
              <w:bottom w:w="35" w:type="dxa"/>
            </w:tcMar>
            <w:vAlign w:val="center"/>
          </w:tcPr>
          <w:p>
            <w:pPr>
              <w:pStyle w:val="TableContents"/>
              <w:bidi w:val="0"/>
              <w:spacing w:before="0" w:after="283"/>
              <w:jc w:val="right"/>
              <w:rPr/>
            </w:pPr>
            <w:r>
              <w:rPr/>
              <w:t>​</w:t>
            </w:r>
          </w:p>
        </w:tc>
        <w:tc>
          <w:tcPr>
            <w:tcW w:w="1128" w:type="dxa"/>
            <w:tcBorders>
              <w:bottom w:val="single" w:sz="2" w:space="0" w:color="4B5088"/>
            </w:tcBorders>
            <w:tcMar>
              <w:bottom w:w="35" w:type="dxa"/>
            </w:tcMar>
            <w:vAlign w:val="center"/>
          </w:tcPr>
          <w:p>
            <w:pPr>
              <w:pStyle w:val="TableContents"/>
              <w:bidi w:val="0"/>
              <w:spacing w:before="0" w:after="283"/>
              <w:jc w:val="right"/>
              <w:rPr/>
            </w:pPr>
            <w:r>
              <w:rPr/>
              <w:t>(32,519)</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127"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265" w:type="dxa"/>
            <w:tcBorders>
              <w:bottom w:val="single" w:sz="2" w:space="0" w:color="4B5088"/>
            </w:tcBorders>
            <w:tcMar>
              <w:bottom w:w="35" w:type="dxa"/>
            </w:tcMar>
            <w:vAlign w:val="center"/>
          </w:tcPr>
          <w:p>
            <w:pPr>
              <w:pStyle w:val="TableContents"/>
              <w:bidi w:val="0"/>
              <w:spacing w:before="0" w:after="283"/>
              <w:jc w:val="right"/>
              <w:rPr/>
            </w:pPr>
            <w:r>
              <w:rPr/>
              <w:t>​</w:t>
            </w:r>
          </w:p>
        </w:tc>
        <w:tc>
          <w:tcPr>
            <w:tcW w:w="1128" w:type="dxa"/>
            <w:tcBorders>
              <w:bottom w:val="single" w:sz="2" w:space="0" w:color="4B5088"/>
            </w:tcBorders>
            <w:tcMar>
              <w:bottom w:w="35" w:type="dxa"/>
            </w:tcMar>
            <w:vAlign w:val="center"/>
          </w:tcPr>
          <w:p>
            <w:pPr>
              <w:pStyle w:val="TableContents"/>
              <w:bidi w:val="0"/>
              <w:spacing w:before="0" w:after="283"/>
              <w:jc w:val="right"/>
              <w:rPr/>
            </w:pPr>
            <w:r>
              <w:rPr/>
              <w:t>(12,763)</w:t>
            </w:r>
          </w:p>
        </w:tc>
        <w:tc>
          <w:tcPr>
            <w:tcW w:w="134" w:type="dxa"/>
            <w:tcBorders>
              <w:bottom w:val="single" w:sz="2" w:space="0" w:color="4B5088"/>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377" w:type="dxa"/>
            <w:tcBorders>
              <w:bottom w:val="single" w:sz="2" w:space="0" w:color="4B5088"/>
            </w:tcBorders>
            <w:tcMar>
              <w:bottom w:w="28" w:type="dxa"/>
            </w:tcMar>
            <w:vAlign w:val="center"/>
          </w:tcPr>
          <w:p>
            <w:pPr>
              <w:pStyle w:val="TableContents"/>
              <w:bidi w:val="0"/>
              <w:spacing w:before="0" w:after="283"/>
              <w:jc w:val="left"/>
              <w:rPr>
                <w:spacing w:val="-2"/>
              </w:rPr>
            </w:pPr>
            <w:r>
              <w:rPr>
                <w:spacing w:val="-2"/>
              </w:rPr>
              <w:t xml:space="preserve">SLG share of unconsolidated JV amortization of acquired above and below-market leases, net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265" w:type="dxa"/>
            <w:tcBorders>
              <w:bottom w:val="single" w:sz="2" w:space="0" w:color="4B5088"/>
            </w:tcBorders>
            <w:tcMar>
              <w:bottom w:w="28" w:type="dxa"/>
            </w:tcMar>
            <w:vAlign w:val="center"/>
          </w:tcPr>
          <w:p>
            <w:pPr>
              <w:pStyle w:val="TableContents"/>
              <w:bidi w:val="0"/>
              <w:spacing w:before="0" w:after="283"/>
              <w:jc w:val="right"/>
              <w:rPr/>
            </w:pPr>
            <w:r>
              <w:rPr/>
              <w:t>​</w:t>
            </w:r>
          </w:p>
        </w:tc>
        <w:tc>
          <w:tcPr>
            <w:tcW w:w="1128" w:type="dxa"/>
            <w:tcBorders>
              <w:bottom w:val="single" w:sz="2" w:space="0" w:color="4B5088"/>
            </w:tcBorders>
            <w:tcMar>
              <w:bottom w:w="28" w:type="dxa"/>
            </w:tcMar>
            <w:vAlign w:val="center"/>
          </w:tcPr>
          <w:p>
            <w:pPr>
              <w:pStyle w:val="TableContents"/>
              <w:bidi w:val="0"/>
              <w:spacing w:before="0" w:after="283"/>
              <w:jc w:val="right"/>
              <w:rPr/>
            </w:pPr>
            <w:r>
              <w:rPr/>
              <w:t>(24,826)</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127"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265" w:type="dxa"/>
            <w:tcBorders>
              <w:bottom w:val="single" w:sz="2" w:space="0" w:color="4B5088"/>
            </w:tcBorders>
            <w:tcMar>
              <w:bottom w:w="28" w:type="dxa"/>
            </w:tcMar>
            <w:vAlign w:val="center"/>
          </w:tcPr>
          <w:p>
            <w:pPr>
              <w:pStyle w:val="TableContents"/>
              <w:bidi w:val="0"/>
              <w:spacing w:before="0" w:after="283"/>
              <w:jc w:val="right"/>
              <w:rPr/>
            </w:pPr>
            <w:r>
              <w:rPr/>
              <w:t>​</w:t>
            </w:r>
          </w:p>
        </w:tc>
        <w:tc>
          <w:tcPr>
            <w:tcW w:w="1128" w:type="dxa"/>
            <w:tcBorders>
              <w:bottom w:val="single" w:sz="2" w:space="0" w:color="4B5088"/>
            </w:tcBorders>
            <w:tcMar>
              <w:bottom w:w="28" w:type="dxa"/>
            </w:tcMar>
            <w:vAlign w:val="center"/>
          </w:tcPr>
          <w:p>
            <w:pPr>
              <w:pStyle w:val="TableContents"/>
              <w:bidi w:val="0"/>
              <w:spacing w:before="0" w:after="283"/>
              <w:jc w:val="right"/>
              <w:rPr/>
            </w:pPr>
            <w:r>
              <w:rPr/>
              <w:t>(24,405)</w:t>
            </w:r>
          </w:p>
        </w:tc>
        <w:tc>
          <w:tcPr>
            <w:tcW w:w="134" w:type="dxa"/>
            <w:tcBorders>
              <w:bottom w:val="single" w:sz="2" w:space="0" w:color="4B5088"/>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377"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SLG share of unconsolidated JV ground lease straight-line adjustment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265" w:type="dxa"/>
            <w:tcBorders>
              <w:bottom w:val="single" w:sz="2" w:space="0" w:color="4B5088"/>
            </w:tcBorders>
            <w:tcMar>
              <w:bottom w:w="35" w:type="dxa"/>
            </w:tcMar>
            <w:vAlign w:val="center"/>
          </w:tcPr>
          <w:p>
            <w:pPr>
              <w:pStyle w:val="TableContents"/>
              <w:bidi w:val="0"/>
              <w:spacing w:before="0" w:after="283"/>
              <w:jc w:val="right"/>
              <w:rPr/>
            </w:pPr>
            <w:r>
              <w:rPr/>
              <w:t>​</w:t>
            </w:r>
          </w:p>
        </w:tc>
        <w:tc>
          <w:tcPr>
            <w:tcW w:w="1128" w:type="dxa"/>
            <w:tcBorders>
              <w:bottom w:val="single" w:sz="2" w:space="0" w:color="4B5088"/>
            </w:tcBorders>
            <w:tcMar>
              <w:bottom w:w="35" w:type="dxa"/>
            </w:tcMar>
            <w:vAlign w:val="center"/>
          </w:tcPr>
          <w:p>
            <w:pPr>
              <w:pStyle w:val="TableContents"/>
              <w:bidi w:val="0"/>
              <w:spacing w:before="0" w:after="283"/>
              <w:jc w:val="right"/>
              <w:rPr/>
            </w:pPr>
            <w:r>
              <w:rPr/>
              <w:t>—</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127"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265" w:type="dxa"/>
            <w:tcBorders>
              <w:bottom w:val="single" w:sz="2" w:space="0" w:color="4B5088"/>
            </w:tcBorders>
            <w:tcMar>
              <w:bottom w:w="35" w:type="dxa"/>
            </w:tcMar>
            <w:vAlign w:val="center"/>
          </w:tcPr>
          <w:p>
            <w:pPr>
              <w:pStyle w:val="TableContents"/>
              <w:bidi w:val="0"/>
              <w:spacing w:before="0" w:after="283"/>
              <w:jc w:val="right"/>
              <w:rPr/>
            </w:pPr>
            <w:r>
              <w:rPr/>
              <w:t>​</w:t>
            </w:r>
          </w:p>
        </w:tc>
        <w:tc>
          <w:tcPr>
            <w:tcW w:w="1128" w:type="dxa"/>
            <w:tcBorders>
              <w:bottom w:val="single" w:sz="2" w:space="0" w:color="4B5088"/>
            </w:tcBorders>
            <w:tcMar>
              <w:bottom w:w="35" w:type="dxa"/>
            </w:tcMar>
            <w:vAlign w:val="center"/>
          </w:tcPr>
          <w:p>
            <w:pPr>
              <w:pStyle w:val="TableContents"/>
              <w:bidi w:val="0"/>
              <w:spacing w:before="0" w:after="283"/>
              <w:jc w:val="right"/>
              <w:rPr/>
            </w:pPr>
            <w:r>
              <w:rPr/>
              <w:t>—</w:t>
            </w:r>
          </w:p>
        </w:tc>
        <w:tc>
          <w:tcPr>
            <w:tcW w:w="134" w:type="dxa"/>
            <w:tcBorders>
              <w:bottom w:val="single" w:sz="2" w:space="0" w:color="4B5088"/>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377" w:type="dxa"/>
            <w:tcBorders>
              <w:bottom w:val="single" w:sz="2" w:space="0" w:color="4B5088"/>
            </w:tcBorders>
            <w:tcMar>
              <w:bottom w:w="35" w:type="dxa"/>
            </w:tcMar>
            <w:vAlign w:val="center"/>
          </w:tcPr>
          <w:p>
            <w:pPr>
              <w:pStyle w:val="TableContents"/>
              <w:bidi w:val="0"/>
              <w:spacing w:before="0" w:after="283"/>
              <w:jc w:val="left"/>
              <w:rPr/>
            </w:pPr>
            <w:r>
              <w:rPr>
                <w:spacing w:val="-2"/>
              </w:rPr>
              <w:t>Same-store cash NOI</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265" w:type="dxa"/>
            <w:tcBorders>
              <w:bottom w:val="single" w:sz="2" w:space="0" w:color="4B5088"/>
            </w:tcBorders>
            <w:tcMar>
              <w:bottom w:w="35" w:type="dxa"/>
            </w:tcMar>
            <w:vAlign w:val="center"/>
          </w:tcPr>
          <w:p>
            <w:pPr>
              <w:pStyle w:val="TableContents"/>
              <w:bidi w:val="0"/>
              <w:spacing w:before="0" w:after="283"/>
              <w:jc w:val="right"/>
              <w:rPr/>
            </w:pPr>
            <w:r>
              <w:rPr/>
              <w:t>$</w:t>
            </w:r>
          </w:p>
        </w:tc>
        <w:tc>
          <w:tcPr>
            <w:tcW w:w="1128" w:type="dxa"/>
            <w:tcBorders>
              <w:bottom w:val="single" w:sz="2" w:space="0" w:color="4B5088"/>
            </w:tcBorders>
            <w:tcMar>
              <w:bottom w:w="35" w:type="dxa"/>
            </w:tcMar>
            <w:vAlign w:val="center"/>
          </w:tcPr>
          <w:p>
            <w:pPr>
              <w:pStyle w:val="TableContents"/>
              <w:bidi w:val="0"/>
              <w:spacing w:before="0" w:after="283"/>
              <w:jc w:val="right"/>
              <w:rPr/>
            </w:pPr>
            <w:r>
              <w:rPr/>
              <w:t>629,976</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127"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265" w:type="dxa"/>
            <w:tcBorders>
              <w:bottom w:val="single" w:sz="2" w:space="0" w:color="4B5088"/>
            </w:tcBorders>
            <w:tcMar>
              <w:bottom w:w="35" w:type="dxa"/>
            </w:tcMar>
            <w:vAlign w:val="center"/>
          </w:tcPr>
          <w:p>
            <w:pPr>
              <w:pStyle w:val="TableContents"/>
              <w:bidi w:val="0"/>
              <w:spacing w:before="0" w:after="283"/>
              <w:jc w:val="right"/>
              <w:rPr/>
            </w:pPr>
            <w:r>
              <w:rPr/>
              <w:t>$</w:t>
            </w:r>
          </w:p>
        </w:tc>
        <w:tc>
          <w:tcPr>
            <w:tcW w:w="1128" w:type="dxa"/>
            <w:tcBorders>
              <w:bottom w:val="single" w:sz="2" w:space="0" w:color="4B5088"/>
            </w:tcBorders>
            <w:tcMar>
              <w:bottom w:w="35" w:type="dxa"/>
            </w:tcMar>
            <w:vAlign w:val="center"/>
          </w:tcPr>
          <w:p>
            <w:pPr>
              <w:pStyle w:val="TableContents"/>
              <w:bidi w:val="0"/>
              <w:spacing w:before="0" w:after="283"/>
              <w:jc w:val="right"/>
              <w:rPr/>
            </w:pPr>
            <w:r>
              <w:rPr/>
              <w:t>638,387</w:t>
            </w:r>
          </w:p>
        </w:tc>
        <w:tc>
          <w:tcPr>
            <w:tcW w:w="134" w:type="dxa"/>
            <w:tcBorders>
              <w:bottom w:val="single" w:sz="2" w:space="0" w:color="4B5088"/>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377"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Lease termination income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265" w:type="dxa"/>
            <w:tcBorders>
              <w:bottom w:val="single" w:sz="2" w:space="0" w:color="4B5088"/>
            </w:tcBorders>
            <w:tcMar>
              <w:bottom w:w="35" w:type="dxa"/>
            </w:tcMar>
            <w:vAlign w:val="center"/>
          </w:tcPr>
          <w:p>
            <w:pPr>
              <w:pStyle w:val="TableContents"/>
              <w:bidi w:val="0"/>
              <w:spacing w:before="0" w:after="283"/>
              <w:jc w:val="right"/>
              <w:rPr/>
            </w:pPr>
            <w:r>
              <w:rPr/>
              <w:t>​</w:t>
            </w:r>
          </w:p>
        </w:tc>
        <w:tc>
          <w:tcPr>
            <w:tcW w:w="1128" w:type="dxa"/>
            <w:tcBorders>
              <w:bottom w:val="single" w:sz="2" w:space="0" w:color="4B5088"/>
            </w:tcBorders>
            <w:tcMar>
              <w:bottom w:w="35" w:type="dxa"/>
            </w:tcMar>
            <w:vAlign w:val="center"/>
          </w:tcPr>
          <w:p>
            <w:pPr>
              <w:pStyle w:val="TableContents"/>
              <w:bidi w:val="0"/>
              <w:spacing w:before="0" w:after="283"/>
              <w:jc w:val="right"/>
              <w:rPr/>
            </w:pPr>
            <w:r>
              <w:rPr/>
              <w:t>(5,629)</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127"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265" w:type="dxa"/>
            <w:tcBorders>
              <w:bottom w:val="single" w:sz="2" w:space="0" w:color="4B5088"/>
            </w:tcBorders>
            <w:tcMar>
              <w:bottom w:w="35" w:type="dxa"/>
            </w:tcMar>
            <w:vAlign w:val="center"/>
          </w:tcPr>
          <w:p>
            <w:pPr>
              <w:pStyle w:val="TableContents"/>
              <w:bidi w:val="0"/>
              <w:spacing w:before="0" w:after="283"/>
              <w:jc w:val="right"/>
              <w:rPr/>
            </w:pPr>
            <w:r>
              <w:rPr/>
              <w:t>​</w:t>
            </w:r>
          </w:p>
        </w:tc>
        <w:tc>
          <w:tcPr>
            <w:tcW w:w="1128" w:type="dxa"/>
            <w:tcBorders>
              <w:bottom w:val="single" w:sz="2" w:space="0" w:color="4B5088"/>
            </w:tcBorders>
            <w:tcMar>
              <w:bottom w:w="35" w:type="dxa"/>
            </w:tcMar>
            <w:vAlign w:val="center"/>
          </w:tcPr>
          <w:p>
            <w:pPr>
              <w:pStyle w:val="TableContents"/>
              <w:bidi w:val="0"/>
              <w:spacing w:before="0" w:after="283"/>
              <w:jc w:val="right"/>
              <w:rPr/>
            </w:pPr>
            <w:r>
              <w:rPr/>
              <w:t>(6,344)</w:t>
            </w:r>
          </w:p>
        </w:tc>
        <w:tc>
          <w:tcPr>
            <w:tcW w:w="134" w:type="dxa"/>
            <w:tcBorders>
              <w:bottom w:val="single" w:sz="2" w:space="0" w:color="4B5088"/>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377"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SLG share of unconsolidated JV lease termination income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265" w:type="dxa"/>
            <w:tcBorders>
              <w:bottom w:val="single" w:sz="2" w:space="0" w:color="4B5088"/>
            </w:tcBorders>
            <w:tcMar>
              <w:bottom w:w="35" w:type="dxa"/>
            </w:tcMar>
            <w:vAlign w:val="center"/>
          </w:tcPr>
          <w:p>
            <w:pPr>
              <w:pStyle w:val="TableContents"/>
              <w:bidi w:val="0"/>
              <w:spacing w:before="0" w:after="283"/>
              <w:jc w:val="right"/>
              <w:rPr/>
            </w:pPr>
            <w:r>
              <w:rPr/>
              <w:t>​</w:t>
            </w:r>
          </w:p>
        </w:tc>
        <w:tc>
          <w:tcPr>
            <w:tcW w:w="1128" w:type="dxa"/>
            <w:tcBorders>
              <w:bottom w:val="single" w:sz="2" w:space="0" w:color="4B5088"/>
            </w:tcBorders>
            <w:tcMar>
              <w:bottom w:w="35" w:type="dxa"/>
            </w:tcMar>
            <w:vAlign w:val="center"/>
          </w:tcPr>
          <w:p>
            <w:pPr>
              <w:pStyle w:val="TableContents"/>
              <w:bidi w:val="0"/>
              <w:spacing w:before="0" w:after="283"/>
              <w:jc w:val="right"/>
              <w:rPr/>
            </w:pPr>
            <w:r>
              <w:rPr/>
              <w:t>(7,602)</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127"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4B5088"/>
            </w:tcBorders>
            <w:tcMar>
              <w:bottom w:w="28" w:type="dxa"/>
            </w:tcMar>
            <w:vAlign w:val="center"/>
          </w:tcPr>
          <w:p>
            <w:pPr>
              <w:pStyle w:val="TableContents"/>
              <w:bidi w:val="0"/>
              <w:spacing w:before="0" w:after="283"/>
              <w:jc w:val="left"/>
              <w:rPr/>
            </w:pPr>
            <w:r>
              <w:rPr/>
              <w:t>​</w:t>
            </w:r>
          </w:p>
        </w:tc>
        <w:tc>
          <w:tcPr>
            <w:tcW w:w="265" w:type="dxa"/>
            <w:tcBorders>
              <w:bottom w:val="single" w:sz="2" w:space="0" w:color="4B5088"/>
            </w:tcBorders>
            <w:tcMar>
              <w:bottom w:w="35" w:type="dxa"/>
            </w:tcMar>
            <w:vAlign w:val="center"/>
          </w:tcPr>
          <w:p>
            <w:pPr>
              <w:pStyle w:val="TableContents"/>
              <w:bidi w:val="0"/>
              <w:spacing w:before="0" w:after="283"/>
              <w:jc w:val="right"/>
              <w:rPr/>
            </w:pPr>
            <w:r>
              <w:rPr/>
              <w:t>​</w:t>
            </w:r>
          </w:p>
        </w:tc>
        <w:tc>
          <w:tcPr>
            <w:tcW w:w="1128" w:type="dxa"/>
            <w:tcBorders>
              <w:bottom w:val="single" w:sz="2" w:space="0" w:color="4B5088"/>
            </w:tcBorders>
            <w:tcMar>
              <w:bottom w:w="35" w:type="dxa"/>
            </w:tcMar>
            <w:vAlign w:val="center"/>
          </w:tcPr>
          <w:p>
            <w:pPr>
              <w:pStyle w:val="TableContents"/>
              <w:bidi w:val="0"/>
              <w:spacing w:before="0" w:after="283"/>
              <w:jc w:val="right"/>
              <w:rPr/>
            </w:pPr>
            <w:r>
              <w:rPr/>
              <w:t>(2,515)</w:t>
            </w:r>
          </w:p>
        </w:tc>
        <w:tc>
          <w:tcPr>
            <w:tcW w:w="134" w:type="dxa"/>
            <w:tcBorders>
              <w:bottom w:val="single" w:sz="2" w:space="0" w:color="4B5088"/>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377" w:type="dxa"/>
            <w:tcBorders>
              <w:bottom w:val="single" w:sz="2" w:space="0" w:color="1F2668"/>
            </w:tcBorders>
            <w:tcMar>
              <w:bottom w:w="35" w:type="dxa"/>
            </w:tcMar>
            <w:vAlign w:val="center"/>
          </w:tcPr>
          <w:p>
            <w:pPr>
              <w:pStyle w:val="TableContents"/>
              <w:bidi w:val="0"/>
              <w:spacing w:before="0" w:after="283"/>
              <w:jc w:val="left"/>
              <w:rPr/>
            </w:pPr>
            <w:r>
              <w:rPr>
                <w:spacing w:val="-2"/>
              </w:rPr>
              <w:t>Same-store cash NOI excluding lease termination income</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1F2668"/>
            </w:tcBorders>
            <w:tcMar>
              <w:bottom w:w="28" w:type="dxa"/>
            </w:tcMar>
            <w:vAlign w:val="center"/>
          </w:tcPr>
          <w:p>
            <w:pPr>
              <w:pStyle w:val="TableContents"/>
              <w:bidi w:val="0"/>
              <w:spacing w:before="0" w:after="283"/>
              <w:jc w:val="left"/>
              <w:rPr/>
            </w:pPr>
            <w:r>
              <w:rPr/>
              <w:t>​</w:t>
            </w:r>
          </w:p>
        </w:tc>
        <w:tc>
          <w:tcPr>
            <w:tcW w:w="265" w:type="dxa"/>
            <w:tcBorders>
              <w:bottom w:val="single" w:sz="2" w:space="0" w:color="1F2668"/>
            </w:tcBorders>
            <w:tcMar>
              <w:bottom w:w="35" w:type="dxa"/>
            </w:tcMar>
            <w:vAlign w:val="center"/>
          </w:tcPr>
          <w:p>
            <w:pPr>
              <w:pStyle w:val="TableContents"/>
              <w:bidi w:val="0"/>
              <w:spacing w:before="0" w:after="283"/>
              <w:jc w:val="right"/>
              <w:rPr/>
            </w:pPr>
            <w:r>
              <w:rPr/>
              <w:t>$</w:t>
            </w:r>
          </w:p>
        </w:tc>
        <w:tc>
          <w:tcPr>
            <w:tcW w:w="1128" w:type="dxa"/>
            <w:tcBorders>
              <w:bottom w:val="single" w:sz="2" w:space="0" w:color="1F2668"/>
            </w:tcBorders>
            <w:tcMar>
              <w:bottom w:w="35" w:type="dxa"/>
            </w:tcMar>
            <w:vAlign w:val="center"/>
          </w:tcPr>
          <w:p>
            <w:pPr>
              <w:pStyle w:val="TableContents"/>
              <w:bidi w:val="0"/>
              <w:spacing w:before="0" w:after="283"/>
              <w:jc w:val="right"/>
              <w:rPr/>
            </w:pPr>
            <w:r>
              <w:rPr/>
              <w:t>616,745</w:t>
            </w:r>
          </w:p>
        </w:tc>
        <w:tc>
          <w:tcPr>
            <w:tcW w:w="127" w:type="dxa"/>
            <w:tcBorders>
              <w:bottom w:val="single" w:sz="2" w:space="0" w:color="1F2668"/>
            </w:tcBorders>
            <w:tcMar>
              <w:bottom w:w="28" w:type="dxa"/>
            </w:tcMar>
            <w:vAlign w:val="center"/>
          </w:tcPr>
          <w:p>
            <w:pPr>
              <w:pStyle w:val="TableContents"/>
              <w:bidi w:val="0"/>
              <w:spacing w:before="0" w:after="283"/>
              <w:jc w:val="left"/>
              <w:rPr/>
            </w:pPr>
            <w:r>
              <w:rPr/>
              <w:t>​</w:t>
            </w:r>
          </w:p>
        </w:tc>
        <w:tc>
          <w:tcPr>
            <w:tcW w:w="127"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1F2668"/>
            </w:tcBorders>
            <w:tcMar>
              <w:bottom w:w="28" w:type="dxa"/>
            </w:tcMar>
            <w:vAlign w:val="center"/>
          </w:tcPr>
          <w:p>
            <w:pPr>
              <w:pStyle w:val="TableContents"/>
              <w:bidi w:val="0"/>
              <w:spacing w:before="0" w:after="283"/>
              <w:jc w:val="left"/>
              <w:rPr/>
            </w:pPr>
            <w:r>
              <w:rPr/>
              <w:t>​</w:t>
            </w:r>
          </w:p>
        </w:tc>
        <w:tc>
          <w:tcPr>
            <w:tcW w:w="265" w:type="dxa"/>
            <w:tcBorders>
              <w:bottom w:val="single" w:sz="2" w:space="0" w:color="1F2668"/>
            </w:tcBorders>
            <w:tcMar>
              <w:bottom w:w="35" w:type="dxa"/>
            </w:tcMar>
            <w:vAlign w:val="center"/>
          </w:tcPr>
          <w:p>
            <w:pPr>
              <w:pStyle w:val="TableContents"/>
              <w:bidi w:val="0"/>
              <w:spacing w:before="0" w:after="283"/>
              <w:jc w:val="right"/>
              <w:rPr/>
            </w:pPr>
            <w:r>
              <w:rPr/>
              <w:t>$</w:t>
            </w:r>
          </w:p>
        </w:tc>
        <w:tc>
          <w:tcPr>
            <w:tcW w:w="1128" w:type="dxa"/>
            <w:tcBorders>
              <w:bottom w:val="single" w:sz="2" w:space="0" w:color="1F2668"/>
            </w:tcBorders>
            <w:tcMar>
              <w:bottom w:w="35" w:type="dxa"/>
            </w:tcMar>
            <w:vAlign w:val="center"/>
          </w:tcPr>
          <w:p>
            <w:pPr>
              <w:pStyle w:val="TableContents"/>
              <w:bidi w:val="0"/>
              <w:spacing w:before="0" w:after="283"/>
              <w:jc w:val="right"/>
              <w:rPr/>
            </w:pPr>
            <w:r>
              <w:rPr/>
              <w:t>629,528</w:t>
            </w:r>
          </w:p>
        </w:tc>
        <w:tc>
          <w:tcPr>
            <w:tcW w:w="134" w:type="dxa"/>
            <w:tcBorders>
              <w:bottom w:val="single" w:sz="2" w:space="0" w:color="1F2668"/>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360" w:type="dxa"/>
        <w:jc w:val="left"/>
        <w:tblInd w:w="900" w:type="dxa"/>
        <w:tblLayout w:type="fixed"/>
        <w:tblCellMar>
          <w:top w:w="0" w:type="dxa"/>
          <w:left w:w="0" w:type="dxa"/>
          <w:bottom w:w="0" w:type="dxa"/>
          <w:right w:w="0" w:type="dxa"/>
        </w:tblCellMar>
      </w:tblPr>
      <w:tblGrid>
        <w:gridCol w:w="124"/>
        <w:gridCol w:w="481"/>
        <w:gridCol w:w="109"/>
        <w:gridCol w:w="109"/>
        <w:gridCol w:w="4383"/>
        <w:gridCol w:w="154"/>
      </w:tblGrid>
      <w:tr>
        <w:trPr/>
        <w:tc>
          <w:tcPr>
            <w:tcW w:w="124" w:type="dxa"/>
            <w:tcBorders/>
            <w:vAlign w:val="center"/>
          </w:tcPr>
          <w:p>
            <w:pPr>
              <w:pStyle w:val="TableContents"/>
              <w:bidi w:val="0"/>
              <w:spacing w:before="0" w:after="283"/>
              <w:jc w:val="left"/>
              <w:rPr/>
            </w:pPr>
            <w:r>
              <w:rPr/>
              <w:t>​</w:t>
            </w:r>
          </w:p>
        </w:tc>
        <w:tc>
          <w:tcPr>
            <w:tcW w:w="481" w:type="dxa"/>
            <w:tcBorders/>
            <w:vAlign w:val="center"/>
          </w:tcPr>
          <w:p>
            <w:pPr>
              <w:pStyle w:val="TableContents"/>
              <w:bidi w:val="0"/>
              <w:spacing w:before="0" w:after="283"/>
              <w:jc w:val="left"/>
              <w:rPr/>
            </w:pPr>
            <w:r>
              <w:rPr/>
              <w:t>A-4</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383" w:type="dxa"/>
            <w:tcBorders/>
            <w:vAlign w:val="center"/>
          </w:tcPr>
          <w:p>
            <w:pPr>
              <w:pStyle w:val="TableContents"/>
              <w:bidi w:val="0"/>
              <w:spacing w:lineRule="atLeast" w:line="200" w:before="0" w:after="0"/>
              <w:jc w:val="left"/>
              <w:rPr/>
            </w:pPr>
            <w:r>
              <w:rPr>
                <w:spacing w:val="-2"/>
              </w:rPr>
              <w:t>    </w:t>
            </w:r>
            <w:r>
              <w:rPr>
                <w:spacing w:val="-2"/>
                <w:sz w:val="16"/>
              </w:rPr>
              <w:t>SL GREEN REALTY CORP. 2026 PROXY STATEMENT</w:t>
            </w:r>
            <w:r>
              <w:rPr>
                <w:sz w:val="16"/>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20" w:before="560" w:after="154"/>
        <w:ind w:left="900" w:right="0" w:hanging="0"/>
        <w:jc w:val="left"/>
        <w:rPr>
          <w:rFonts w:ascii="Arial;Helvetica;sans-serif" w:hAnsi="Arial;Helvetica;sans-serif"/>
          <w:b/>
          <w:i/>
          <w:caps w:val="false"/>
          <w:smallCaps w:val="false"/>
          <w:color w:val="1F2668"/>
          <w:sz w:val="18"/>
        </w:rPr>
      </w:pPr>
      <w:r>
        <w:rPr>
          <w:rFonts w:ascii="Arial;Helvetica;sans-serif" w:hAnsi="Arial;Helvetica;sans-serif"/>
          <w:b/>
          <w:i/>
          <w:caps w:val="false"/>
          <w:smallCaps w:val="false"/>
          <w:color w:val="1F2668"/>
          <w:spacing w:val="-2"/>
          <w:sz w:val="18"/>
        </w:rPr>
        <w:t>Notes:</w:t>
      </w:r>
      <w:r>
        <w:rPr>
          <w:rFonts w:ascii="Arial;Helvetica;sans-serif" w:hAnsi="Arial;Helvetica;sans-serif"/>
          <w:b/>
          <w:i/>
          <w:caps w:val="false"/>
          <w:smallCaps w:val="false"/>
          <w:color w:val="000000"/>
          <w:spacing w:val="4"/>
          <w:sz w:val="18"/>
        </w:rPr>
        <w:t xml:space="preserve"> </w:t>
      </w:r>
    </w:p>
    <w:p>
      <w:pPr>
        <w:pStyle w:val="TextBody"/>
        <w:bidi w:val="0"/>
        <w:spacing w:lineRule="atLeast" w:line="220" w:before="240" w:after="283"/>
        <w:jc w:val="left"/>
        <w:rPr>
          <w:rFonts w:ascii="Arial;Helvetica;sans-serif" w:hAnsi="Arial;Helvetica;sans-serif"/>
          <w:b/>
          <w:i w:val="false"/>
          <w:caps w:val="false"/>
          <w:smallCaps w:val="false"/>
          <w:color w:val="1F2668"/>
          <w:sz w:val="18"/>
        </w:rPr>
      </w:pPr>
      <w:r>
        <w:rPr>
          <w:rFonts w:ascii="Arial;Helvetica;sans-serif" w:hAnsi="Arial;Helvetica;sans-serif"/>
          <w:b/>
          <w:i w:val="false"/>
          <w:caps w:val="false"/>
          <w:smallCaps w:val="false"/>
          <w:color w:val="1F2668"/>
          <w:spacing w:val="-2"/>
          <w:sz w:val="18"/>
          <w:u w:val="single"/>
        </w:rPr>
        <w:t>Funds from Operations</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Funds from Operations, or FFO, is a widely recognized non-GAAP financial measure of REIT performance. We compute FFO in accordance with standards established by NAREIT, which may not be comparable to FFO reported by other REITs that do not compute FFO in accordance with the NAREIT definition, or that interpret the NAREIT definition differently than we do. The revised White Paper on FFO approved by the Board of Governors of NAREIT in April 2002, and subsequently amended in December 2018, defines FFO as net income (loss) (computed in accordance with GAAP), excluding gains (or losses) from sales of properties, and real estate related impairment charges, plus real estate related depreciation and amortization and after adjustments for unconsolidated partnerships and joint ventures.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We present FFO because we consider it an important supplemental measure of our operating performance and believe that it is frequently used by securities analysts, investors and other interested parties in the evaluation of REITs, particularly those that own and operate commercial office properties. We also use FFO as one of several criteria to determine performance-based compensation for members of its senior management. FFO is intended to exclude GAAP historical cost depreciation and amortization of real estate and related assets, which assumes that the value of real estate assets diminishes ratably over time. Historically, however, real estate values have risen or fallen with market conditions. Because FFO excludes depreciation and amortization unique to real estate, gains and losses from property dispositions, and real estate related impairment charges, it provides a performance measure that, when compared year over year, reflects the impact to operations from trends in occupancy rates, rental rates, operating costs, and interest costs, providing perspective not immediately apparent from net income. FFO does not represent cash generated from operating activities in accordance with GAAP and should not be considered as an alternative to net income (determined in accordance with GAAP), as an indication of our financial performance or to cash flow from operating activities (determined in accordance with GAAP) as a measure of our liquidity, nor is it indicative of funds available to fund our cash needs, including our ability to make cash distributions.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240" w:after="283"/>
        <w:jc w:val="left"/>
        <w:rPr>
          <w:rFonts w:ascii="Arial;Helvetica;sans-serif" w:hAnsi="Arial;Helvetica;sans-serif"/>
          <w:b/>
          <w:i w:val="false"/>
          <w:caps w:val="false"/>
          <w:smallCaps w:val="false"/>
          <w:color w:val="1F2668"/>
          <w:sz w:val="18"/>
        </w:rPr>
      </w:pPr>
      <w:r>
        <w:rPr>
          <w:rFonts w:ascii="Arial;Helvetica;sans-serif" w:hAnsi="Arial;Helvetica;sans-serif"/>
          <w:b/>
          <w:i w:val="false"/>
          <w:caps w:val="false"/>
          <w:smallCaps w:val="false"/>
          <w:color w:val="1F2668"/>
          <w:spacing w:val="-2"/>
          <w:sz w:val="18"/>
          <w:u w:val="single"/>
        </w:rPr>
        <w:t>Funds Available for Distribution</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Funds Available for Distribution, or FAD, is a non-GAAP financial measure that is calculated as FFO plus non-real estate depreciation, allowance for straight line credit loss, adjustment for straight line operating lease rent, non-cash deferred compensation, and pro-rata adjustments for these items from the Company’s unconsolidated JVs, less straight line rental income, free rent net of amortization, second generation tenant improvement and leasing costs, and recurring capital expenditures.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FAD is not intended to represent cash flow for the period and is not indicative of cash flow provided by operating activities as determined in accordance with GAAP. FAD is presented solely as a supplemental disclosure with respect to liquidity. Because all companies do not calculate FAD the same way, the presentation of FAD may not be comparable to similarly titled measures of other companies. FAD does not represent cash flow from operating, investing and finance activities in accordance with GAAP and should not be considered as an alternative to net income (determined in accordance with GAAP), as an indication of the Company’s financial performance, as an alternative to net cash flows from operating activities (determined in accordance with GAAP), or as a measure of the Company’s liquidity.</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240" w:after="283"/>
        <w:jc w:val="left"/>
        <w:rPr>
          <w:rFonts w:ascii="Arial;Helvetica;sans-serif" w:hAnsi="Arial;Helvetica;sans-serif"/>
          <w:b/>
          <w:i w:val="false"/>
          <w:caps w:val="false"/>
          <w:smallCaps w:val="false"/>
          <w:color w:val="1F2668"/>
          <w:sz w:val="18"/>
        </w:rPr>
      </w:pPr>
      <w:r>
        <w:rPr>
          <w:rFonts w:ascii="Arial;Helvetica;sans-serif" w:hAnsi="Arial;Helvetica;sans-serif"/>
          <w:b/>
          <w:i w:val="false"/>
          <w:caps w:val="false"/>
          <w:smallCaps w:val="false"/>
          <w:color w:val="1F2668"/>
          <w:spacing w:val="-2"/>
          <w:sz w:val="18"/>
          <w:u w:val="single"/>
        </w:rPr>
        <w:t>Same-Store Cash Net Operating Income</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Net Operating Income, or NOI, is a non-GAAP financial measure that is calculated as operating income before transaction related costs, gains/losses on early extinguishment of debt, marketing general and administrative expenses and non-real estate revenue. Cash NOI is also a non-GAAP financial measure that is calculated by subtracting free rent (net of amortization), straight-line rent, and the amortization of acquired above and below-market leases from NOI, while adding operating lease straight-line adjustment and the allowance for straight-line tenant credit loss.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We present NOI and Cash NOI because we believe that these measures, when taken together with the corresponding GAAP financial measures and reconciliations, provide investors with meaningful information regarding the operating performance of our properties. When operating performance is compared across multiple periods, the investor is provided with information not immediately apparent from net income that is determined in accordance with GAAP. NOI and Cash NOI provide information on trends in the revenue generated and expenses incurred in operating our properties, unaffected by the cost of leverage, straight-line adjustments, depreciation, amortization, and other net income components. We use these metrics internally as performance measures. None of these measures is an alternative to net income (determined in accordance with GAAP) and same-store performance should not be considered an alternative to GAAP net income performance.</w:t>
      </w:r>
      <w:r>
        <w:rPr>
          <w:rFonts w:ascii="Arial;Helvetica;sans-serif" w:hAnsi="Arial;Helvetica;sans-serif"/>
          <w:b w:val="false"/>
          <w:i w:val="false"/>
          <w:caps w:val="false"/>
          <w:smallCaps w:val="false"/>
          <w:color w:val="000000"/>
          <w:spacing w:val="4"/>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2644" w:type="dxa"/>
        <w:jc w:val="left"/>
        <w:tblInd w:w="900" w:type="dxa"/>
        <w:tblLayout w:type="fixed"/>
        <w:tblCellMar>
          <w:top w:w="0" w:type="dxa"/>
          <w:left w:w="0" w:type="dxa"/>
          <w:bottom w:w="0" w:type="dxa"/>
          <w:right w:w="0" w:type="dxa"/>
        </w:tblCellMar>
      </w:tblPr>
      <w:tblGrid>
        <w:gridCol w:w="124"/>
        <w:gridCol w:w="1667"/>
        <w:gridCol w:w="109"/>
        <w:gridCol w:w="109"/>
        <w:gridCol w:w="481"/>
        <w:gridCol w:w="154"/>
      </w:tblGrid>
      <w:tr>
        <w:trPr/>
        <w:tc>
          <w:tcPr>
            <w:tcW w:w="124" w:type="dxa"/>
            <w:tcBorders/>
            <w:vAlign w:val="center"/>
          </w:tcPr>
          <w:p>
            <w:pPr>
              <w:pStyle w:val="TableContents"/>
              <w:bidi w:val="0"/>
              <w:spacing w:before="0" w:after="283"/>
              <w:jc w:val="left"/>
              <w:rPr/>
            </w:pPr>
            <w:r>
              <w:rPr/>
              <w:t>​</w:t>
            </w:r>
          </w:p>
        </w:tc>
        <w:tc>
          <w:tcPr>
            <w:tcW w:w="1667" w:type="dxa"/>
            <w:tcBorders/>
            <w:vAlign w:val="center"/>
          </w:tcPr>
          <w:p>
            <w:pPr>
              <w:pStyle w:val="TableContents"/>
              <w:bidi w:val="0"/>
              <w:spacing w:lineRule="atLeast" w:line="200" w:before="0" w:after="0"/>
              <w:jc w:val="left"/>
              <w:rPr/>
            </w:pPr>
            <w:r>
              <w:rPr>
                <w:spacing w:val="-2"/>
              </w:rPr>
              <w:t>APPENDIX A:</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81" w:type="dxa"/>
            <w:tcBorders/>
            <w:vAlign w:val="center"/>
          </w:tcPr>
          <w:p>
            <w:pPr>
              <w:pStyle w:val="TableContents"/>
              <w:bidi w:val="0"/>
              <w:spacing w:before="0" w:after="0"/>
              <w:jc w:val="right"/>
              <w:rPr>
                <w:color w:val="1F2668"/>
                <w:sz w:val="24"/>
              </w:rPr>
            </w:pPr>
            <w:r>
              <w:rPr>
                <w:color w:val="1F2668"/>
                <w:sz w:val="24"/>
              </w:rPr>
              <w:t>A-5</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560" w:after="154"/>
        <w:ind w:left="9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Same-Store refers to properties owned in the same manner during both the current and prior year, excluding development and redevelopment properties that are not stabilized for both the current and prior year.</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SLG Share of Unconsolidated JV is computed by multiplying the referenced line item by the Company’s percentage ownership or economic interest in the respective joint ventures and may not accurately depict the legal and economic implications of holding a non-controlling interest in the respective joint ventures.</w:t>
      </w:r>
      <w:r>
        <w:rPr>
          <w:rFonts w:ascii="Arial;Helvetica;sans-serif" w:hAnsi="Arial;Helvetic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12120" w:after="283"/>
        <w:ind w:left="1393" w:right="0" w:hanging="0"/>
        <w:jc w:val="center"/>
        <w:rPr>
          <w:caps w:val="false"/>
          <w:smallCaps w:val="false"/>
          <w:color w:val="000000"/>
        </w:rPr>
      </w:pPr>
      <w:r>
        <w:rPr>
          <w:caps w:val="false"/>
          <w:smallCaps w:val="false"/>
          <w:color w:val="000000"/>
        </w:rPr>
        <w:drawing>
          <wp:inline distT="0" distB="0" distL="0" distR="0">
            <wp:extent cx="1409700" cy="409575"/>
            <wp:effectExtent l="0" t="0" r="0" b="0"/>
            <wp:docPr id="958" name="Image2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8" name="Image260" descr=""/>
                    <pic:cNvPicPr>
                      <a:picLocks noChangeAspect="1" noChangeArrowheads="1"/>
                    </pic:cNvPicPr>
                  </pic:nvPicPr>
                  <pic:blipFill>
                    <a:blip r:embed="rId365"/>
                    <a:stretch>
                      <a:fillRect/>
                    </a:stretch>
                  </pic:blipFill>
                  <pic:spPr bwMode="auto">
                    <a:xfrm>
                      <a:off x="0" y="0"/>
                      <a:ext cx="1409700" cy="409575"/>
                    </a:xfrm>
                    <a:prstGeom prst="rect">
                      <a:avLst/>
                    </a:prstGeom>
                  </pic:spPr>
                </pic:pic>
              </a:graphicData>
            </a:graphic>
          </wp:inline>
        </w:drawing>
      </w:r>
      <w:r>
        <w:rPr>
          <w:caps w:val="false"/>
          <w:smallCaps w:val="false"/>
          <w:color w:val="000000"/>
        </w:rPr>
        <w:t xml:space="preserve"> </w:t>
      </w:r>
    </w:p>
    <w:p>
      <w:pPr>
        <w:pStyle w:val="TextBody"/>
        <w:bidi w:val="0"/>
        <w:spacing w:lineRule="atLeast" w:line="340" w:before="280" w:after="283"/>
        <w:jc w:val="center"/>
        <w:rPr>
          <w:rFonts w:ascii="Arial;Helvetica;sans-serif" w:hAnsi="Arial;Helvetica;sans-serif"/>
          <w:b/>
          <w:i w:val="false"/>
          <w:caps w:val="false"/>
          <w:smallCaps w:val="false"/>
          <w:color w:val="1F2668"/>
          <w:sz w:val="18"/>
        </w:rPr>
      </w:pPr>
      <w:r>
        <w:rPr>
          <w:rFonts w:ascii="Arial;Helvetica;sans-serif" w:hAnsi="Arial;Helvetica;sans-serif"/>
          <w:b/>
          <w:i w:val="false"/>
          <w:caps w:val="false"/>
          <w:smallCaps w:val="false"/>
          <w:color w:val="1F2668"/>
          <w:spacing w:val="-2"/>
          <w:sz w:val="18"/>
        </w:rPr>
        <w:t xml:space="preserve">SL Green Realty Corp. </w:t>
        <w:br/>
        <w:t xml:space="preserve">One Vanderbilt Avenue, </w:t>
        <w:br/>
        <w:t xml:space="preserve">New York, NY 10017 </w:t>
        <w:br/>
        <w:t>212 594 2700 | slgreen.com</w:t>
      </w:r>
      <w:r>
        <w:rPr>
          <w:rFonts w:ascii="Arial;Helvetica;sans-serif" w:hAnsi="Arial;Helvetica;sans-serif"/>
          <w:b/>
          <w:i w:val="false"/>
          <w:caps w:val="false"/>
          <w:smallCaps w:val="false"/>
          <w:color w:val="1F2668"/>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0" w:right="0" w:hanging="0"/>
        <w:jc w:val="center"/>
        <w:rPr>
          <w:caps w:val="false"/>
          <w:smallCaps w:val="false"/>
          <w:color w:val="000000"/>
        </w:rPr>
      </w:pPr>
      <w:r>
        <w:rPr>
          <w:caps w:val="false"/>
          <w:smallCaps w:val="false"/>
          <w:color w:val="000000"/>
        </w:rPr>
        <w:drawing>
          <wp:inline distT="0" distB="0" distL="0" distR="0">
            <wp:extent cx="7381875" cy="9553575"/>
            <wp:effectExtent l="0" t="0" r="0" b="0"/>
            <wp:docPr id="959" name="Image2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9" name="Image261" descr=""/>
                    <pic:cNvPicPr>
                      <a:picLocks noChangeAspect="1" noChangeArrowheads="1"/>
                    </pic:cNvPicPr>
                  </pic:nvPicPr>
                  <pic:blipFill>
                    <a:blip r:embed="rId366"/>
                    <a:stretch>
                      <a:fillRect/>
                    </a:stretch>
                  </pic:blipFill>
                  <pic:spPr bwMode="auto">
                    <a:xfrm>
                      <a:off x="0" y="0"/>
                      <a:ext cx="7381875" cy="9553575"/>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280" w:after="283"/>
        <w:jc w:val="left"/>
        <w:rPr>
          <w:rFonts w:ascii="Arial;Helvetica;sans-serif" w:hAnsi="Arial;Helvetica;sans-serif"/>
          <w:b w:val="false"/>
          <w:i w:val="false"/>
          <w:caps w:val="false"/>
          <w:smallCaps w:val="false"/>
          <w:color w:val="FFFFFF"/>
          <w:sz w:val="2"/>
        </w:rPr>
      </w:pPr>
      <w:r>
        <w:rPr>
          <w:rFonts w:ascii="Arial;Helvetica;sans-serif" w:hAnsi="Arial;Helvetica;sans-serif"/>
          <w:b w:val="false"/>
          <w:i w:val="false"/>
          <w:caps w:val="false"/>
          <w:smallCaps w:val="false"/>
          <w:color w:val="FFFFFF"/>
          <w:spacing w:val="0"/>
          <w:sz w:val="2"/>
        </w:rPr>
        <w:t>SL GREEN REALTY CORP.ONE VANDERBILT AVENUENEW YORK, NY 10017AUTHORIZE YOUR PROXY BY INTERNET - www.proxyvote.comUse the Internet to transmit your voting instructions and for electronic delivery ofinformation. Vote by 11:59 p.m. Eastern Time on June 1, 2026. Have your proxycard in hand when you access the web site and follow the instructions to obtainyour records and to create an electronic voting instruction form.AUTHORIZE YOUR PROXY BY PHONE - 1-800-690-6903Use any touch-tone telephone to transmit your voting instructions. Vote by11:59 p.m. Eastern Time on June 1, 2026. Have your proxy card in hand whenyou call and then follow the instructions.AUTHORIZE YOUR PROXY BY MAILMark, sign and date your proxy card and return it in the postage-paid envelope wehave provided or return it to Vote Processing, c/o Broadridge, 51 Mercedes Way,Edgewood, NY 11717.TO VOTE, MARK BLOCKS BELOW IN BLUE OR BLACK INK AS FOLLOWS:V93676-P47034KEEP THIS PORTION FOR YOUR RECORDSDETACH AND RETURN THIS PORTION ONLYTHIS PROXY CARD IS VALID ONLY WHEN SIGNED AND DATED.SL GREEN REALTY CORP.The Board of Directors recommends you vote FOR thefollowing:1. Election of DirectorsNominees:For Against Abstain1a. John H. Alschuler1b. Carol N. Brown1c. Lauren B. Dillard1d. Stephen L. Green1e. Craig M. Hatkoff1f. Marc Holliday1g. Peggy Lamb1h. Andrew W. MathiasThe Board of Directors recommends you vote FOR thefollowing proposals:For Against Abstain2. To approve, on a non-binding advisory basis, our executivecompensation.3. To ratify the appointment of Deloitte &amp; Touche LLP asour independent registered public accounting firm forthe fiscal year ending December 31, 2026.For Against AbstainNOTE: The proxies are authorized to vote in their discretionupon such other business as may properly come before theAnnual Meeting, including any adjournments or postponementsthereof.The undersigned hereby acknowledge(s) receipt of the Noticeof the Annual Meeting of Stockholders, the terms of which areincorporated herein by reference, and revoke(s) any proxy orproxies heretofore given with respect to the Annual Meeting.This proxy may be revoked at any time prior to the timevoting is declared closed by giving the corporate secretary ofSL Green Realty Corp. written notice of revocation or bya subsequently dated proxy, or by casting a ballot at theAnnual Meeting.This solicitation of proxies is made by and on behalf of theBoard. The validity of this proxy is governed by the MarylandGeneral Corporation Law and applicable federal securities laws.This proxy does not revoke any prior powers of attorney exceptfor prior proxies given in connection with the Annual Meeting.Signature [PLEASE SIGN WITHIN BOX] DateSignature (Joint Owners) Date</w:t>
      </w:r>
      <w:r>
        <w:rPr>
          <w:rFonts w:ascii="Arial;Helvetica;sans-serif" w:hAnsi="Arial;Helvetica;sans-serif"/>
          <w:b w:val="false"/>
          <w:i w:val="false"/>
          <w:caps w:val="false"/>
          <w:smallCaps w:val="false"/>
          <w:color w:val="000000"/>
          <w:spacing w:val="0"/>
          <w:sz w:val="2"/>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160" w:after="283"/>
        <w:ind w:left="0" w:right="0" w:hanging="0"/>
        <w:jc w:val="center"/>
        <w:rPr>
          <w:caps w:val="false"/>
          <w:smallCaps w:val="false"/>
          <w:color w:val="000000"/>
        </w:rPr>
      </w:pPr>
      <w:r>
        <w:rPr>
          <w:caps w:val="false"/>
          <w:smallCaps w:val="false"/>
          <w:color w:val="000000"/>
        </w:rPr>
        <w:drawing>
          <wp:inline distT="0" distB="0" distL="0" distR="0">
            <wp:extent cx="7381875" cy="9553575"/>
            <wp:effectExtent l="0" t="0" r="0" b="0"/>
            <wp:docPr id="960" name="Image2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0" name="Image262" descr=""/>
                    <pic:cNvPicPr>
                      <a:picLocks noChangeAspect="1" noChangeArrowheads="1"/>
                    </pic:cNvPicPr>
                  </pic:nvPicPr>
                  <pic:blipFill>
                    <a:blip r:embed="rId367"/>
                    <a:stretch>
                      <a:fillRect/>
                    </a:stretch>
                  </pic:blipFill>
                  <pic:spPr bwMode="auto">
                    <a:xfrm>
                      <a:off x="0" y="0"/>
                      <a:ext cx="7381875" cy="9553575"/>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280" w:after="283"/>
        <w:jc w:val="left"/>
        <w:rPr>
          <w:rFonts w:ascii="Arial;Helvetica;sans-serif" w:hAnsi="Arial;Helvetica;sans-serif"/>
          <w:b w:val="false"/>
          <w:i w:val="false"/>
          <w:caps w:val="false"/>
          <w:smallCaps w:val="false"/>
          <w:color w:val="FFFFFF"/>
          <w:sz w:val="2"/>
        </w:rPr>
      </w:pPr>
      <w:r>
        <w:rPr>
          <w:rFonts w:ascii="Arial;Helvetica;sans-serif" w:hAnsi="Arial;Helvetica;sans-serif"/>
          <w:b w:val="false"/>
          <w:i w:val="false"/>
          <w:caps w:val="false"/>
          <w:smallCaps w:val="false"/>
          <w:color w:val="FFFFFF"/>
          <w:spacing w:val="0"/>
          <w:sz w:val="2"/>
        </w:rPr>
        <w:t>Important Notice Regarding the Availability of Proxy Materials for the Annual Meeting to be Held on June 2, 2026: The Notice and Proxy Statement, 2025 Annual Report and additional soliciting materials are available at www.proxyvote.com.SL GREEN REALTY CORP.THIS PROXY IS SOLICITED ON BEHALF OF THE BOARD OF DIRECTORSThe undersigned stockholder(s) hereby appoint(s) Marc Holliday and Andrew S. Levine, or either of them, as proxies, each with the power to appoint his substitute and hereby authorize(s) them to represent and to vote as designated on the reverse side of this ballot all of the shares of Common Stock of SL GREEN REALTY CORP. that the stockholder(s) is/are entitled to vote at theAnnual Meeting of Stockholders to be held at the Auditorium at One Vanderbilt, One Vanderbilt Avenue, New York, NY 10017 at 12:00 P.M., Eastern Time on Tuesday, June 2, 2026 and any adjournment or postponement thereof.THIS PROXY, WHEN PROPERLY EXECUTED, WILL BE VOTED AS DIRECTED BY THE STOCKHOLDER(S) AND IN THE DISCRETION OF THE PROXYHOLDER ON ANY OTHER MATTER PROPERLY BROUGHT BEFORE THE MEETING OR ANY ADJOURNMENT OR POSTPONEMENT THEREOF. IF NO SUCH DIRECTIONS ARE MADE, THIS PROXY WILL BE VOTED FOR THE ELECTION OF THE BOARD OF DIRECTORS' NOMINEES LISTED ON THE REVERSE SIDE HEREOF, AND FOR PROPOSALS 2 AND 3.PLEASE MARK, SIGN AND DATE AND RETURN THIS PROXY CARD PROMPTLY USING THE ENCLOSED REPLY ENVELOPE.Continued and to be signed on reverse side</w:t>
      </w:r>
      <w:r>
        <w:rPr>
          <w:rFonts w:ascii="Arial;Helvetica;sans-serif" w:hAnsi="Arial;Helvetica;sans-serif"/>
          <w:b w:val="false"/>
          <w:i w:val="false"/>
          <w:caps w:val="false"/>
          <w:smallCaps w:val="false"/>
          <w:color w:val="FFFFFF"/>
          <w:sz w:val="2"/>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gif"/><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4.gif"/><Relationship Id="rId9" Type="http://schemas.openxmlformats.org/officeDocument/2006/relationships/image" Target="media/image5.jpeg"/><Relationship Id="rId10" Type="http://schemas.openxmlformats.org/officeDocument/2006/relationships/image" Target="media/image7.jpeg"/><Relationship Id="rId11" Type="http://schemas.openxmlformats.org/officeDocument/2006/relationships/image" Target="media/image4.gif"/><Relationship Id="rId12" Type="http://schemas.openxmlformats.org/officeDocument/2006/relationships/image" Target="media/image5.jpeg"/><Relationship Id="rId13" Type="http://schemas.openxmlformats.org/officeDocument/2006/relationships/image" Target="media/image8.jpeg"/><Relationship Id="rId14" Type="http://schemas.openxmlformats.org/officeDocument/2006/relationships/image" Target="media/image8.jpeg"/><Relationship Id="rId15" Type="http://schemas.openxmlformats.org/officeDocument/2006/relationships/image" Target="media/image9.jpeg"/><Relationship Id="rId16" Type="http://schemas.openxmlformats.org/officeDocument/2006/relationships/image" Target="media/image10.jpeg"/><Relationship Id="rId17" Type="http://schemas.openxmlformats.org/officeDocument/2006/relationships/image" Target="media/image9.jpeg"/><Relationship Id="rId18" Type="http://schemas.openxmlformats.org/officeDocument/2006/relationships/image" Target="media/image10.jpeg"/><Relationship Id="rId19" Type="http://schemas.openxmlformats.org/officeDocument/2006/relationships/image" Target="media/image11.jpeg"/><Relationship Id="rId20" Type="http://schemas.openxmlformats.org/officeDocument/2006/relationships/image" Target="media/image12.jpeg"/><Relationship Id="rId21" Type="http://schemas.openxmlformats.org/officeDocument/2006/relationships/image" Target="media/image13.jpeg"/><Relationship Id="rId22" Type="http://schemas.openxmlformats.org/officeDocument/2006/relationships/image" Target="media/image14.jpeg"/><Relationship Id="rId23" Type="http://schemas.openxmlformats.org/officeDocument/2006/relationships/image" Target="media/image15.jpeg"/><Relationship Id="rId24" Type="http://schemas.openxmlformats.org/officeDocument/2006/relationships/image" Target="media/image11.jpeg"/><Relationship Id="rId25" Type="http://schemas.openxmlformats.org/officeDocument/2006/relationships/image" Target="media/image12.jpeg"/><Relationship Id="rId26" Type="http://schemas.openxmlformats.org/officeDocument/2006/relationships/image" Target="media/image13.jpeg"/><Relationship Id="rId27" Type="http://schemas.openxmlformats.org/officeDocument/2006/relationships/image" Target="media/image14.jpeg"/><Relationship Id="rId28" Type="http://schemas.openxmlformats.org/officeDocument/2006/relationships/image" Target="media/image15.jpeg"/><Relationship Id="rId29" Type="http://schemas.openxmlformats.org/officeDocument/2006/relationships/image" Target="media/image16.jpeg"/><Relationship Id="rId30" Type="http://schemas.openxmlformats.org/officeDocument/2006/relationships/image" Target="media/image1.jpeg"/><Relationship Id="rId31" Type="http://schemas.openxmlformats.org/officeDocument/2006/relationships/image" Target="media/image17.jpeg"/><Relationship Id="rId32" Type="http://schemas.openxmlformats.org/officeDocument/2006/relationships/image" Target="media/image18.jpeg"/><Relationship Id="rId33" Type="http://schemas.openxmlformats.org/officeDocument/2006/relationships/image" Target="media/image19.jpeg"/><Relationship Id="rId34" Type="http://schemas.openxmlformats.org/officeDocument/2006/relationships/image" Target="media/image3.jpeg"/><Relationship Id="rId35" Type="http://schemas.openxmlformats.org/officeDocument/2006/relationships/image" Target="media/image6.jpeg"/><Relationship Id="rId36" Type="http://schemas.openxmlformats.org/officeDocument/2006/relationships/image" Target="media/image7.jpeg"/><Relationship Id="rId37" Type="http://schemas.openxmlformats.org/officeDocument/2006/relationships/image" Target="media/image5.jpeg"/><Relationship Id="rId38" Type="http://schemas.openxmlformats.org/officeDocument/2006/relationships/image" Target="media/image5.jpeg"/><Relationship Id="rId39" Type="http://schemas.openxmlformats.org/officeDocument/2006/relationships/image" Target="media/image5.jpeg"/><Relationship Id="rId40" Type="http://schemas.openxmlformats.org/officeDocument/2006/relationships/image" Target="media/image20.jpeg"/><Relationship Id="rId41" Type="http://schemas.openxmlformats.org/officeDocument/2006/relationships/image" Target="media/image20.jpeg"/><Relationship Id="rId42" Type="http://schemas.openxmlformats.org/officeDocument/2006/relationships/image" Target="media/image20.jpeg"/><Relationship Id="rId43" Type="http://schemas.openxmlformats.org/officeDocument/2006/relationships/image" Target="media/image21.jpeg"/><Relationship Id="rId44" Type="http://schemas.openxmlformats.org/officeDocument/2006/relationships/image" Target="media/image22.jpeg"/><Relationship Id="rId45" Type="http://schemas.openxmlformats.org/officeDocument/2006/relationships/image" Target="media/image23.jpeg"/><Relationship Id="rId46" Type="http://schemas.openxmlformats.org/officeDocument/2006/relationships/image" Target="media/image24.jpeg"/><Relationship Id="rId47" Type="http://schemas.openxmlformats.org/officeDocument/2006/relationships/image" Target="media/image4.gif"/><Relationship Id="rId48" Type="http://schemas.openxmlformats.org/officeDocument/2006/relationships/hyperlink" Target="#tPR3"/><Relationship Id="rId49" Type="http://schemas.openxmlformats.org/officeDocument/2006/relationships/image" Target="media/image4.gif"/><Relationship Id="rId50" Type="http://schemas.openxmlformats.org/officeDocument/2006/relationships/hyperlink" Target="#tPR3"/><Relationship Id="rId51" Type="http://schemas.openxmlformats.org/officeDocument/2006/relationships/image" Target="media/image4.gif"/><Relationship Id="rId52" Type="http://schemas.openxmlformats.org/officeDocument/2006/relationships/hyperlink" Target="#tEOD"/><Relationship Id="rId53" Type="http://schemas.openxmlformats.org/officeDocument/2006/relationships/image" Target="media/image4.gif"/><Relationship Id="rId54" Type="http://schemas.openxmlformats.org/officeDocument/2006/relationships/hyperlink" Target="#tPR2"/><Relationship Id="rId55" Type="http://schemas.openxmlformats.org/officeDocument/2006/relationships/image" Target="media/image4.gif"/><Relationship Id="rId56" Type="http://schemas.openxmlformats.org/officeDocument/2006/relationships/hyperlink" Target="#tEOD"/><Relationship Id="rId57" Type="http://schemas.openxmlformats.org/officeDocument/2006/relationships/image" Target="media/image4.gif"/><Relationship Id="rId58" Type="http://schemas.openxmlformats.org/officeDocument/2006/relationships/hyperlink" Target="#tPR2"/><Relationship Id="rId59" Type="http://schemas.openxmlformats.org/officeDocument/2006/relationships/image" Target="media/image20.jpeg"/><Relationship Id="rId60" Type="http://schemas.openxmlformats.org/officeDocument/2006/relationships/image" Target="media/image25.jpeg"/><Relationship Id="rId61" Type="http://schemas.openxmlformats.org/officeDocument/2006/relationships/image" Target="media/image26.jpeg"/><Relationship Id="rId62" Type="http://schemas.openxmlformats.org/officeDocument/2006/relationships/image" Target="media/image27.jpeg"/><Relationship Id="rId63" Type="http://schemas.openxmlformats.org/officeDocument/2006/relationships/image" Target="media/image26.jpeg"/><Relationship Id="rId64" Type="http://schemas.openxmlformats.org/officeDocument/2006/relationships/image" Target="media/image28.jpeg"/><Relationship Id="rId65" Type="http://schemas.openxmlformats.org/officeDocument/2006/relationships/image" Target="media/image26.jpeg"/><Relationship Id="rId66" Type="http://schemas.openxmlformats.org/officeDocument/2006/relationships/image" Target="media/image29.jpeg"/><Relationship Id="rId67" Type="http://schemas.openxmlformats.org/officeDocument/2006/relationships/image" Target="media/image30.jpeg"/><Relationship Id="rId68" Type="http://schemas.openxmlformats.org/officeDocument/2006/relationships/image" Target="media/image26.jpeg"/><Relationship Id="rId69" Type="http://schemas.openxmlformats.org/officeDocument/2006/relationships/image" Target="media/image31.jpeg"/><Relationship Id="rId70" Type="http://schemas.openxmlformats.org/officeDocument/2006/relationships/image" Target="media/image32.jpeg"/><Relationship Id="rId71" Type="http://schemas.openxmlformats.org/officeDocument/2006/relationships/image" Target="media/image26.jpeg"/><Relationship Id="rId72" Type="http://schemas.openxmlformats.org/officeDocument/2006/relationships/image" Target="media/image33.jpeg"/><Relationship Id="rId73" Type="http://schemas.openxmlformats.org/officeDocument/2006/relationships/image" Target="media/image34.jpeg"/><Relationship Id="rId74" Type="http://schemas.openxmlformats.org/officeDocument/2006/relationships/image" Target="media/image26.jpeg"/><Relationship Id="rId75" Type="http://schemas.openxmlformats.org/officeDocument/2006/relationships/image" Target="media/image26.jpeg"/><Relationship Id="rId76" Type="http://schemas.openxmlformats.org/officeDocument/2006/relationships/image" Target="media/image26.jpeg"/><Relationship Id="rId77" Type="http://schemas.openxmlformats.org/officeDocument/2006/relationships/image" Target="media/image26.jpeg"/><Relationship Id="rId78" Type="http://schemas.openxmlformats.org/officeDocument/2006/relationships/image" Target="media/image26.jpeg"/><Relationship Id="rId79" Type="http://schemas.openxmlformats.org/officeDocument/2006/relationships/image" Target="media/image26.jpeg"/><Relationship Id="rId80" Type="http://schemas.openxmlformats.org/officeDocument/2006/relationships/image" Target="media/image26.jpeg"/><Relationship Id="rId81" Type="http://schemas.openxmlformats.org/officeDocument/2006/relationships/image" Target="media/image35.jpeg"/><Relationship Id="rId82" Type="http://schemas.openxmlformats.org/officeDocument/2006/relationships/image" Target="media/image26.jpeg"/><Relationship Id="rId83" Type="http://schemas.openxmlformats.org/officeDocument/2006/relationships/image" Target="media/image26.jpeg"/><Relationship Id="rId84" Type="http://schemas.openxmlformats.org/officeDocument/2006/relationships/image" Target="media/image26.jpeg"/><Relationship Id="rId85" Type="http://schemas.openxmlformats.org/officeDocument/2006/relationships/image" Target="media/image26.jpeg"/><Relationship Id="rId86" Type="http://schemas.openxmlformats.org/officeDocument/2006/relationships/image" Target="media/image26.jpeg"/><Relationship Id="rId87" Type="http://schemas.openxmlformats.org/officeDocument/2006/relationships/image" Target="media/image26.jpeg"/><Relationship Id="rId88" Type="http://schemas.openxmlformats.org/officeDocument/2006/relationships/image" Target="media/image26.jpeg"/><Relationship Id="rId89" Type="http://schemas.openxmlformats.org/officeDocument/2006/relationships/image" Target="media/image36.jpeg"/><Relationship Id="rId90" Type="http://schemas.openxmlformats.org/officeDocument/2006/relationships/image" Target="media/image26.jpeg"/><Relationship Id="rId91" Type="http://schemas.openxmlformats.org/officeDocument/2006/relationships/image" Target="media/image26.jpeg"/><Relationship Id="rId92" Type="http://schemas.openxmlformats.org/officeDocument/2006/relationships/image" Target="media/image26.jpeg"/><Relationship Id="rId93" Type="http://schemas.openxmlformats.org/officeDocument/2006/relationships/image" Target="media/image26.jpeg"/><Relationship Id="rId94" Type="http://schemas.openxmlformats.org/officeDocument/2006/relationships/image" Target="media/image26.jpeg"/><Relationship Id="rId95" Type="http://schemas.openxmlformats.org/officeDocument/2006/relationships/image" Target="media/image26.jpeg"/><Relationship Id="rId96" Type="http://schemas.openxmlformats.org/officeDocument/2006/relationships/image" Target="media/image26.jpeg"/><Relationship Id="rId97" Type="http://schemas.openxmlformats.org/officeDocument/2006/relationships/image" Target="media/image26.jpeg"/><Relationship Id="rId98" Type="http://schemas.openxmlformats.org/officeDocument/2006/relationships/image" Target="media/image12.jpeg"/><Relationship Id="rId99" Type="http://schemas.openxmlformats.org/officeDocument/2006/relationships/image" Target="media/image26.jpeg"/><Relationship Id="rId100" Type="http://schemas.openxmlformats.org/officeDocument/2006/relationships/image" Target="media/image26.jpeg"/><Relationship Id="rId101" Type="http://schemas.openxmlformats.org/officeDocument/2006/relationships/image" Target="media/image26.jpeg"/><Relationship Id="rId102" Type="http://schemas.openxmlformats.org/officeDocument/2006/relationships/image" Target="media/image26.jpeg"/><Relationship Id="rId103" Type="http://schemas.openxmlformats.org/officeDocument/2006/relationships/image" Target="media/image18.jpeg"/><Relationship Id="rId104" Type="http://schemas.openxmlformats.org/officeDocument/2006/relationships/image" Target="media/image26.jpeg"/><Relationship Id="rId105" Type="http://schemas.openxmlformats.org/officeDocument/2006/relationships/image" Target="media/image26.jpeg"/><Relationship Id="rId106" Type="http://schemas.openxmlformats.org/officeDocument/2006/relationships/image" Target="media/image26.jpeg"/><Relationship Id="rId107" Type="http://schemas.openxmlformats.org/officeDocument/2006/relationships/image" Target="media/image26.jpeg"/><Relationship Id="rId108" Type="http://schemas.openxmlformats.org/officeDocument/2006/relationships/image" Target="media/image26.jpeg"/><Relationship Id="rId109" Type="http://schemas.openxmlformats.org/officeDocument/2006/relationships/image" Target="media/image26.jpeg"/><Relationship Id="rId110" Type="http://schemas.openxmlformats.org/officeDocument/2006/relationships/image" Target="media/image26.jpeg"/><Relationship Id="rId111" Type="http://schemas.openxmlformats.org/officeDocument/2006/relationships/image" Target="media/image26.jpeg"/><Relationship Id="rId112" Type="http://schemas.openxmlformats.org/officeDocument/2006/relationships/image" Target="media/image37.jpeg"/><Relationship Id="rId113" Type="http://schemas.openxmlformats.org/officeDocument/2006/relationships/image" Target="media/image26.jpeg"/><Relationship Id="rId114" Type="http://schemas.openxmlformats.org/officeDocument/2006/relationships/image" Target="media/image26.jpeg"/><Relationship Id="rId115" Type="http://schemas.openxmlformats.org/officeDocument/2006/relationships/image" Target="media/image26.jpeg"/><Relationship Id="rId116" Type="http://schemas.openxmlformats.org/officeDocument/2006/relationships/image" Target="media/image26.jpeg"/><Relationship Id="rId117" Type="http://schemas.openxmlformats.org/officeDocument/2006/relationships/image" Target="media/image26.jpeg"/><Relationship Id="rId118" Type="http://schemas.openxmlformats.org/officeDocument/2006/relationships/image" Target="media/image26.jpeg"/><Relationship Id="rId119" Type="http://schemas.openxmlformats.org/officeDocument/2006/relationships/image" Target="media/image26.jpeg"/><Relationship Id="rId120" Type="http://schemas.openxmlformats.org/officeDocument/2006/relationships/image" Target="media/image38.jpeg"/><Relationship Id="rId121" Type="http://schemas.openxmlformats.org/officeDocument/2006/relationships/image" Target="media/image26.jpeg"/><Relationship Id="rId122" Type="http://schemas.openxmlformats.org/officeDocument/2006/relationships/image" Target="media/image26.jpeg"/><Relationship Id="rId123" Type="http://schemas.openxmlformats.org/officeDocument/2006/relationships/image" Target="media/image26.jpeg"/><Relationship Id="rId124" Type="http://schemas.openxmlformats.org/officeDocument/2006/relationships/image" Target="media/image26.jpeg"/><Relationship Id="rId125" Type="http://schemas.openxmlformats.org/officeDocument/2006/relationships/image" Target="media/image26.jpeg"/><Relationship Id="rId126" Type="http://schemas.openxmlformats.org/officeDocument/2006/relationships/image" Target="media/image26.jpeg"/><Relationship Id="rId127" Type="http://schemas.openxmlformats.org/officeDocument/2006/relationships/image" Target="media/image26.jpeg"/><Relationship Id="rId128" Type="http://schemas.openxmlformats.org/officeDocument/2006/relationships/image" Target="media/image39.jpeg"/><Relationship Id="rId129" Type="http://schemas.openxmlformats.org/officeDocument/2006/relationships/image" Target="media/image26.jpeg"/><Relationship Id="rId130" Type="http://schemas.openxmlformats.org/officeDocument/2006/relationships/image" Target="media/image26.jpeg"/><Relationship Id="rId131" Type="http://schemas.openxmlformats.org/officeDocument/2006/relationships/image" Target="media/image26.jpeg"/><Relationship Id="rId132" Type="http://schemas.openxmlformats.org/officeDocument/2006/relationships/image" Target="media/image40.jpeg"/><Relationship Id="rId133" Type="http://schemas.openxmlformats.org/officeDocument/2006/relationships/image" Target="media/image26.jpeg"/><Relationship Id="rId134" Type="http://schemas.openxmlformats.org/officeDocument/2006/relationships/image" Target="media/image26.jpeg"/><Relationship Id="rId135" Type="http://schemas.openxmlformats.org/officeDocument/2006/relationships/image" Target="media/image41.jpeg"/><Relationship Id="rId136" Type="http://schemas.openxmlformats.org/officeDocument/2006/relationships/image" Target="media/image26.jpeg"/><Relationship Id="rId137" Type="http://schemas.openxmlformats.org/officeDocument/2006/relationships/image" Target="media/image26.jpeg"/><Relationship Id="rId138" Type="http://schemas.openxmlformats.org/officeDocument/2006/relationships/image" Target="media/image26.jpeg"/><Relationship Id="rId139" Type="http://schemas.openxmlformats.org/officeDocument/2006/relationships/image" Target="media/image26.jpeg"/><Relationship Id="rId140" Type="http://schemas.openxmlformats.org/officeDocument/2006/relationships/image" Target="media/image26.jpeg"/><Relationship Id="rId141" Type="http://schemas.openxmlformats.org/officeDocument/2006/relationships/image" Target="media/image42.jpeg"/><Relationship Id="rId142" Type="http://schemas.openxmlformats.org/officeDocument/2006/relationships/image" Target="media/image26.jpeg"/><Relationship Id="rId143" Type="http://schemas.openxmlformats.org/officeDocument/2006/relationships/image" Target="media/image26.jpeg"/><Relationship Id="rId144" Type="http://schemas.openxmlformats.org/officeDocument/2006/relationships/image" Target="media/image26.jpeg"/><Relationship Id="rId145" Type="http://schemas.openxmlformats.org/officeDocument/2006/relationships/image" Target="media/image34.jpeg"/><Relationship Id="rId146" Type="http://schemas.openxmlformats.org/officeDocument/2006/relationships/image" Target="media/image35.jpeg"/><Relationship Id="rId147" Type="http://schemas.openxmlformats.org/officeDocument/2006/relationships/image" Target="media/image36.jpeg"/><Relationship Id="rId148" Type="http://schemas.openxmlformats.org/officeDocument/2006/relationships/image" Target="media/image12.jpeg"/><Relationship Id="rId149" Type="http://schemas.openxmlformats.org/officeDocument/2006/relationships/image" Target="media/image18.jpeg"/><Relationship Id="rId150" Type="http://schemas.openxmlformats.org/officeDocument/2006/relationships/image" Target="media/image37.jpeg"/><Relationship Id="rId151" Type="http://schemas.openxmlformats.org/officeDocument/2006/relationships/image" Target="media/image38.jpeg"/><Relationship Id="rId152" Type="http://schemas.openxmlformats.org/officeDocument/2006/relationships/image" Target="media/image39.jpeg"/><Relationship Id="rId153" Type="http://schemas.openxmlformats.org/officeDocument/2006/relationships/image" Target="media/image41.jpeg"/><Relationship Id="rId154" Type="http://schemas.openxmlformats.org/officeDocument/2006/relationships/image" Target="media/image34.jpeg"/><Relationship Id="rId155" Type="http://schemas.openxmlformats.org/officeDocument/2006/relationships/image" Target="media/image35.jpeg"/><Relationship Id="rId156" Type="http://schemas.openxmlformats.org/officeDocument/2006/relationships/image" Target="media/image36.jpeg"/><Relationship Id="rId157" Type="http://schemas.openxmlformats.org/officeDocument/2006/relationships/image" Target="media/image12.jpeg"/><Relationship Id="rId158" Type="http://schemas.openxmlformats.org/officeDocument/2006/relationships/image" Target="media/image18.jpeg"/><Relationship Id="rId159" Type="http://schemas.openxmlformats.org/officeDocument/2006/relationships/image" Target="media/image37.jpeg"/><Relationship Id="rId160" Type="http://schemas.openxmlformats.org/officeDocument/2006/relationships/image" Target="media/image38.jpeg"/><Relationship Id="rId161" Type="http://schemas.openxmlformats.org/officeDocument/2006/relationships/image" Target="media/image39.jpeg"/><Relationship Id="rId162" Type="http://schemas.openxmlformats.org/officeDocument/2006/relationships/image" Target="media/image41.jpeg"/><Relationship Id="rId163" Type="http://schemas.openxmlformats.org/officeDocument/2006/relationships/image" Target="media/image25.jpeg"/><Relationship Id="rId164" Type="http://schemas.openxmlformats.org/officeDocument/2006/relationships/image" Target="media/image25.jpeg"/><Relationship Id="rId165" Type="http://schemas.openxmlformats.org/officeDocument/2006/relationships/image" Target="media/image36.jpeg"/><Relationship Id="rId166" Type="http://schemas.openxmlformats.org/officeDocument/2006/relationships/image" Target="media/image18.jpeg"/><Relationship Id="rId167" Type="http://schemas.openxmlformats.org/officeDocument/2006/relationships/image" Target="media/image39.jpeg"/><Relationship Id="rId168" Type="http://schemas.openxmlformats.org/officeDocument/2006/relationships/image" Target="media/image41.jpeg"/><Relationship Id="rId169" Type="http://schemas.openxmlformats.org/officeDocument/2006/relationships/image" Target="media/image42.jpeg"/><Relationship Id="rId170" Type="http://schemas.openxmlformats.org/officeDocument/2006/relationships/image" Target="media/image36.jpeg"/><Relationship Id="rId171" Type="http://schemas.openxmlformats.org/officeDocument/2006/relationships/image" Target="media/image18.jpeg"/><Relationship Id="rId172" Type="http://schemas.openxmlformats.org/officeDocument/2006/relationships/image" Target="media/image39.jpeg"/><Relationship Id="rId173" Type="http://schemas.openxmlformats.org/officeDocument/2006/relationships/image" Target="media/image41.jpeg"/><Relationship Id="rId174" Type="http://schemas.openxmlformats.org/officeDocument/2006/relationships/image" Target="media/image42.jpeg"/><Relationship Id="rId175" Type="http://schemas.openxmlformats.org/officeDocument/2006/relationships/image" Target="media/image27.jpeg"/><Relationship Id="rId176" Type="http://schemas.openxmlformats.org/officeDocument/2006/relationships/image" Target="media/image27.jpeg"/><Relationship Id="rId177" Type="http://schemas.openxmlformats.org/officeDocument/2006/relationships/image" Target="media/image34.jpeg"/><Relationship Id="rId178" Type="http://schemas.openxmlformats.org/officeDocument/2006/relationships/image" Target="media/image35.jpeg"/><Relationship Id="rId179" Type="http://schemas.openxmlformats.org/officeDocument/2006/relationships/image" Target="media/image36.jpeg"/><Relationship Id="rId180" Type="http://schemas.openxmlformats.org/officeDocument/2006/relationships/image" Target="media/image12.jpeg"/><Relationship Id="rId181" Type="http://schemas.openxmlformats.org/officeDocument/2006/relationships/image" Target="media/image18.jpeg"/><Relationship Id="rId182" Type="http://schemas.openxmlformats.org/officeDocument/2006/relationships/image" Target="media/image37.jpeg"/><Relationship Id="rId183" Type="http://schemas.openxmlformats.org/officeDocument/2006/relationships/image" Target="media/image38.jpeg"/><Relationship Id="rId184" Type="http://schemas.openxmlformats.org/officeDocument/2006/relationships/image" Target="media/image40.jpeg"/><Relationship Id="rId185" Type="http://schemas.openxmlformats.org/officeDocument/2006/relationships/image" Target="media/image42.jpeg"/><Relationship Id="rId186" Type="http://schemas.openxmlformats.org/officeDocument/2006/relationships/image" Target="media/image34.jpeg"/><Relationship Id="rId187" Type="http://schemas.openxmlformats.org/officeDocument/2006/relationships/image" Target="media/image35.jpeg"/><Relationship Id="rId188" Type="http://schemas.openxmlformats.org/officeDocument/2006/relationships/image" Target="media/image36.jpeg"/><Relationship Id="rId189" Type="http://schemas.openxmlformats.org/officeDocument/2006/relationships/image" Target="media/image12.jpeg"/><Relationship Id="rId190" Type="http://schemas.openxmlformats.org/officeDocument/2006/relationships/image" Target="media/image18.jpeg"/><Relationship Id="rId191" Type="http://schemas.openxmlformats.org/officeDocument/2006/relationships/image" Target="media/image37.jpeg"/><Relationship Id="rId192" Type="http://schemas.openxmlformats.org/officeDocument/2006/relationships/image" Target="media/image38.jpeg"/><Relationship Id="rId193" Type="http://schemas.openxmlformats.org/officeDocument/2006/relationships/image" Target="media/image40.jpeg"/><Relationship Id="rId194" Type="http://schemas.openxmlformats.org/officeDocument/2006/relationships/image" Target="media/image42.jpeg"/><Relationship Id="rId195" Type="http://schemas.openxmlformats.org/officeDocument/2006/relationships/image" Target="media/image28.jpeg"/><Relationship Id="rId196" Type="http://schemas.openxmlformats.org/officeDocument/2006/relationships/image" Target="media/image28.jpeg"/><Relationship Id="rId197" Type="http://schemas.openxmlformats.org/officeDocument/2006/relationships/image" Target="media/image29.jpeg"/><Relationship Id="rId198" Type="http://schemas.openxmlformats.org/officeDocument/2006/relationships/image" Target="media/image29.jpeg"/><Relationship Id="rId199" Type="http://schemas.openxmlformats.org/officeDocument/2006/relationships/image" Target="media/image34.jpeg"/><Relationship Id="rId200" Type="http://schemas.openxmlformats.org/officeDocument/2006/relationships/image" Target="media/image35.jpeg"/><Relationship Id="rId201" Type="http://schemas.openxmlformats.org/officeDocument/2006/relationships/image" Target="media/image36.jpeg"/><Relationship Id="rId202" Type="http://schemas.openxmlformats.org/officeDocument/2006/relationships/image" Target="media/image18.jpeg"/><Relationship Id="rId203" Type="http://schemas.openxmlformats.org/officeDocument/2006/relationships/image" Target="media/image37.jpeg"/><Relationship Id="rId204" Type="http://schemas.openxmlformats.org/officeDocument/2006/relationships/image" Target="media/image38.jpeg"/><Relationship Id="rId205" Type="http://schemas.openxmlformats.org/officeDocument/2006/relationships/image" Target="media/image41.jpeg"/><Relationship Id="rId206" Type="http://schemas.openxmlformats.org/officeDocument/2006/relationships/image" Target="media/image34.jpeg"/><Relationship Id="rId207" Type="http://schemas.openxmlformats.org/officeDocument/2006/relationships/image" Target="media/image35.jpeg"/><Relationship Id="rId208" Type="http://schemas.openxmlformats.org/officeDocument/2006/relationships/image" Target="media/image36.jpeg"/><Relationship Id="rId209" Type="http://schemas.openxmlformats.org/officeDocument/2006/relationships/image" Target="media/image18.jpeg"/><Relationship Id="rId210" Type="http://schemas.openxmlformats.org/officeDocument/2006/relationships/image" Target="media/image37.jpeg"/><Relationship Id="rId211" Type="http://schemas.openxmlformats.org/officeDocument/2006/relationships/image" Target="media/image38.jpeg"/><Relationship Id="rId212" Type="http://schemas.openxmlformats.org/officeDocument/2006/relationships/image" Target="media/image41.jpeg"/><Relationship Id="rId213" Type="http://schemas.openxmlformats.org/officeDocument/2006/relationships/image" Target="media/image34.jpeg"/><Relationship Id="rId214" Type="http://schemas.openxmlformats.org/officeDocument/2006/relationships/image" Target="media/image35.jpeg"/><Relationship Id="rId215" Type="http://schemas.openxmlformats.org/officeDocument/2006/relationships/image" Target="media/image36.jpeg"/><Relationship Id="rId216" Type="http://schemas.openxmlformats.org/officeDocument/2006/relationships/image" Target="media/image12.jpeg"/><Relationship Id="rId217" Type="http://schemas.openxmlformats.org/officeDocument/2006/relationships/image" Target="media/image18.jpeg"/><Relationship Id="rId218" Type="http://schemas.openxmlformats.org/officeDocument/2006/relationships/image" Target="media/image37.jpeg"/><Relationship Id="rId219" Type="http://schemas.openxmlformats.org/officeDocument/2006/relationships/image" Target="media/image38.jpeg"/><Relationship Id="rId220" Type="http://schemas.openxmlformats.org/officeDocument/2006/relationships/image" Target="media/image39.jpeg"/><Relationship Id="rId221" Type="http://schemas.openxmlformats.org/officeDocument/2006/relationships/image" Target="media/image40.jpeg"/><Relationship Id="rId222" Type="http://schemas.openxmlformats.org/officeDocument/2006/relationships/image" Target="media/image42.jpeg"/><Relationship Id="rId223" Type="http://schemas.openxmlformats.org/officeDocument/2006/relationships/image" Target="media/image34.jpeg"/><Relationship Id="rId224" Type="http://schemas.openxmlformats.org/officeDocument/2006/relationships/image" Target="media/image35.jpeg"/><Relationship Id="rId225" Type="http://schemas.openxmlformats.org/officeDocument/2006/relationships/image" Target="media/image36.jpeg"/><Relationship Id="rId226" Type="http://schemas.openxmlformats.org/officeDocument/2006/relationships/image" Target="media/image12.jpeg"/><Relationship Id="rId227" Type="http://schemas.openxmlformats.org/officeDocument/2006/relationships/image" Target="media/image18.jpeg"/><Relationship Id="rId228" Type="http://schemas.openxmlformats.org/officeDocument/2006/relationships/image" Target="media/image37.jpeg"/><Relationship Id="rId229" Type="http://schemas.openxmlformats.org/officeDocument/2006/relationships/image" Target="media/image38.jpeg"/><Relationship Id="rId230" Type="http://schemas.openxmlformats.org/officeDocument/2006/relationships/image" Target="media/image39.jpeg"/><Relationship Id="rId231" Type="http://schemas.openxmlformats.org/officeDocument/2006/relationships/image" Target="media/image40.jpeg"/><Relationship Id="rId232" Type="http://schemas.openxmlformats.org/officeDocument/2006/relationships/image" Target="media/image42.jpeg"/><Relationship Id="rId233" Type="http://schemas.openxmlformats.org/officeDocument/2006/relationships/image" Target="media/image30.jpeg"/><Relationship Id="rId234" Type="http://schemas.openxmlformats.org/officeDocument/2006/relationships/image" Target="media/image30.jpeg"/><Relationship Id="rId235" Type="http://schemas.openxmlformats.org/officeDocument/2006/relationships/image" Target="media/image34.jpeg"/><Relationship Id="rId236" Type="http://schemas.openxmlformats.org/officeDocument/2006/relationships/image" Target="media/image35.jpeg"/><Relationship Id="rId237" Type="http://schemas.openxmlformats.org/officeDocument/2006/relationships/image" Target="media/image36.jpeg"/><Relationship Id="rId238" Type="http://schemas.openxmlformats.org/officeDocument/2006/relationships/image" Target="media/image18.jpeg"/><Relationship Id="rId239" Type="http://schemas.openxmlformats.org/officeDocument/2006/relationships/image" Target="media/image37.jpeg"/><Relationship Id="rId240" Type="http://schemas.openxmlformats.org/officeDocument/2006/relationships/image" Target="media/image38.jpeg"/><Relationship Id="rId241" Type="http://schemas.openxmlformats.org/officeDocument/2006/relationships/image" Target="media/image41.jpeg"/><Relationship Id="rId242" Type="http://schemas.openxmlformats.org/officeDocument/2006/relationships/image" Target="media/image34.jpeg"/><Relationship Id="rId243" Type="http://schemas.openxmlformats.org/officeDocument/2006/relationships/image" Target="media/image35.jpeg"/><Relationship Id="rId244" Type="http://schemas.openxmlformats.org/officeDocument/2006/relationships/image" Target="media/image36.jpeg"/><Relationship Id="rId245" Type="http://schemas.openxmlformats.org/officeDocument/2006/relationships/image" Target="media/image18.jpeg"/><Relationship Id="rId246" Type="http://schemas.openxmlformats.org/officeDocument/2006/relationships/image" Target="media/image37.jpeg"/><Relationship Id="rId247" Type="http://schemas.openxmlformats.org/officeDocument/2006/relationships/image" Target="media/image38.jpeg"/><Relationship Id="rId248" Type="http://schemas.openxmlformats.org/officeDocument/2006/relationships/image" Target="media/image41.jpeg"/><Relationship Id="rId249" Type="http://schemas.openxmlformats.org/officeDocument/2006/relationships/image" Target="media/image31.jpeg"/><Relationship Id="rId250" Type="http://schemas.openxmlformats.org/officeDocument/2006/relationships/image" Target="media/image31.jpeg"/><Relationship Id="rId251" Type="http://schemas.openxmlformats.org/officeDocument/2006/relationships/image" Target="media/image34.jpeg"/><Relationship Id="rId252" Type="http://schemas.openxmlformats.org/officeDocument/2006/relationships/image" Target="media/image35.jpeg"/><Relationship Id="rId253" Type="http://schemas.openxmlformats.org/officeDocument/2006/relationships/image" Target="media/image36.jpeg"/><Relationship Id="rId254" Type="http://schemas.openxmlformats.org/officeDocument/2006/relationships/image" Target="media/image12.jpeg"/><Relationship Id="rId255" Type="http://schemas.openxmlformats.org/officeDocument/2006/relationships/image" Target="media/image18.jpeg"/><Relationship Id="rId256" Type="http://schemas.openxmlformats.org/officeDocument/2006/relationships/image" Target="media/image37.jpeg"/><Relationship Id="rId257" Type="http://schemas.openxmlformats.org/officeDocument/2006/relationships/image" Target="media/image38.jpeg"/><Relationship Id="rId258" Type="http://schemas.openxmlformats.org/officeDocument/2006/relationships/image" Target="media/image34.jpeg"/><Relationship Id="rId259" Type="http://schemas.openxmlformats.org/officeDocument/2006/relationships/image" Target="media/image35.jpeg"/><Relationship Id="rId260" Type="http://schemas.openxmlformats.org/officeDocument/2006/relationships/image" Target="media/image36.jpeg"/><Relationship Id="rId261" Type="http://schemas.openxmlformats.org/officeDocument/2006/relationships/image" Target="media/image12.jpeg"/><Relationship Id="rId262" Type="http://schemas.openxmlformats.org/officeDocument/2006/relationships/image" Target="media/image18.jpeg"/><Relationship Id="rId263" Type="http://schemas.openxmlformats.org/officeDocument/2006/relationships/image" Target="media/image37.jpeg"/><Relationship Id="rId264" Type="http://schemas.openxmlformats.org/officeDocument/2006/relationships/image" Target="media/image38.jpeg"/><Relationship Id="rId265" Type="http://schemas.openxmlformats.org/officeDocument/2006/relationships/image" Target="media/image32.jpeg"/><Relationship Id="rId266" Type="http://schemas.openxmlformats.org/officeDocument/2006/relationships/image" Target="media/image32.jpeg"/><Relationship Id="rId267" Type="http://schemas.openxmlformats.org/officeDocument/2006/relationships/image" Target="media/image34.jpeg"/><Relationship Id="rId268" Type="http://schemas.openxmlformats.org/officeDocument/2006/relationships/image" Target="media/image35.jpeg"/><Relationship Id="rId269" Type="http://schemas.openxmlformats.org/officeDocument/2006/relationships/image" Target="media/image36.jpeg"/><Relationship Id="rId270" Type="http://schemas.openxmlformats.org/officeDocument/2006/relationships/image" Target="media/image18.jpeg"/><Relationship Id="rId271" Type="http://schemas.openxmlformats.org/officeDocument/2006/relationships/image" Target="media/image37.jpeg"/><Relationship Id="rId272" Type="http://schemas.openxmlformats.org/officeDocument/2006/relationships/image" Target="media/image38.jpeg"/><Relationship Id="rId273" Type="http://schemas.openxmlformats.org/officeDocument/2006/relationships/image" Target="media/image41.jpeg"/><Relationship Id="rId274" Type="http://schemas.openxmlformats.org/officeDocument/2006/relationships/image" Target="media/image34.jpeg"/><Relationship Id="rId275" Type="http://schemas.openxmlformats.org/officeDocument/2006/relationships/image" Target="media/image35.jpeg"/><Relationship Id="rId276" Type="http://schemas.openxmlformats.org/officeDocument/2006/relationships/image" Target="media/image36.jpeg"/><Relationship Id="rId277" Type="http://schemas.openxmlformats.org/officeDocument/2006/relationships/image" Target="media/image18.jpeg"/><Relationship Id="rId278" Type="http://schemas.openxmlformats.org/officeDocument/2006/relationships/image" Target="media/image37.jpeg"/><Relationship Id="rId279" Type="http://schemas.openxmlformats.org/officeDocument/2006/relationships/image" Target="media/image38.jpeg"/><Relationship Id="rId280" Type="http://schemas.openxmlformats.org/officeDocument/2006/relationships/image" Target="media/image41.jpeg"/><Relationship Id="rId281" Type="http://schemas.openxmlformats.org/officeDocument/2006/relationships/image" Target="media/image33.jpeg"/><Relationship Id="rId282" Type="http://schemas.openxmlformats.org/officeDocument/2006/relationships/image" Target="media/image33.jpeg"/><Relationship Id="rId283" Type="http://schemas.openxmlformats.org/officeDocument/2006/relationships/image" Target="media/image11.jpeg"/><Relationship Id="rId284" Type="http://schemas.openxmlformats.org/officeDocument/2006/relationships/image" Target="media/image12.jpeg"/><Relationship Id="rId285" Type="http://schemas.openxmlformats.org/officeDocument/2006/relationships/image" Target="media/image14.jpeg"/><Relationship Id="rId286" Type="http://schemas.openxmlformats.org/officeDocument/2006/relationships/image" Target="media/image43.jpeg"/><Relationship Id="rId287" Type="http://schemas.openxmlformats.org/officeDocument/2006/relationships/image" Target="media/image44.jpeg"/><Relationship Id="rId288" Type="http://schemas.openxmlformats.org/officeDocument/2006/relationships/image" Target="media/image15.jpeg"/><Relationship Id="rId289" Type="http://schemas.openxmlformats.org/officeDocument/2006/relationships/image" Target="media/image3.jpeg"/><Relationship Id="rId290" Type="http://schemas.openxmlformats.org/officeDocument/2006/relationships/image" Target="media/image6.jpeg"/><Relationship Id="rId291" Type="http://schemas.openxmlformats.org/officeDocument/2006/relationships/image" Target="media/image7.jpeg"/><Relationship Id="rId292" Type="http://schemas.openxmlformats.org/officeDocument/2006/relationships/image" Target="media/image45.jpeg"/><Relationship Id="rId293" Type="http://schemas.openxmlformats.org/officeDocument/2006/relationships/image" Target="media/image25.jpeg"/><Relationship Id="rId294" Type="http://schemas.openxmlformats.org/officeDocument/2006/relationships/image" Target="media/image25.jpeg"/><Relationship Id="rId295" Type="http://schemas.openxmlformats.org/officeDocument/2006/relationships/image" Target="media/image3.jpeg"/><Relationship Id="rId296" Type="http://schemas.openxmlformats.org/officeDocument/2006/relationships/image" Target="media/image6.jpeg"/><Relationship Id="rId297" Type="http://schemas.openxmlformats.org/officeDocument/2006/relationships/image" Target="media/image7.jpeg"/><Relationship Id="rId298" Type="http://schemas.openxmlformats.org/officeDocument/2006/relationships/image" Target="media/image46.jpeg"/><Relationship Id="rId299" Type="http://schemas.openxmlformats.org/officeDocument/2006/relationships/image" Target="media/image46.jpeg"/><Relationship Id="rId300" Type="http://schemas.openxmlformats.org/officeDocument/2006/relationships/image" Target="media/image47.jpeg"/><Relationship Id="rId301" Type="http://schemas.openxmlformats.org/officeDocument/2006/relationships/image" Target="media/image48.jpeg"/><Relationship Id="rId302" Type="http://schemas.openxmlformats.org/officeDocument/2006/relationships/image" Target="media/image49.jpeg"/><Relationship Id="rId303" Type="http://schemas.openxmlformats.org/officeDocument/2006/relationships/image" Target="media/image50.jpeg"/><Relationship Id="rId304" Type="http://schemas.openxmlformats.org/officeDocument/2006/relationships/image" Target="media/image51.jpeg"/><Relationship Id="rId305" Type="http://schemas.openxmlformats.org/officeDocument/2006/relationships/image" Target="media/image52.jpeg"/><Relationship Id="rId306" Type="http://schemas.openxmlformats.org/officeDocument/2006/relationships/image" Target="media/image52.jpeg"/><Relationship Id="rId307" Type="http://schemas.openxmlformats.org/officeDocument/2006/relationships/image" Target="media/image53.jpeg"/><Relationship Id="rId308" Type="http://schemas.openxmlformats.org/officeDocument/2006/relationships/image" Target="media/image53.jpeg"/><Relationship Id="rId309" Type="http://schemas.openxmlformats.org/officeDocument/2006/relationships/image" Target="media/image54.jpeg"/><Relationship Id="rId310" Type="http://schemas.openxmlformats.org/officeDocument/2006/relationships/image" Target="media/image54.jpeg"/><Relationship Id="rId311" Type="http://schemas.openxmlformats.org/officeDocument/2006/relationships/image" Target="media/image20.jpeg"/><Relationship Id="rId312" Type="http://schemas.openxmlformats.org/officeDocument/2006/relationships/image" Target="media/image31.jpeg"/><Relationship Id="rId313" Type="http://schemas.openxmlformats.org/officeDocument/2006/relationships/image" Target="media/image53.jpeg"/><Relationship Id="rId314" Type="http://schemas.openxmlformats.org/officeDocument/2006/relationships/image" Target="media/image54.jpeg"/><Relationship Id="rId315" Type="http://schemas.openxmlformats.org/officeDocument/2006/relationships/image" Target="media/image20.jpeg"/><Relationship Id="rId316" Type="http://schemas.openxmlformats.org/officeDocument/2006/relationships/image" Target="media/image20.jpeg"/><Relationship Id="rId317" Type="http://schemas.openxmlformats.org/officeDocument/2006/relationships/image" Target="media/image20.jpeg"/><Relationship Id="rId318" Type="http://schemas.openxmlformats.org/officeDocument/2006/relationships/image" Target="media/image20.jpeg"/><Relationship Id="rId319" Type="http://schemas.openxmlformats.org/officeDocument/2006/relationships/image" Target="media/image20.jpeg"/><Relationship Id="rId320" Type="http://schemas.openxmlformats.org/officeDocument/2006/relationships/image" Target="media/image20.jpeg"/><Relationship Id="rId321" Type="http://schemas.openxmlformats.org/officeDocument/2006/relationships/image" Target="media/image20.jpeg"/><Relationship Id="rId322" Type="http://schemas.openxmlformats.org/officeDocument/2006/relationships/image" Target="media/image20.jpeg"/><Relationship Id="rId323" Type="http://schemas.openxmlformats.org/officeDocument/2006/relationships/image" Target="media/image20.jpeg"/><Relationship Id="rId324" Type="http://schemas.openxmlformats.org/officeDocument/2006/relationships/image" Target="media/image55.jpeg"/><Relationship Id="rId325" Type="http://schemas.openxmlformats.org/officeDocument/2006/relationships/image" Target="media/image31.jpeg"/><Relationship Id="rId326" Type="http://schemas.openxmlformats.org/officeDocument/2006/relationships/image" Target="media/image31.jpeg"/><Relationship Id="rId327" Type="http://schemas.openxmlformats.org/officeDocument/2006/relationships/image" Target="media/image53.jpeg"/><Relationship Id="rId328" Type="http://schemas.openxmlformats.org/officeDocument/2006/relationships/image" Target="media/image53.jpeg"/><Relationship Id="rId329" Type="http://schemas.openxmlformats.org/officeDocument/2006/relationships/image" Target="media/image54.jpeg"/><Relationship Id="rId330" Type="http://schemas.openxmlformats.org/officeDocument/2006/relationships/image" Target="media/image54.jpeg"/><Relationship Id="rId331" Type="http://schemas.openxmlformats.org/officeDocument/2006/relationships/image" Target="media/image3.jpeg"/><Relationship Id="rId332" Type="http://schemas.openxmlformats.org/officeDocument/2006/relationships/image" Target="media/image6.jpeg"/><Relationship Id="rId333" Type="http://schemas.openxmlformats.org/officeDocument/2006/relationships/image" Target="media/image7.jpeg"/><Relationship Id="rId334" Type="http://schemas.openxmlformats.org/officeDocument/2006/relationships/image" Target="media/image45.jpeg"/><Relationship Id="rId335" Type="http://schemas.openxmlformats.org/officeDocument/2006/relationships/image" Target="media/image56.jpeg"/><Relationship Id="rId336" Type="http://schemas.openxmlformats.org/officeDocument/2006/relationships/image" Target="media/image56.jpeg"/><Relationship Id="rId337" Type="http://schemas.openxmlformats.org/officeDocument/2006/relationships/image" Target="media/image56.jpeg"/><Relationship Id="rId338" Type="http://schemas.openxmlformats.org/officeDocument/2006/relationships/image" Target="media/image56.jpeg"/><Relationship Id="rId339" Type="http://schemas.openxmlformats.org/officeDocument/2006/relationships/image" Target="media/image56.jpeg"/><Relationship Id="rId340" Type="http://schemas.openxmlformats.org/officeDocument/2006/relationships/image" Target="media/image56.jpeg"/><Relationship Id="rId341" Type="http://schemas.openxmlformats.org/officeDocument/2006/relationships/image" Target="media/image56.jpeg"/><Relationship Id="rId342" Type="http://schemas.openxmlformats.org/officeDocument/2006/relationships/image" Target="media/image56.jpeg"/><Relationship Id="rId343" Type="http://schemas.openxmlformats.org/officeDocument/2006/relationships/image" Target="media/image56.jpeg"/><Relationship Id="rId344" Type="http://schemas.openxmlformats.org/officeDocument/2006/relationships/image" Target="media/image56.jpeg"/><Relationship Id="rId345" Type="http://schemas.openxmlformats.org/officeDocument/2006/relationships/image" Target="media/image56.jpeg"/><Relationship Id="rId346" Type="http://schemas.openxmlformats.org/officeDocument/2006/relationships/image" Target="media/image56.jpeg"/><Relationship Id="rId347" Type="http://schemas.openxmlformats.org/officeDocument/2006/relationships/image" Target="media/image57.jpeg"/><Relationship Id="rId348" Type="http://schemas.openxmlformats.org/officeDocument/2006/relationships/image" Target="media/image57.jpeg"/><Relationship Id="rId349" Type="http://schemas.openxmlformats.org/officeDocument/2006/relationships/image" Target="media/image57.jpeg"/><Relationship Id="rId350" Type="http://schemas.openxmlformats.org/officeDocument/2006/relationships/image" Target="media/image57.jpeg"/><Relationship Id="rId351" Type="http://schemas.openxmlformats.org/officeDocument/2006/relationships/image" Target="media/image57.jpeg"/><Relationship Id="rId352" Type="http://schemas.openxmlformats.org/officeDocument/2006/relationships/image" Target="media/image57.jpeg"/><Relationship Id="rId353" Type="http://schemas.openxmlformats.org/officeDocument/2006/relationships/image" Target="media/image57.jpeg"/><Relationship Id="rId354" Type="http://schemas.openxmlformats.org/officeDocument/2006/relationships/image" Target="media/image57.jpeg"/><Relationship Id="rId355" Type="http://schemas.openxmlformats.org/officeDocument/2006/relationships/image" Target="media/image57.jpeg"/><Relationship Id="rId356" Type="http://schemas.openxmlformats.org/officeDocument/2006/relationships/image" Target="media/image57.jpeg"/><Relationship Id="rId357" Type="http://schemas.openxmlformats.org/officeDocument/2006/relationships/image" Target="media/image58.jpeg"/><Relationship Id="rId358" Type="http://schemas.openxmlformats.org/officeDocument/2006/relationships/image" Target="media/image59.jpeg"/><Relationship Id="rId359" Type="http://schemas.openxmlformats.org/officeDocument/2006/relationships/image" Target="media/image60.jpeg"/><Relationship Id="rId360" Type="http://schemas.openxmlformats.org/officeDocument/2006/relationships/image" Target="media/image61.jpeg"/><Relationship Id="rId361" Type="http://schemas.openxmlformats.org/officeDocument/2006/relationships/image" Target="media/image20.jpeg"/><Relationship Id="rId362" Type="http://schemas.openxmlformats.org/officeDocument/2006/relationships/image" Target="media/image20.jpeg"/><Relationship Id="rId363" Type="http://schemas.openxmlformats.org/officeDocument/2006/relationships/image" Target="media/image20.jpeg"/><Relationship Id="rId364" Type="http://schemas.openxmlformats.org/officeDocument/2006/relationships/image" Target="media/image20.jpeg"/><Relationship Id="rId365" Type="http://schemas.openxmlformats.org/officeDocument/2006/relationships/image" Target="media/image1.jpeg"/><Relationship Id="rId366" Type="http://schemas.openxmlformats.org/officeDocument/2006/relationships/image" Target="media/image62.jpeg"/><Relationship Id="rId367" Type="http://schemas.openxmlformats.org/officeDocument/2006/relationships/image" Target="media/image63.jpeg"/><Relationship Id="rId368" Type="http://schemas.openxmlformats.org/officeDocument/2006/relationships/fontTable" Target="fontTable.xml"/><Relationship Id="rId36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46692</Words>
  <Characters>259697</Characters>
  <CharactersWithSpaces>316816</CharactersWithSpaces>
  <Paragraphs>13940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