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210" w:lineRule="exact"/>
        <w:rPr>
          <w:sz w:val="24"/>
          <w:szCs w:val="24"/>
          <w:color w:val="auto"/>
        </w:rPr>
      </w:pPr>
    </w:p>
    <w:p>
      <w:pPr>
        <w:ind w:left="740" w:hanging="227"/>
        <w:spacing w:after="0"/>
        <w:tabs>
          <w:tab w:leader="none" w:pos="74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1934</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10" w:lineRule="exact"/>
        <w:rPr>
          <w:sz w:val="24"/>
          <w:szCs w:val="24"/>
          <w:color w:val="auto"/>
        </w:rPr>
      </w:pPr>
    </w:p>
    <w:p>
      <w:pPr>
        <w:ind w:left="740" w:hanging="242"/>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ind w:left="38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033-84580</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RECKSON OPERATING PARTNERSHIP, L.P.</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11-3233647</w:t>
            </w:r>
          </w:p>
        </w:tc>
      </w:tr>
      <w:tr>
        <w:trPr>
          <w:trHeight w:val="256"/>
        </w:trPr>
        <w:tc>
          <w:tcPr>
            <w:tcW w:w="4140" w:type="dxa"/>
            <w:vAlign w:val="bottom"/>
          </w:tcPr>
          <w:p>
            <w:pPr>
              <w:jc w:val="center"/>
              <w:ind w:right="1890"/>
              <w:spacing w:after="0"/>
              <w:rPr>
                <w:sz w:val="20"/>
                <w:szCs w:val="20"/>
                <w:color w:val="auto"/>
              </w:rPr>
            </w:pPr>
            <w:r>
              <w:rPr>
                <w:rFonts w:ascii="Arial" w:cs="Arial" w:eastAsia="Arial" w:hAnsi="Arial"/>
                <w:sz w:val="18"/>
                <w:szCs w:val="18"/>
                <w:color w:val="auto"/>
                <w:w w:val="92"/>
              </w:rPr>
              <w:t>(State or other jurisdiction of</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2"/>
              </w:rPr>
              <w:t>(I.R.S. Employer</w:t>
            </w:r>
          </w:p>
        </w:tc>
      </w:tr>
      <w:tr>
        <w:trPr>
          <w:trHeight w:val="230"/>
        </w:trPr>
        <w:tc>
          <w:tcPr>
            <w:tcW w:w="4140" w:type="dxa"/>
            <w:vAlign w:val="bottom"/>
          </w:tcPr>
          <w:p>
            <w:pPr>
              <w:jc w:val="center"/>
              <w:ind w:right="1890"/>
              <w:spacing w:after="0"/>
              <w:rPr>
                <w:sz w:val="20"/>
                <w:szCs w:val="20"/>
                <w:color w:val="auto"/>
              </w:rPr>
            </w:pPr>
            <w:r>
              <w:rPr>
                <w:rFonts w:ascii="Arial" w:cs="Arial" w:eastAsia="Arial" w:hAnsi="Arial"/>
                <w:sz w:val="18"/>
                <w:szCs w:val="18"/>
                <w:color w:val="auto"/>
                <w:w w:val="92"/>
              </w:rPr>
              <w:t>incorporation or organization)</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 Lexington Avenue, New York, New York 10170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97" w:lineRule="exact"/>
        <w:rPr>
          <w:sz w:val="24"/>
          <w:szCs w:val="24"/>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3" w:lineRule="exact"/>
        <w:rPr>
          <w:sz w:val="24"/>
          <w:szCs w:val="24"/>
          <w:color w:val="auto"/>
        </w:rPr>
      </w:pPr>
    </w:p>
    <w:p>
      <w:pPr>
        <w:jc w:val="both"/>
        <w:ind w:right="180" w:firstLine="648"/>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3"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40" w:type="dxa"/>
            <w:vAlign w:val="bottom"/>
          </w:tcPr>
          <w:p>
            <w:pPr>
              <w:ind w:left="960"/>
              <w:spacing w:after="0"/>
              <w:rPr>
                <w:sz w:val="20"/>
                <w:szCs w:val="20"/>
                <w:color w:val="auto"/>
              </w:rPr>
            </w:pPr>
            <w:r>
              <w:rPr>
                <w:rFonts w:ascii="Arial" w:cs="Arial" w:eastAsia="Arial" w:hAnsi="Arial"/>
                <w:sz w:val="18"/>
                <w:szCs w:val="18"/>
                <w:color w:val="auto"/>
              </w:rPr>
              <w:t>o</w:t>
            </w:r>
          </w:p>
        </w:tc>
        <w:tc>
          <w:tcPr>
            <w:tcW w:w="532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o</w:t>
            </w: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8060" w:type="dxa"/>
            <w:vAlign w:val="bottom"/>
            <w:gridSpan w:val="2"/>
          </w:tcPr>
          <w:p>
            <w:pPr>
              <w:ind w:left="960"/>
              <w:spacing w:after="0"/>
              <w:rPr>
                <w:sz w:val="20"/>
                <w:szCs w:val="20"/>
                <w:color w:val="auto"/>
              </w:rPr>
            </w:pPr>
            <w:r>
              <w:rPr>
                <w:rFonts w:ascii="Arial" w:cs="Arial" w:eastAsia="Arial" w:hAnsi="Arial"/>
                <w:sz w:val="18"/>
                <w:szCs w:val="18"/>
                <w:color w:val="auto"/>
              </w:rPr>
              <w:t>x  (Do not check if a smaller reporting company)</w:t>
            </w:r>
          </w:p>
        </w:tc>
        <w:tc>
          <w:tcPr>
            <w:tcW w:w="180" w:type="dxa"/>
            <w:vAlign w:val="bottom"/>
          </w:tcPr>
          <w:p>
            <w:pPr>
              <w:spacing w:after="0"/>
              <w:rPr>
                <w:sz w:val="23"/>
                <w:szCs w:val="23"/>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2740" w:type="dxa"/>
            <w:vAlign w:val="bottom"/>
          </w:tcPr>
          <w:p>
            <w:pPr>
              <w:ind w:left="960"/>
              <w:spacing w:after="0"/>
              <w:rPr>
                <w:sz w:val="20"/>
                <w:szCs w:val="20"/>
                <w:color w:val="auto"/>
              </w:rPr>
            </w:pPr>
            <w:r>
              <w:rPr>
                <w:rFonts w:ascii="Arial" w:cs="Arial" w:eastAsia="Arial" w:hAnsi="Arial"/>
                <w:sz w:val="18"/>
                <w:szCs w:val="18"/>
                <w:color w:val="auto"/>
              </w:rPr>
              <w:t>o</w:t>
            </w:r>
          </w:p>
        </w:tc>
        <w:tc>
          <w:tcPr>
            <w:tcW w:w="532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o</w:t>
            </w:r>
          </w:p>
        </w:tc>
      </w:tr>
      <w:tr>
        <w:trPr>
          <w:trHeight w:val="270"/>
        </w:trPr>
        <w:tc>
          <w:tcPr>
            <w:tcW w:w="11080" w:type="dxa"/>
            <w:vAlign w:val="bottom"/>
            <w:gridSpan w:val="3"/>
          </w:tcPr>
          <w:p>
            <w:pPr>
              <w:spacing w:after="0"/>
              <w:rPr>
                <w:sz w:val="20"/>
                <w:szCs w:val="20"/>
                <w:color w:val="auto"/>
              </w:rPr>
            </w:pPr>
            <w:r>
              <w:rPr>
                <w:rFonts w:ascii="Arial" w:cs="Arial" w:eastAsia="Arial" w:hAnsi="Arial"/>
                <w:sz w:val="18"/>
                <w:szCs w:val="18"/>
                <w:color w:val="auto"/>
                <w:w w:val="94"/>
              </w:rPr>
              <w:t>If an emerging growth company, indicate by check mark if the registrant has elected not to use the extended transition period for complying with any</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o</w:t>
            </w:r>
          </w:p>
        </w:tc>
      </w:tr>
    </w:tbl>
    <w:p>
      <w:pPr>
        <w:ind w:left="40"/>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p>
      <w:pPr>
        <w:spacing w:after="0" w:line="1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44" w:lineRule="exact"/>
        <w:rPr>
          <w:sz w:val="24"/>
          <w:szCs w:val="24"/>
          <w:color w:val="auto"/>
        </w:rPr>
      </w:pPr>
    </w:p>
    <w:p>
      <w:pPr>
        <w:ind w:right="140" w:firstLine="648"/>
        <w:spacing w:after="0" w:line="235" w:lineRule="auto"/>
        <w:rPr>
          <w:sz w:val="20"/>
          <w:szCs w:val="20"/>
          <w:color w:val="auto"/>
        </w:rPr>
      </w:pPr>
      <w:r>
        <w:rPr>
          <w:rFonts w:ascii="Arial" w:cs="Arial" w:eastAsia="Arial" w:hAnsi="Arial"/>
          <w:sz w:val="18"/>
          <w:szCs w:val="18"/>
          <w:color w:val="auto"/>
        </w:rPr>
        <w:t>As of August 13, 2018, no common units of limited partnership interest of the Registrant were held by non-affiliates of the Registrant. There is no established trading market for such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146050</wp:posOffset>
            </wp:positionV>
            <wp:extent cx="7195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518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163195</wp:posOffset>
            </wp:positionV>
            <wp:extent cx="7195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10320" w:type="dxa"/>
            <w:vAlign w:val="bottom"/>
          </w:tcPr>
          <w:p>
            <w:pPr>
              <w:ind w:left="18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67"/>
        </w:trPr>
        <w:tc>
          <w:tcPr>
            <w:tcW w:w="860" w:type="dxa"/>
            <w:vAlign w:val="bottom"/>
          </w:tcPr>
          <w:p>
            <w:pPr>
              <w:spacing w:after="0"/>
              <w:rPr>
                <w:sz w:val="24"/>
                <w:szCs w:val="24"/>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Balance Sheets as of June 30, 2018 (unaudited) and December 31,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three and six months ended June 30, 2018 and 2017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Income for the three and six months ended June 30, 2018 and 2017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 of Capital for the six months ended June 30, 2018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six months ended June 30, 2018 and 2017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r>
      <w:tr>
        <w:trPr>
          <w:trHeight w:val="291"/>
        </w:trPr>
        <w:tc>
          <w:tcPr>
            <w:tcW w:w="860" w:type="dxa"/>
            <w:vAlign w:val="bottom"/>
          </w:tcPr>
          <w:p>
            <w:pPr>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PART II.</w:t>
              </w:r>
            </w:hyperlink>
          </w:p>
        </w:tc>
        <w:tc>
          <w:tcPr>
            <w:tcW w:w="10320" w:type="dxa"/>
            <w:vAlign w:val="bottom"/>
          </w:tcPr>
          <w:p>
            <w:pPr>
              <w:ind w:left="180"/>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03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1032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10320" w:type="dxa"/>
            <w:vAlign w:val="bottom"/>
          </w:tcPr>
          <w:p>
            <w:pPr>
              <w:ind w:left="1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39</w:t>
              </w:r>
            </w:hyperlink>
          </w:p>
        </w:tc>
      </w:tr>
      <w:tr>
        <w:trPr>
          <w:trHeight w:val="723"/>
        </w:trPr>
        <w:tc>
          <w:tcPr>
            <w:tcW w:w="860" w:type="dxa"/>
            <w:vAlign w:val="bottom"/>
          </w:tcPr>
          <w:p>
            <w:pPr>
              <w:spacing w:after="0"/>
              <w:rPr>
                <w:sz w:val="24"/>
                <w:szCs w:val="24"/>
                <w:color w:val="auto"/>
              </w:rPr>
            </w:pPr>
          </w:p>
        </w:tc>
        <w:tc>
          <w:tcPr>
            <w:tcW w:w="10320" w:type="dxa"/>
            <w:vAlign w:val="bottom"/>
          </w:tcPr>
          <w:p>
            <w:pPr>
              <w:ind w:left="47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2018</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Commercial real estate properties, at cost:</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Land and land interests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1,274,981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1,704,142</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Building and improvements</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3,172,505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4,251,610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Building leasehold and improvements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1,073,703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1,073,703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5,521,189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7,029,455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(1,246,512)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(1,492,603)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4,274,677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5,536,852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67,228</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36,069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36,013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36,658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41,117</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Tenant and other receivables, net of allowance of $7,209 and $7,237 in 2018 and 2017, respectively</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23,010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31,006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Deferred rents receivable, net of allowance of $9,834 and $11,189 in 2018 and 2017,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183,972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233,300</w:t>
            </w:r>
          </w:p>
        </w:tc>
        <w:tc>
          <w:tcPr>
            <w:tcW w:w="0" w:type="dxa"/>
            <w:vAlign w:val="bottom"/>
          </w:tcPr>
          <w:p>
            <w:pPr>
              <w:spacing w:after="0"/>
              <w:rPr>
                <w:sz w:val="1"/>
                <w:szCs w:val="1"/>
                <w:color w:val="auto"/>
              </w:rPr>
            </w:pPr>
          </w:p>
        </w:tc>
      </w:tr>
      <w:tr>
        <w:trPr>
          <w:trHeight w:val="220"/>
        </w:trPr>
        <w:tc>
          <w:tcPr>
            <w:tcW w:w="7580" w:type="dxa"/>
            <w:vAlign w:val="bottom"/>
            <w:gridSpan w:val="4"/>
          </w:tcPr>
          <w:p>
            <w:pPr>
              <w:ind w:left="40"/>
              <w:spacing w:after="0"/>
              <w:rPr>
                <w:sz w:val="20"/>
                <w:szCs w:val="20"/>
                <w:color w:val="auto"/>
              </w:rPr>
            </w:pPr>
            <w:r>
              <w:rPr>
                <w:rFonts w:ascii="Arial" w:cs="Arial" w:eastAsia="Arial" w:hAnsi="Arial"/>
                <w:sz w:val="16"/>
                <w:szCs w:val="16"/>
                <w:color w:val="auto"/>
                <w:w w:val="95"/>
              </w:rPr>
              <w:t>Debt and preferred equity investments, net of discounts and deferred origination fees of $23,216 and $25,507 in</w:t>
            </w:r>
          </w:p>
        </w:tc>
        <w:tc>
          <w:tcPr>
            <w:tcW w:w="280" w:type="dxa"/>
            <w:vAlign w:val="bottom"/>
          </w:tcPr>
          <w:p>
            <w:pPr>
              <w:spacing w:after="0"/>
              <w:rPr>
                <w:sz w:val="19"/>
                <w:szCs w:val="19"/>
                <w:color w:val="auto"/>
              </w:rPr>
            </w:pPr>
          </w:p>
        </w:tc>
        <w:tc>
          <w:tcPr>
            <w:tcW w:w="15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2,168,515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2018 and 2017, respectively</w:t>
            </w:r>
          </w:p>
        </w:tc>
        <w:tc>
          <w:tcPr>
            <w:tcW w:w="2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2,114,041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513,889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130,217</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Deferred costs, net of accumulated amortization of $77,824 and $77,176 in 2018 and 2017, respectively</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73,539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106,136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216,152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245,598</w:t>
            </w:r>
          </w:p>
        </w:tc>
        <w:tc>
          <w:tcPr>
            <w:tcW w:w="0" w:type="dxa"/>
            <w:vAlign w:val="bottom"/>
          </w:tcPr>
          <w:p>
            <w:pPr>
              <w:spacing w:after="0"/>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7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7,581,175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8,541,508</w:t>
            </w:r>
          </w:p>
        </w:tc>
        <w:tc>
          <w:tcPr>
            <w:tcW w:w="0" w:type="dxa"/>
            <w:vAlign w:val="bottom"/>
          </w:tcPr>
          <w:p>
            <w:pPr>
              <w:spacing w:after="0"/>
              <w:rPr>
                <w:sz w:val="1"/>
                <w:szCs w:val="1"/>
                <w:color w:val="auto"/>
              </w:rPr>
            </w:pPr>
          </w:p>
        </w:tc>
      </w:tr>
      <w:tr>
        <w:trPr>
          <w:trHeight w:val="170"/>
        </w:trPr>
        <w:tc>
          <w:tcPr>
            <w:tcW w:w="7580" w:type="dxa"/>
            <w:vAlign w:val="bottom"/>
            <w:gridSpan w:val="4"/>
            <w:shd w:val="clear" w:color="auto" w:fill="CCEEFF"/>
          </w:tcPr>
          <w:p>
            <w:pPr>
              <w:ind w:left="40"/>
              <w:spacing w:after="0" w:line="170" w:lineRule="exact"/>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6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Mortgages and other loans payable, net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543,907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829,648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Unsecured notes,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901,301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901,067</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Accrued interest payable</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12,857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14,999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92,514</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56,118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60,819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Related party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23,808</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18,608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134,650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Deferred land leases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Dividends payable</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807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Security deposits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39,085</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Liabilities related to assets held for sale</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7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Total liabilities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1,666,941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2,099,327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0"/>
          </w:cols>
          <w:pgMar w:left="24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2018</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580" w:type="dxa"/>
            <w:vAlign w:val="bottom"/>
            <w:gridSpan w:val="3"/>
          </w:tcPr>
          <w:p>
            <w:pPr>
              <w:ind w:left="40"/>
              <w:spacing w:after="0"/>
              <w:rPr>
                <w:sz w:val="20"/>
                <w:szCs w:val="20"/>
                <w:color w:val="auto"/>
              </w:rPr>
            </w:pPr>
            <w:r>
              <w:rPr>
                <w:rFonts w:ascii="Arial" w:cs="Arial" w:eastAsia="Arial" w:hAnsi="Arial"/>
                <w:sz w:val="16"/>
                <w:szCs w:val="16"/>
                <w:color w:val="auto"/>
              </w:rPr>
              <w:t>Preferred units</w:t>
            </w: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109,161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109,161</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03"/>
        </w:trPr>
        <w:tc>
          <w:tcPr>
            <w:tcW w:w="7580" w:type="dxa"/>
            <w:vAlign w:val="bottom"/>
            <w:gridSpan w:val="3"/>
          </w:tcPr>
          <w:p>
            <w:pPr>
              <w:ind w:left="40"/>
              <w:spacing w:after="0"/>
              <w:rPr>
                <w:sz w:val="20"/>
                <w:szCs w:val="20"/>
                <w:color w:val="auto"/>
              </w:rPr>
            </w:pPr>
            <w:r>
              <w:rPr>
                <w:rFonts w:ascii="Arial" w:cs="Arial" w:eastAsia="Arial" w:hAnsi="Arial"/>
                <w:sz w:val="16"/>
                <w:szCs w:val="16"/>
                <w:b w:val="1"/>
                <w:bCs w:val="1"/>
                <w:color w:val="auto"/>
              </w:rPr>
              <w:t>Capital</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General partner capital</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5,780,209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6,012,134</w:t>
            </w:r>
          </w:p>
        </w:tc>
      </w:tr>
      <w:tr>
        <w:trPr>
          <w:trHeight w:val="237"/>
        </w:trPr>
        <w:tc>
          <w:tcPr>
            <w:tcW w:w="7580" w:type="dxa"/>
            <w:vAlign w:val="bottom"/>
            <w:gridSpan w:val="3"/>
          </w:tcPr>
          <w:p>
            <w:pPr>
              <w:ind w:left="40"/>
              <w:spacing w:after="0"/>
              <w:rPr>
                <w:sz w:val="20"/>
                <w:szCs w:val="20"/>
                <w:color w:val="auto"/>
              </w:rPr>
            </w:pPr>
            <w:r>
              <w:rPr>
                <w:rFonts w:ascii="Arial" w:cs="Arial" w:eastAsia="Arial" w:hAnsi="Arial"/>
                <w:sz w:val="16"/>
                <w:szCs w:val="16"/>
                <w:color w:val="auto"/>
              </w:rPr>
              <w:t>Limited partner capital</w:t>
            </w:r>
          </w:p>
        </w:tc>
        <w:tc>
          <w:tcPr>
            <w:tcW w:w="2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17"/>
        </w:trPr>
        <w:tc>
          <w:tcPr>
            <w:tcW w:w="40" w:type="dxa"/>
            <w:vAlign w:val="bottom"/>
          </w:tcPr>
          <w:p>
            <w:pPr>
              <w:spacing w:after="0"/>
              <w:rPr>
                <w:sz w:val="18"/>
                <w:szCs w:val="18"/>
                <w:color w:val="auto"/>
              </w:rPr>
            </w:pPr>
          </w:p>
        </w:tc>
        <w:tc>
          <w:tcPr>
            <w:tcW w:w="7540" w:type="dxa"/>
            <w:vAlign w:val="bottom"/>
            <w:gridSpan w:val="2"/>
          </w:tcPr>
          <w:p>
            <w:pPr>
              <w:ind w:left="140"/>
              <w:spacing w:after="0"/>
              <w:rPr>
                <w:sz w:val="20"/>
                <w:szCs w:val="20"/>
                <w:color w:val="auto"/>
              </w:rPr>
            </w:pPr>
            <w:r>
              <w:rPr>
                <w:rFonts w:ascii="Arial" w:cs="Arial" w:eastAsia="Arial" w:hAnsi="Arial"/>
                <w:sz w:val="16"/>
                <w:szCs w:val="16"/>
                <w:color w:val="auto"/>
              </w:rPr>
              <w:t>Total ROP partner's capital</w:t>
            </w: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5,780,209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6,010,875</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Noncontrolling interests in other partnerships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24,864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322,145</w:t>
            </w:r>
          </w:p>
        </w:tc>
      </w:tr>
      <w:tr>
        <w:trPr>
          <w:trHeight w:val="217"/>
        </w:trPr>
        <w:tc>
          <w:tcPr>
            <w:tcW w:w="40" w:type="dxa"/>
            <w:vAlign w:val="bottom"/>
          </w:tcPr>
          <w:p>
            <w:pPr>
              <w:spacing w:after="0"/>
              <w:rPr>
                <w:sz w:val="18"/>
                <w:szCs w:val="18"/>
                <w:color w:val="auto"/>
              </w:rPr>
            </w:pPr>
          </w:p>
        </w:tc>
        <w:tc>
          <w:tcPr>
            <w:tcW w:w="7540" w:type="dxa"/>
            <w:vAlign w:val="bottom"/>
            <w:gridSpan w:val="2"/>
          </w:tcPr>
          <w:p>
            <w:pPr>
              <w:ind w:left="140"/>
              <w:spacing w:after="0"/>
              <w:rPr>
                <w:sz w:val="20"/>
                <w:szCs w:val="20"/>
                <w:color w:val="auto"/>
              </w:rPr>
            </w:pPr>
            <w:r>
              <w:rPr>
                <w:rFonts w:ascii="Arial" w:cs="Arial" w:eastAsia="Arial" w:hAnsi="Arial"/>
                <w:sz w:val="16"/>
                <w:szCs w:val="16"/>
                <w:color w:val="auto"/>
              </w:rPr>
              <w:t>Total capital</w:t>
            </w: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5,805,073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6,333,020</w:t>
            </w:r>
          </w:p>
        </w:tc>
      </w:tr>
      <w:tr>
        <w:trPr>
          <w:trHeight w:val="33"/>
        </w:trPr>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 and capital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7,581,175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8,541,508</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 w:right="140" w:hanging="5"/>
        <w:spacing w:after="0" w:line="256" w:lineRule="auto"/>
        <w:tabs>
          <w:tab w:leader="none" w:pos="148" w:val="left"/>
        </w:tabs>
        <w:numPr>
          <w:ilvl w:val="0"/>
          <w:numId w:val="3"/>
        </w:numPr>
        <w:rPr>
          <w:rFonts w:ascii="Arial" w:cs="Arial" w:eastAsia="Arial" w:hAnsi="Arial"/>
          <w:sz w:val="8"/>
          <w:szCs w:val="8"/>
          <w:color w:val="auto"/>
        </w:rPr>
      </w:pPr>
      <w:r>
        <w:rPr>
          <w:rFonts w:ascii="Arial" w:cs="Arial" w:eastAsia="Arial" w:hAnsi="Arial"/>
          <w:sz w:val="13"/>
          <w:szCs w:val="13"/>
          <w:color w:val="auto"/>
        </w:rPr>
        <w:t>The Company's consolidated balance sheets include assets and liabilities of consolidated variable interest entities ("VIEs"). See Note 2. The consolidated balance sheets include the following amounts related to our consolidated VIEs: $45.1 million and $268.6 million of land, $0.2 billion and $1.3 billion of building and improvements, $19.0 million and $319.1 million of accumulated depreciation, $623.3 million and $143.9 million of other assets included in other line items, $0.0 million and $495.0 million of real estate debt, net, $0.0 million and $2.1 million of accrued interest payable, and $10.1 million and $48.8 million of other liabilities included in other line items as of June 30, 2018 and December 31, 2017, respectively.</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320" w:type="dxa"/>
            <w:vAlign w:val="bottom"/>
            <w:gridSpan w:val="6"/>
          </w:tcPr>
          <w:p>
            <w:pPr>
              <w:ind w:left="80"/>
              <w:spacing w:after="0"/>
              <w:rPr>
                <w:sz w:val="20"/>
                <w:szCs w:val="20"/>
                <w:color w:val="auto"/>
              </w:rPr>
            </w:pPr>
            <w:r>
              <w:rPr>
                <w:rFonts w:ascii="Arial" w:cs="Arial" w:eastAsia="Arial" w:hAnsi="Arial"/>
                <w:sz w:val="16"/>
                <w:szCs w:val="16"/>
                <w:b w:val="1"/>
                <w:bCs w:val="1"/>
                <w:color w:val="auto"/>
                <w:w w:val="97"/>
              </w:rPr>
              <w:t>Three Months Ended June 30,</w:t>
            </w:r>
          </w:p>
        </w:tc>
        <w:tc>
          <w:tcPr>
            <w:tcW w:w="140" w:type="dxa"/>
            <w:vAlign w:val="bottom"/>
          </w:tcPr>
          <w:p>
            <w:pPr>
              <w:spacing w:after="0"/>
              <w:rPr>
                <w:sz w:val="18"/>
                <w:szCs w:val="18"/>
                <w:color w:val="auto"/>
              </w:rPr>
            </w:pPr>
          </w:p>
        </w:tc>
        <w:tc>
          <w:tcPr>
            <w:tcW w:w="21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Six Months Ended June 30,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revenue, net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135,623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273,120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335,030</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Escalation and reimbursement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19,368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22,897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39,908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47,442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100,978</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6,591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10,287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211,048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417,277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484,167</w:t>
            </w:r>
          </w:p>
        </w:tc>
        <w:tc>
          <w:tcPr>
            <w:tcW w:w="0" w:type="dxa"/>
            <w:vAlign w:val="bottom"/>
          </w:tcPr>
          <w:p>
            <w:pPr>
              <w:spacing w:after="0"/>
              <w:rPr>
                <w:sz w:val="1"/>
                <w:szCs w:val="1"/>
                <w:color w:val="auto"/>
              </w:rPr>
            </w:pP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Operating expenses, including related party expenses of $6,176 and $12,157 in 2018, and $6,649 and</w:t>
            </w: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32,513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$13,178 in 2017,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80,490</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Real estate taxes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32,146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38,826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64,545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77,622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Ground rent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10,470</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17,171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32,360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61,575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41,284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50,773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83,296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102,557</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Transaction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Marketing, general and administrative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130,334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261,484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337,071</w:t>
            </w:r>
          </w:p>
        </w:tc>
        <w:tc>
          <w:tcPr>
            <w:tcW w:w="0" w:type="dxa"/>
            <w:vAlign w:val="bottom"/>
          </w:tcPr>
          <w:p>
            <w:pPr>
              <w:spacing w:after="0"/>
              <w:rPr>
                <w:sz w:val="1"/>
                <w:szCs w:val="1"/>
                <w:color w:val="auto"/>
              </w:rPr>
            </w:pPr>
          </w:p>
        </w:tc>
      </w:tr>
      <w:tr>
        <w:trPr>
          <w:trHeight w:val="200"/>
        </w:trPr>
        <w:tc>
          <w:tcPr>
            <w:tcW w:w="6860" w:type="dxa"/>
            <w:vAlign w:val="bottom"/>
          </w:tcPr>
          <w:p>
            <w:pPr>
              <w:ind w:left="40"/>
              <w:spacing w:after="0"/>
              <w:rPr>
                <w:sz w:val="20"/>
                <w:szCs w:val="20"/>
                <w:color w:val="auto"/>
              </w:rPr>
            </w:pPr>
            <w:r>
              <w:rPr>
                <w:rFonts w:ascii="Arial" w:cs="Arial" w:eastAsia="Arial" w:hAnsi="Arial"/>
                <w:sz w:val="16"/>
                <w:szCs w:val="16"/>
                <w:color w:val="auto"/>
                <w:w w:val="98"/>
              </w:rPr>
              <w:t>Income before equity in net income from unconsolidated joint ventures, equity in net gain (loss) on</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0"/>
              <w:spacing w:after="0"/>
              <w:rPr>
                <w:sz w:val="20"/>
                <w:szCs w:val="20"/>
                <w:color w:val="auto"/>
              </w:rPr>
            </w:pPr>
            <w:r>
              <w:rPr>
                <w:rFonts w:ascii="Arial" w:cs="Arial" w:eastAsia="Arial" w:hAnsi="Arial"/>
                <w:sz w:val="16"/>
                <w:szCs w:val="16"/>
                <w:color w:val="auto"/>
              </w:rPr>
              <w:t>sale of interest in unconsolidated joint venture/real estate, purchase price and other fair value</w:t>
            </w:r>
          </w:p>
        </w:tc>
        <w:tc>
          <w:tcPr>
            <w:tcW w:w="240" w:type="dxa"/>
            <w:vAlign w:val="bottom"/>
          </w:tcPr>
          <w:p>
            <w:pPr>
              <w:spacing w:after="0"/>
              <w:rPr>
                <w:sz w:val="17"/>
                <w:szCs w:val="17"/>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80,714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155,793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60" w:type="dxa"/>
            <w:vAlign w:val="bottom"/>
          </w:tcPr>
          <w:p>
            <w:pPr>
              <w:ind w:left="200"/>
              <w:spacing w:after="0"/>
              <w:rPr>
                <w:sz w:val="20"/>
                <w:szCs w:val="20"/>
                <w:color w:val="auto"/>
              </w:rPr>
            </w:pPr>
            <w:r>
              <w:rPr>
                <w:rFonts w:ascii="Arial" w:cs="Arial" w:eastAsia="Arial" w:hAnsi="Arial"/>
                <w:sz w:val="16"/>
                <w:szCs w:val="16"/>
                <w:color w:val="auto"/>
              </w:rPr>
              <w:t>adjustments, (loss) gain on sale of real estate, and depreciable real estate reserves</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83,947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147,096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from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7,435</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Equity in net gain (loss) on sale of interest in unconsolidated joint venture/real estate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price and other fair value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(Loss) gain on sale of real estate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(14,863)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(14,863)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4,933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Depreciable real estate reserves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(85,328)</w:t>
            </w:r>
          </w:p>
        </w:tc>
        <w:tc>
          <w:tcPr>
            <w:tcW w:w="0" w:type="dxa"/>
            <w:vAlign w:val="bottom"/>
          </w:tcPr>
          <w:p>
            <w:pPr>
              <w:spacing w:after="0"/>
              <w:rPr>
                <w:sz w:val="1"/>
                <w:szCs w:val="1"/>
                <w:color w:val="auto"/>
              </w:rPr>
            </w:pPr>
          </w:p>
        </w:tc>
      </w:tr>
      <w:tr>
        <w:trPr>
          <w:trHeight w:val="217"/>
        </w:trPr>
        <w:tc>
          <w:tcPr>
            <w:tcW w:w="68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67,373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62,997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199,426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74,139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noncontrolling interests in other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18,120</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Preferred units distributions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ROP common unitholder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197,012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90,351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ROP common unitholder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66,206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197,012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90,351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net unrealized gain on derivative instruments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 attributable to ROP common unitholder</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66,206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80,266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197,012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90,531</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General</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Partner's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Noncontrolling</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Class A</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Limited Partner's</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In Other</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300" w:type="dxa"/>
            <w:vAlign w:val="bottom"/>
          </w:tcPr>
          <w:p>
            <w:pPr>
              <w:spacing w:after="0"/>
              <w:rPr>
                <w:sz w:val="17"/>
                <w:szCs w:val="17"/>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10"/>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Partnerships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(Loss) Income</w:t>
            </w:r>
          </w:p>
        </w:tc>
        <w:tc>
          <w:tcPr>
            <w:tcW w:w="30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Capital</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6,012,134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322,145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6,333,020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1,113,642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1,114,901</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(1,542,579)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(1,543,224)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Deconsolidation of partially owned entity</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(297,140)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(297,140)</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197,516</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5,780,209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24,864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5,805,073</w:t>
            </w: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line="36" w:lineRule="exact"/>
        <w:rPr>
          <w:sz w:val="20"/>
          <w:szCs w:val="20"/>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199,426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74,139</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86,352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106,683</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Equity in net income from unconsolidated joint ventures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(3,999)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(7,435)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9,479</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Equity in net gain (loss) on sale of interest in unconsolidated joint venture interest/real estate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363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price and other fair value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Loss (gain) on sale of real estate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14,863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(4,933)</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Depreciable real estate reserves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85,328</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Deferred rents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2,272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(6,446)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non-cash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(24,586)</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Tenant and other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2,949</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Deferred lease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(5,511)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(6,713)</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(18,061)</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9,240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 and land leases payable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0" w:type="dxa"/>
            <w:vAlign w:val="bottom"/>
          </w:tcPr>
          <w:p>
            <w:pPr>
              <w:spacing w:after="0"/>
              <w:rPr>
                <w:sz w:val="1"/>
                <w:szCs w:val="1"/>
                <w:color w:val="auto"/>
              </w:rPr>
            </w:pPr>
          </w:p>
        </w:tc>
      </w:tr>
      <w:tr>
        <w:trPr>
          <w:trHeight w:val="217"/>
        </w:trPr>
        <w:tc>
          <w:tcPr>
            <w:tcW w:w="82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222,181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207,878</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Acquisitions of real estate properties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to land, buildings 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(51,777)</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Capital improvements/acquisition deposits/deferred purchase price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104,071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48,616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156,163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58,248</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(23,166)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28,459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Origination of debt and preferred equity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(603,575)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(854,577)</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310,813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633,140</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(137,975)</w:t>
            </w:r>
          </w:p>
        </w:tc>
        <w:tc>
          <w:tcPr>
            <w:tcW w:w="0" w:type="dxa"/>
            <w:vAlign w:val="bottom"/>
          </w:tcPr>
          <w:p>
            <w:pPr>
              <w:spacing w:after="0"/>
              <w:rPr>
                <w:sz w:val="1"/>
                <w:szCs w:val="1"/>
                <w:color w:val="auto"/>
              </w:rPr>
            </w:pPr>
          </w:p>
        </w:tc>
      </w:tr>
      <w:tr>
        <w:trPr>
          <w:trHeight w:val="23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Proceeds from mortgages and other loans payable</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209,191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revolving credit facility and senior unsecured notes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1,072,800</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Repayments of revolving credit facility and senior unsecured notes</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(872,800)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in other partnerships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Contributions from common unitholder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981,135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1,775,488</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common and preferred unitholders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(1,286,336)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(2,272,349)</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Other obligations related to loan participations</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loan costs and capitalized lease obligation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217"/>
        </w:trPr>
        <w:tc>
          <w:tcPr>
            <w:tcW w:w="82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(97,756)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(41,396)</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28,507</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77,130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103,419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131,926</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improvements and capital expenditures payable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Transfer of assets related to assets held for sale</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173,918</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 of liabilities related to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Removal of fully depreciated commercial real estate properties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11,540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common unitholder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132,507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138,304</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Distributions to common unitholder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258,153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Deconsolidation of a subsidiary</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280,718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3,520</w:t>
            </w:r>
          </w:p>
        </w:tc>
        <w:tc>
          <w:tcPr>
            <w:tcW w:w="0" w:type="dxa"/>
            <w:vAlign w:val="bottom"/>
          </w:tcPr>
          <w:p>
            <w:pPr>
              <w:spacing w:after="0"/>
              <w:rPr>
                <w:sz w:val="1"/>
                <w:szCs w:val="1"/>
                <w:color w:val="auto"/>
              </w:rPr>
            </w:pPr>
          </w:p>
        </w:tc>
      </w:tr>
      <w:tr>
        <w:trPr>
          <w:trHeight w:val="33"/>
        </w:trPr>
        <w:tc>
          <w:tcPr>
            <w:tcW w:w="8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75" w:orient="portrait"/>
          <w:cols w:equalWidth="0" w:num="1">
            <w:col w:w="11420"/>
          </w:cols>
          <w:pgMar w:left="240" w:top="125" w:right="239" w:bottom="0" w:gutter="0" w:footer="0" w:header="0"/>
        </w:sectPr>
      </w:pPr>
    </w:p>
    <w:p>
      <w:pPr>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ectPr>
          <w:pgSz w:w="11900" w:h="16875" w:orient="portrait"/>
          <w:cols w:equalWidth="0" w:num="1">
            <w:col w:w="11420"/>
          </w:cols>
          <w:pgMar w:left="240" w:top="125"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36,069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36,658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80,948</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cash, cash equivalents, and restricted cash</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72,727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131,926</w:t>
            </w:r>
          </w:p>
        </w:tc>
      </w:tr>
      <w:tr>
        <w:trPr>
          <w:trHeight w:val="33"/>
        </w:trPr>
        <w:tc>
          <w:tcPr>
            <w:tcW w:w="7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2"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Reckson Operating Partnership, L.P., or ROP, commenced operations on June 2, 1995. The sole general partner of ROP is Wyoming Acquisition GP LLC., or WAGP, a wholly-owned subsidiary of SL Green Operating Partnership, L.P., or the Operating Partnership. The sole limited partner of ROP is the Operating Partnership. The Operating Partnership is 94.80% owned by SL Green Realty Corp., or SL Green, as of June 30, 2018. SL Green is a self-administered and self-managed real estate investment trust, and is the sole managing general partner of the Operating Partnership. Unless the context requires otherwise, all references to "we," "our," "us" and the "Company" means ROP and all entities owned or controlled by ROP.</w:t>
      </w:r>
    </w:p>
    <w:p>
      <w:pPr>
        <w:spacing w:after="0" w:line="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engaged in the acquisition, ownership, management and operation of commercial and residential real estate properties, principally office properties, and also own land for future development in the New York metropolitan area.</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2018, we owned the following interests in properties in the New York metropolitan area, primarily in midtown Manhattan. Our investments located outside of Manhattan are referred to as the Suburban properties: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ind w:left="480"/>
              <w:spacing w:after="0"/>
              <w:rPr>
                <w:sz w:val="20"/>
                <w:szCs w:val="20"/>
                <w:color w:val="auto"/>
              </w:rPr>
            </w:pPr>
            <w:r>
              <w:rPr>
                <w:rFonts w:ascii="Arial" w:cs="Arial" w:eastAsia="Arial" w:hAnsi="Arial"/>
                <w:sz w:val="16"/>
                <w:szCs w:val="16"/>
                <w:b w:val="1"/>
                <w:bCs w:val="1"/>
                <w:color w:val="auto"/>
              </w:rPr>
              <w:t>Number of</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Approximate Square</w:t>
            </w:r>
          </w:p>
        </w:tc>
        <w:tc>
          <w:tcPr>
            <w:tcW w:w="100" w:type="dxa"/>
            <w:vAlign w:val="bottom"/>
          </w:tcPr>
          <w:p>
            <w:pPr>
              <w:spacing w:after="0"/>
              <w:rPr>
                <w:sz w:val="17"/>
                <w:szCs w:val="17"/>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Weighted Average</w:t>
            </w:r>
          </w:p>
        </w:tc>
      </w:tr>
      <w:tr>
        <w:trPr>
          <w:trHeight w:val="243"/>
        </w:trPr>
        <w:tc>
          <w:tcPr>
            <w:tcW w:w="280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Location</w:t>
            </w:r>
          </w:p>
        </w:tc>
        <w:tc>
          <w:tcPr>
            <w:tcW w:w="12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Properties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Feet (unaudited)</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Occupancy</w:t>
            </w:r>
            <w:r>
              <w:rPr>
                <w:rFonts w:ascii="Arial" w:cs="Arial" w:eastAsia="Arial" w:hAnsi="Arial"/>
                <w:sz w:val="21"/>
                <w:szCs w:val="21"/>
                <w:b w:val="1"/>
                <w:bCs w:val="1"/>
                <w:color w:val="auto"/>
                <w:w w:val="92"/>
                <w:vertAlign w:val="superscript"/>
              </w:rPr>
              <w:t>(1)</w:t>
            </w:r>
            <w:r>
              <w:rPr>
                <w:rFonts w:ascii="Arial" w:cs="Arial" w:eastAsia="Arial" w:hAnsi="Arial"/>
                <w:sz w:val="16"/>
                <w:szCs w:val="16"/>
                <w:b w:val="1"/>
                <w:bCs w:val="1"/>
                <w:color w:val="auto"/>
                <w:w w:val="92"/>
              </w:rPr>
              <w:t xml:space="preserve"> (unaudited)</w:t>
            </w:r>
          </w:p>
        </w:tc>
      </w:tr>
      <w:tr>
        <w:trPr>
          <w:trHeight w:val="24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Commercial:</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2920" w:type="dxa"/>
            <w:vAlign w:val="bottom"/>
            <w:gridSpan w:val="2"/>
          </w:tcPr>
          <w:p>
            <w:pPr>
              <w:ind w:left="180"/>
              <w:spacing w:after="0"/>
              <w:rPr>
                <w:sz w:val="20"/>
                <w:szCs w:val="20"/>
                <w:color w:val="auto"/>
              </w:rPr>
            </w:pPr>
            <w:r>
              <w:rPr>
                <w:rFonts w:ascii="Arial" w:cs="Arial" w:eastAsia="Arial" w:hAnsi="Arial"/>
                <w:sz w:val="16"/>
                <w:szCs w:val="16"/>
                <w:color w:val="auto"/>
              </w:rPr>
              <w:t>Manhattan</w:t>
            </w: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Office</w:t>
            </w:r>
            <w:r>
              <w:rPr>
                <w:rFonts w:ascii="Arial" w:cs="Arial" w:eastAsia="Arial" w:hAnsi="Arial"/>
                <w:sz w:val="21"/>
                <w:szCs w:val="21"/>
                <w:color w:val="auto"/>
                <w:w w:val="86"/>
                <w:vertAlign w:val="superscript"/>
              </w:rPr>
              <w:t>(2)(3)</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8,303,245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96.0%</w:t>
            </w:r>
          </w:p>
        </w:tc>
      </w:tr>
      <w:tr>
        <w:trPr>
          <w:trHeight w:val="270"/>
        </w:trPr>
        <w:tc>
          <w:tcPr>
            <w:tcW w:w="2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5"/>
              </w:rPr>
              <w:t>Retail</w:t>
            </w:r>
            <w:r>
              <w:rPr>
                <w:rFonts w:ascii="Arial" w:cs="Arial" w:eastAsia="Arial" w:hAnsi="Arial"/>
                <w:sz w:val="21"/>
                <w:szCs w:val="21"/>
                <w:color w:val="auto"/>
                <w:w w:val="85"/>
                <w:vertAlign w:val="superscript"/>
              </w:rPr>
              <w:t>(4)(5)</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364,816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237"/>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Development/Redevelopment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160,000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8,828,061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94.4%</w:t>
            </w:r>
          </w:p>
        </w:tc>
      </w:tr>
      <w:tr>
        <w:trPr>
          <w:trHeight w:val="33"/>
        </w:trPr>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0"/>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Suburban</w:t>
            </w:r>
          </w:p>
        </w:tc>
        <w:tc>
          <w:tcPr>
            <w:tcW w:w="3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Office</w:t>
            </w:r>
            <w:r>
              <w:rPr>
                <w:rFonts w:ascii="Arial" w:cs="Arial" w:eastAsia="Arial" w:hAnsi="Arial"/>
                <w:sz w:val="21"/>
                <w:szCs w:val="21"/>
                <w:color w:val="auto"/>
                <w:w w:val="91"/>
                <w:vertAlign w:val="superscript"/>
              </w:rPr>
              <w:t>(6)</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1,972,400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37"/>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Retail</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52,000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2,024,400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217"/>
        </w:trPr>
        <w:tc>
          <w:tcPr>
            <w:tcW w:w="2920" w:type="dxa"/>
            <w:vAlign w:val="bottom"/>
            <w:gridSpan w:val="2"/>
          </w:tcPr>
          <w:p>
            <w:pPr>
              <w:ind w:left="280"/>
              <w:spacing w:after="0"/>
              <w:rPr>
                <w:sz w:val="20"/>
                <w:szCs w:val="20"/>
                <w:color w:val="auto"/>
              </w:rPr>
            </w:pPr>
            <w:r>
              <w:rPr>
                <w:rFonts w:ascii="Arial" w:cs="Arial" w:eastAsia="Arial" w:hAnsi="Arial"/>
                <w:sz w:val="16"/>
                <w:szCs w:val="16"/>
                <w:color w:val="auto"/>
              </w:rPr>
              <w:t>Total commercial properties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10,852,461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92.9%</w:t>
            </w:r>
          </w:p>
        </w:tc>
      </w:tr>
      <w:tr>
        <w:trPr>
          <w:trHeight w:val="33"/>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Residential:</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2920" w:type="dxa"/>
            <w:vAlign w:val="bottom"/>
            <w:gridSpan w:val="2"/>
          </w:tcPr>
          <w:p>
            <w:pPr>
              <w:ind w:left="180"/>
              <w:spacing w:after="0"/>
              <w:rPr>
                <w:sz w:val="20"/>
                <w:szCs w:val="20"/>
                <w:color w:val="auto"/>
              </w:rPr>
            </w:pPr>
            <w:r>
              <w:rPr>
                <w:rFonts w:ascii="Arial" w:cs="Arial" w:eastAsia="Arial" w:hAnsi="Arial"/>
                <w:sz w:val="16"/>
                <w:szCs w:val="16"/>
                <w:color w:val="auto"/>
              </w:rPr>
              <w:t>Manhattan</w:t>
            </w: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Residential</w:t>
            </w:r>
            <w:r>
              <w:rPr>
                <w:rFonts w:ascii="Arial" w:cs="Arial" w:eastAsia="Arial" w:hAnsi="Arial"/>
                <w:sz w:val="21"/>
                <w:szCs w:val="21"/>
                <w:color w:val="auto"/>
                <w:w w:val="89"/>
                <w:vertAlign w:val="superscript"/>
              </w:rPr>
              <w:t>(4)</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222,855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95.5%</w:t>
            </w:r>
          </w:p>
        </w:tc>
      </w:tr>
      <w:tr>
        <w:trPr>
          <w:trHeight w:val="244"/>
        </w:trPr>
        <w:tc>
          <w:tcPr>
            <w:tcW w:w="29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portfolio</w:t>
            </w:r>
          </w:p>
        </w:tc>
        <w:tc>
          <w:tcPr>
            <w:tcW w:w="2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11,075,316</w:t>
            </w:r>
          </w:p>
        </w:tc>
        <w:tc>
          <w:tcPr>
            <w:tcW w:w="1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92.9%</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right="20" w:hanging="412"/>
        <w:spacing w:after="0" w:line="250"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one unconsolidated joint venture property at 919 Third Avenue comprised of approximately 1,454,000 square feet.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one unconsolidated TIC interest at 2 Herald Square, which is under contract for sale as of June 30, 2018.</w:t>
      </w:r>
    </w:p>
    <w:p>
      <w:pPr>
        <w:spacing w:after="0" w:line="1" w:lineRule="exact"/>
        <w:rPr>
          <w:rFonts w:ascii="Arial" w:cs="Arial" w:eastAsia="Arial" w:hAnsi="Arial"/>
          <w:sz w:val="14"/>
          <w:szCs w:val="14"/>
          <w:color w:val="auto"/>
        </w:rPr>
      </w:pPr>
    </w:p>
    <w:p>
      <w:pPr>
        <w:jc w:val="both"/>
        <w:ind w:left="420" w:hanging="412"/>
        <w:spacing w:after="0" w:line="260"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of June 30, 2018, we owned a building at 315 West 33rd Street, also known as The Olivia, that was comprised of approximately 270,132 square feet (unaudited) of retail space and approximately 222,855 square feet (unaudited) of residential space. For the purpose of this report, we have included this building in the number of retail properties we own. However, we have included only the retail square footage in the retail approximate square footage, and have listed the balance of the square footage as residential square footage.</w:t>
      </w: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two unconsolidated joint venture retail properties at 131-137 Spring Street comprised of approximately 68,342 square feet.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properties at 1-6 International Drive in Rye Brook, New York which are classified as held for sale at June 30, 2018.</w:t>
      </w:r>
    </w:p>
    <w:p>
      <w:pPr>
        <w:spacing w:after="0" w:line="156"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As of June 30, 2018, we held debt and preferred equity investments with a book value of $2.2 billion, including $0.1 billion of debt and preferred equity investments and other financing receivables that are included in balance sheet line items other than the Debt and Preferred Equity Investments line item.</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Quarterly Presentation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at June 30, 2018 and the results of operations for the periods presented have been included. The operating results for the period presented are not necessarily indicative of the results that may be expected for the year ending December 31, 2018. These financial statements should be read in conjunction with the financial statements and accompanying notes included in the Annual Report on Form 10-K for the year ended December 31, 2017.</w:t>
      </w:r>
    </w:p>
    <w:p>
      <w:pPr>
        <w:spacing w:after="0" w:line="5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consolidated balance sheet at December 31, 2017 has been derived from the audited financial statements as of that date but does not include all the information and footnotes required by accounting principles generally accepted in the United States for complete financial statements.</w:t>
      </w:r>
    </w:p>
    <w:p>
      <w:pPr>
        <w:spacing w:after="0" w:line="34" w:lineRule="exact"/>
        <w:rPr>
          <w:sz w:val="20"/>
          <w:szCs w:val="20"/>
          <w:color w:val="auto"/>
        </w:rPr>
      </w:pPr>
    </w:p>
    <w:p>
      <w:pPr>
        <w:ind w:right="8860" w:firstLine="8"/>
        <w:spacing w:after="0" w:line="453" w:lineRule="auto"/>
        <w:tabs>
          <w:tab w:leader="none" w:pos="1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Principles of Consolidation</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consolidated financial statements include our accounts and those of our subsidiaries, which are wholly-owned or controlled by us. Entities which we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consolidate a variable interest entity, or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Commercial Real Estate Properties</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three to 40 years. We amortize the amount allocated to the above- and below-market leases over the remaining term of the associated lease, which generally range from one to 14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one to 14 years.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its contractual expiration date). We assess fair value of the leases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w:t>
      </w:r>
    </w:p>
    <w:p>
      <w:pPr>
        <w:spacing w:after="0" w:line="6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 periodic basis, we assess whether there are any indications that the value of our real estate properties may be other than temporarily impaired or that their carrying value may not be recoverable. A property's value is considered impaired if management's estimate of the aggregate future cash flows (undiscounted) to be generated by the property is less than the carrying value of the property. To the extent impairment has occurred, the loss will be measured as the excess of the carrying amount of the property over the calculated fair value of the property. We also evaluate our real estate properties for impairment when a property has been classified as held for sale. Real estate assets held for sale are valued at the lower of their carrying value or fair value less costs to sell.</w:t>
      </w:r>
    </w:p>
    <w:p>
      <w:pPr>
        <w:spacing w:after="0" w:line="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recognized $1.8 million and $4.2 million of rental revenue for the three and six months ended June 30, 2018, respectively, and $4.2 million and $8.4 million for the three and six months ended June 30, 2017, respectively, for the amortization of aggregate below-market leases in excess of above-market leases and a reduction in lease origination costs, resulting from the allocation of the purchase price of the applicable properties.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summarizes our identified intangible assets (acquired above-market leases and in-place leases) and intangible liabilities (acquired below-market leases) as of June 30, 2018 and December 31, 2017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assets (included in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Gross amount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213,421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276,163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(198,189)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(236,737)</w:t>
            </w:r>
          </w:p>
        </w:tc>
      </w:tr>
      <w:tr>
        <w:trPr>
          <w:trHeight w:val="290"/>
        </w:trPr>
        <w:tc>
          <w:tcPr>
            <w:tcW w:w="7440" w:type="dxa"/>
            <w:vAlign w:val="bottom"/>
            <w:tcBorders>
              <w:bottom w:val="single" w:sz="8" w:color="CCEEFF"/>
            </w:tcBorders>
          </w:tcPr>
          <w:p>
            <w:pPr>
              <w:ind w:left="40"/>
              <w:spacing w:after="0" w:line="250" w:lineRule="exact"/>
              <w:rPr>
                <w:sz w:val="20"/>
                <w:szCs w:val="20"/>
                <w:color w:val="auto"/>
              </w:rPr>
            </w:pPr>
            <w:r>
              <w:rPr>
                <w:rFonts w:ascii="Arial" w:cs="Arial" w:eastAsia="Arial" w:hAnsi="Arial"/>
                <w:sz w:val="28"/>
                <w:szCs w:val="28"/>
                <w:color w:val="auto"/>
                <w:vertAlign w:val="subscript"/>
              </w:rPr>
              <w:t>Net</w:t>
            </w:r>
            <w:r>
              <w:rPr>
                <w:rFonts w:ascii="Arial" w:cs="Arial" w:eastAsia="Arial" w:hAnsi="Arial"/>
                <w:sz w:val="10"/>
                <w:szCs w:val="10"/>
                <w:color w:val="auto"/>
              </w:rPr>
              <w:t>(1)</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15,232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39,426</w:t>
            </w:r>
          </w:p>
        </w:tc>
      </w:tr>
      <w:tr>
        <w:trPr>
          <w:trHeight w:val="21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liabilities (included in deferred revenue):</w:t>
            </w:r>
          </w:p>
        </w:tc>
        <w:tc>
          <w:tcPr>
            <w:tcW w:w="3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Gross amount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230,275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496,438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(212,998)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(366,091)</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Net</w:t>
            </w:r>
            <w:r>
              <w:rPr>
                <w:rFonts w:ascii="Arial" w:cs="Arial" w:eastAsia="Arial" w:hAnsi="Arial"/>
                <w:sz w:val="21"/>
                <w:szCs w:val="21"/>
                <w:color w:val="auto"/>
                <w:vertAlign w:val="superscript"/>
              </w:rPr>
              <w:t>(1)</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17,277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130,347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right="120" w:hanging="412"/>
        <w:spacing w:after="0" w:line="273"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June 30, 2018 and December 31, 2017, $0.1 million and $0.1 million, respectively and $0.1 million and $0.1 million, respectively, of net intangible assets and net intangible liabilities, were reclassified to assets held for sale and liabilities related to assets held for sale.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"Fair Value Measurements."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Joint Ventures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the joint ventures' projected discounted cash flows. We do not believe that the values of any of our equity investments were impaired at June 30,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Possible Credit Losses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reserve for possible credit losses in connection with debt and preferred equity investments is the charge to earnings to increase the allowance for possible credit losses to the level that we estimate to be adequate, based on Level 3 data, considering delinquencies, loss experience and collateral quality. Other factors considered include geographic trends, product diversification, the size of the portfolio and current economic conditions. Based upon these factors, we establish a provision for possible credit loss on each individual investment. When it is probable that we will be unable to collect all amounts contractually due, the investment is considered impaired.</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Where impairment is indicated on an investment that is held to maturity, a valuation allowance is measured based upon the excess of the recorded investment amount over the fair value of the collateral. Any deficiency between the carrying amount of an asset and the calculated value of the collateral is charged to expense. We continue to assess or adjust our estimates based on circumstances of a loan and the underlying collateral. If additional information reflects increased recovery of our investment, we will adjust our reserves accordingly. There were no loan reserves recorded during the three and six months ended June 30, 2018 and 2017.</w:t>
      </w:r>
    </w:p>
    <w:p>
      <w:pPr>
        <w:spacing w:after="0" w:line="8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Debt and preferred equity investments held for sale are carried at the lower of cost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net carrying value to debt and preferred equity investments held to maturity. For these reclassified investments, the difference between the current carrying value and the expected cash to be collected at maturity will be accreted into income over the remaining term of the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ROP is a disregarded entity of SL Green Operating Partnership, L.P. for federal income tax purposes, and, as a result, all income and losses of ROP are considered income and losses of SL Green Operating Partnership, L. P. No provision has been made for income taxes in the consolidated financial statements since such taxes, if any, are the responsibility of the individual partners of SL Green Operating Partnership, L.P.</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Contributed by Parent Company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present shares of SL Green common stock as a contra-equity account within general partner capital in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the New York metropolitan area. See Note 5, "Debt and Preferred Equity Investments."</w:t>
      </w:r>
    </w:p>
    <w:p>
      <w:pPr>
        <w:spacing w:after="0" w:line="7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perform ongoing credit evaluations of our tenants and require most tenants to provide security deposits or letters of credit. Though these security deposits and letters of credit are insufficient to meet the total value of a tenant's lease obligation, they are a measure of good faith and a source of funds to offset the economic costs associated with lost revenue and the costs associated with re-tenanting a space. The properties in our real estate portfolio are located in the New York metropolitan area. The tenants located in our buildings operate in various industries. No tenant in our portfolio accounted for more than 5.0% of our share of annualized cash rent, including our share of joint venture annualized rent, at June 30, 2018. For the three months ended June 30, 2018, 16.0%, 10.5%, 8.5%, 8.3%, 8.1%, 7.2%, 7.1%, 6.8% and 5.5% of our annualized cash rent was attributable to 1185 Avenue of the Americas, 625 Madison Avenue, 919 Third Avenue, 750 Third Avenue, 810 Seventh Avenue, 555 West 57th Street, 125 Park Avenue, 1350 Avenue of the Americas, and 711 Third Avenue, respectively. Annualized cash rent for all other properties was below 5.0%.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balances have been reclassified to conform to our current year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February 2018, the FASB issued Accounting Standard Update (ASU) No. 2018-03, Technical Corrections and Improvements to Financial Instruments- Overall (Subtopic 825-10), Recognition and Measurement of Financial Assets and Financial Liabilities. These amendments provide additional guidance related to equity securities without a readily determinable fair value, forward contracts and options purchased on those equity securities and fair value option liabilities. The guidance will be effective for the Company in the interim period beginning after June 15, 2018. The Company has not yet adopted this new guidance and does not expect it to have a material impact on the Company’s consolidated financial statements when the new standard is implemented.</w:t>
      </w:r>
    </w:p>
    <w:p>
      <w:pPr>
        <w:spacing w:after="0" w:line="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The amendments in the new standard will permit more flexibility in hedging interest rate risk for both variable rate and fixed rate financial instruments. The standard will also enhance the presentation of hedge results in the financial statements. The guidance is effective for fiscal years beginning after December 15, 2018. Early adoption is permitted. The Company has not yet adopted the guidance, and does not expect a material impact on the Company’s consolidated financial statements when the new standard is implemented.</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November 2016, the FASB issued ASU No. 2016-18, Statement of Cash Flows (Topic 230): Restricted Cash. The guidance requires that the statement of cash flows explain the change during the period in the total of cash, cash equivalents, and amounts generally described as restricted cash. As a result, entities will no longer present transfers between these items on the statement of cash flows. The Company adopted the guidance on January 1, 2018 and has included the changes in restricted cash when reconciling the beginning-of-period and end-of-period total amounts on the statement of cash flows.</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The guidance changes how entities will measure credit losses for most financial assets and certain other instruments that are not measured at fair value through net income. The guidance replaces the current ‘incurred loss’ model with an ‘expected loss’ approach. The guidance is effective for fiscal years beginning after December 15, 2019, including interim periods within those fiscal years. Early adoption is permitted after December 15, 2018. The Company has not yet adopted this new</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guidance and is currently evaluating the impact of adopting this new accounting standard on the Company’s consolidated financial statements.</w:t>
      </w:r>
    </w:p>
    <w:p>
      <w:pPr>
        <w:spacing w:after="0" w:line="11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February 2016, the FASB issued ASU No. 2016-02, Leases, and in July 2018, the FASB issued ASU No. 2018-10, Codification Improvements to Topic 842, Leases and ASU No. 2018-11, Leases (Topic 842): Targeted Improvements. This guidance requires lessees to recognize lease assets and lease liabilities for those leases classified as operating leases under the previous standard. Depending on the lease classification, lessees will recognize expense based on the effective interest method for finance leases or on a straight-line basis for operating leases. The accounting applied by a lessor, inclusive of the effect of a practical expedient offered in ASU No. 2018-11 that allows lessors to not separate non-lease components from the related lease components under certain conditions, which the Company expects most of its leases to qualify for and to adopt, is largely unchanged from that applied under the previous standard. However, the Company will apply this guidance to the ground leases under which the Company is lessee. The Company is required to record a liability for the obligation to make payments under the lease and an asset for the right to use the underlying asset during the lease term and will also apply the new expense recognition requirements given the lease classification. The Company is currently quantifying these impacts. This guidance is effective for fiscal years beginning after December 15, 2018 and interim periods within those fiscal years. Early adoption is permitted. The Company expects to adopt this guidance January 1, 2019 and will apply the modified retrospective approach.</w:t>
      </w:r>
    </w:p>
    <w:p>
      <w:pPr>
        <w:spacing w:after="0" w:line="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January 2016, the FASB issued ASU 2016-01 (Subtopic 825-10), Recognition and Measurement of Financial Assets and Financial Liabilities. The guidance requires entities to measure equity investments that do not result in consolidation and are not accounted for under the equity method at fair value through earnings, to record changes in instrument-specific credit risk for financial liabilities measured under the fair value option in other comprehensive income, use the exit price notion when measuring an instrument’s fair value for disclosure and to separately present financial assets and liabilities by measurement category and form of instrument on the balance sheet or in the notes to the financial statements. The Company adopted the guidance effective January 1, 2018, and it had no impact on the Company’s consolidated financial statements.</w:t>
      </w:r>
    </w:p>
    <w:p>
      <w:pPr>
        <w:spacing w:after="0" w:line="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May 2014, the FASB issued a new comprehensive revenue recognition guidance which requires us to recognize revenue to depict the transfer of promised goods or services to customers in an amount that reflects the consideration to which we expect to be entitled in exchange for those goods and services (ASU 2014-09). The FASB also issued implementation guidance in March 2016, April 2016 and May 2016 - ASU’s 2016-08, 2016-10 and 2016-12, respectively. The Company adopted this guidance on January 1, 2018. Since the Company’s revenue is related to leasing activities, the adoption of this guidance did not have a material impact on the consolidated financial statements. The new guidance is applicable to service contracts with joint ventures for which the Company earns property management fees, leasing commissions and development and construction fees. The adoption of this new guidance did not change the accounting for these fees as the pattern of recognition of revenue does not change with the new guidance. We will continue to recognize revenue over time on these contracts because the customer simultaneously receives and consumes the benefits provided by our performance.</w:t>
      </w:r>
    </w:p>
    <w:p>
      <w:pPr>
        <w:spacing w:after="0" w:line="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2017, the FASB issued ASU No. 2017-05 to clarify the scope of asset derecognition guidance in Subtopic 610-20, which also provided guidance on accounting for partial sales of nonfinancial assets. Subtopic 610-20 was issued in May 2014 as part of ASU 2014-09. The Company adopted this guidance on January 1, 2018, and applied the modified retrospective approach. The Company elected to adopt the practical expedient under ASC 606, Revenue from Contracts with Customers, which allows an entity to apply the guidance only to contracts with non-customers that are open based on ASU 360-20, Real Estate Sales, (i.e. failed sales) as of the adoption date. The adoption had no impact on the consolidated financial statements as the Company had no open contracts based on ASC 360-20 as of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Acquisitions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June 30, 2018, we did not acquire any properties from a third party.</w:t>
      </w:r>
    </w:p>
    <w:p>
      <w:pPr>
        <w:spacing w:after="0" w:line="113" w:lineRule="exact"/>
        <w:rPr>
          <w:sz w:val="20"/>
          <w:szCs w:val="20"/>
          <w:color w:val="auto"/>
        </w:rPr>
      </w:pPr>
    </w:p>
    <w:p>
      <w:pPr>
        <w:ind w:right="734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Properties Held for Sale and Property Dispositions Properties Held for Sale</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As of June 30, 2018, 1-6 International Drive was classified as held for sale. We closed on the sale of 1-6 International Drive in July 2018</w:t>
      </w:r>
      <w:r>
        <w:rPr>
          <w:rFonts w:ascii="Arial" w:cs="Arial" w:eastAsia="Arial" w:hAnsi="Arial"/>
          <w:sz w:val="14"/>
          <w:szCs w:val="14"/>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properties sold during the six months ended June 30, 2018:</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2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Sales Price</w:t>
            </w:r>
            <w:r>
              <w:rPr>
                <w:rFonts w:ascii="Arial" w:cs="Arial" w:eastAsia="Arial" w:hAnsi="Arial"/>
                <w:sz w:val="21"/>
                <w:szCs w:val="21"/>
                <w:b w:val="1"/>
                <w:bCs w:val="1"/>
                <w:color w:val="auto"/>
                <w:w w:val="85"/>
                <w:vertAlign w:val="superscript"/>
              </w:rPr>
              <w:t>(1)</w:t>
            </w:r>
          </w:p>
        </w:tc>
        <w:tc>
          <w:tcPr>
            <w:tcW w:w="260" w:type="dxa"/>
            <w:vAlign w:val="bottom"/>
          </w:tcPr>
          <w:p>
            <w:pPr>
              <w:spacing w:after="0"/>
              <w:rPr>
                <w:sz w:val="21"/>
                <w:szCs w:val="21"/>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Gain (loss)</w:t>
            </w:r>
            <w:r>
              <w:rPr>
                <w:rFonts w:ascii="Arial" w:cs="Arial" w:eastAsia="Arial" w:hAnsi="Arial"/>
                <w:sz w:val="21"/>
                <w:szCs w:val="21"/>
                <w:b w:val="1"/>
                <w:bCs w:val="1"/>
                <w:color w:val="auto"/>
                <w:vertAlign w:val="superscript"/>
              </w:rPr>
              <w:t>(2)</w:t>
            </w:r>
          </w:p>
        </w:tc>
      </w:tr>
      <w:tr>
        <w:trPr>
          <w:trHeight w:val="210"/>
        </w:trPr>
        <w:tc>
          <w:tcPr>
            <w:tcW w:w="2980" w:type="dxa"/>
            <w:vAlign w:val="bottom"/>
            <w:gridSpan w:val="2"/>
          </w:tcPr>
          <w:p>
            <w:pPr>
              <w:ind w:left="20"/>
              <w:spacing w:after="0"/>
              <w:rPr>
                <w:sz w:val="20"/>
                <w:szCs w:val="20"/>
                <w:color w:val="auto"/>
              </w:rPr>
            </w:pPr>
            <w:r>
              <w:rPr>
                <w:rFonts w:ascii="Arial" w:cs="Arial" w:eastAsia="Arial" w:hAnsi="Arial"/>
                <w:sz w:val="16"/>
                <w:szCs w:val="16"/>
                <w:b w:val="1"/>
                <w:bCs w:val="1"/>
                <w:color w:val="auto"/>
              </w:rPr>
              <w:t>Property</w:t>
            </w:r>
          </w:p>
        </w:tc>
        <w:tc>
          <w:tcPr>
            <w:tcW w:w="1720" w:type="dxa"/>
            <w:vAlign w:val="bottom"/>
            <w:gridSpan w:val="2"/>
          </w:tcPr>
          <w:p>
            <w:pPr>
              <w:ind w:left="280"/>
              <w:spacing w:after="0"/>
              <w:rPr>
                <w:sz w:val="20"/>
                <w:szCs w:val="20"/>
                <w:color w:val="auto"/>
              </w:rPr>
            </w:pPr>
            <w:r>
              <w:rPr>
                <w:rFonts w:ascii="Arial" w:cs="Arial" w:eastAsia="Arial" w:hAnsi="Arial"/>
                <w:sz w:val="16"/>
                <w:szCs w:val="16"/>
                <w:b w:val="1"/>
                <w:bCs w:val="1"/>
                <w:color w:val="auto"/>
              </w:rPr>
              <w:t>Disposition Date</w:t>
            </w:r>
          </w:p>
        </w:tc>
        <w:tc>
          <w:tcPr>
            <w:tcW w:w="1720" w:type="dxa"/>
            <w:vAlign w:val="bottom"/>
            <w:gridSpan w:val="2"/>
          </w:tcPr>
          <w:p>
            <w:pPr>
              <w:ind w:left="360"/>
              <w:spacing w:after="0"/>
              <w:rPr>
                <w:sz w:val="20"/>
                <w:szCs w:val="20"/>
                <w:color w:val="auto"/>
              </w:rPr>
            </w:pPr>
            <w:r>
              <w:rPr>
                <w:rFonts w:ascii="Arial" w:cs="Arial" w:eastAsia="Arial" w:hAnsi="Arial"/>
                <w:sz w:val="16"/>
                <w:szCs w:val="16"/>
                <w:b w:val="1"/>
                <w:bCs w:val="1"/>
                <w:color w:val="auto"/>
              </w:rPr>
              <w:t>Property Type</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Square Feet</w:t>
            </w:r>
          </w:p>
        </w:tc>
        <w:tc>
          <w:tcPr>
            <w:tcW w:w="2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 millions)</w:t>
            </w:r>
          </w:p>
        </w:tc>
        <w:tc>
          <w:tcPr>
            <w:tcW w:w="26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115-117 Stevens Avenue</w:t>
            </w:r>
          </w:p>
        </w:tc>
        <w:tc>
          <w:tcPr>
            <w:tcW w:w="1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May 2018</w:t>
            </w:r>
          </w:p>
        </w:tc>
        <w:tc>
          <w:tcPr>
            <w:tcW w:w="17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Fee Interest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2980" w:type="dxa"/>
            <w:vAlign w:val="bottom"/>
            <w:gridSpan w:val="2"/>
          </w:tcPr>
          <w:p>
            <w:pPr>
              <w:ind w:left="20"/>
              <w:spacing w:after="0"/>
              <w:rPr>
                <w:sz w:val="20"/>
                <w:szCs w:val="20"/>
                <w:color w:val="auto"/>
              </w:rPr>
            </w:pPr>
            <w:r>
              <w:rPr>
                <w:rFonts w:ascii="Arial" w:cs="Arial" w:eastAsia="Arial" w:hAnsi="Arial"/>
                <w:sz w:val="16"/>
                <w:szCs w:val="16"/>
                <w:color w:val="auto"/>
              </w:rPr>
              <w:t>635 Madison Avenue</w:t>
            </w:r>
          </w:p>
        </w:tc>
        <w:tc>
          <w:tcPr>
            <w:tcW w:w="1720" w:type="dxa"/>
            <w:vAlign w:val="bottom"/>
            <w:gridSpan w:val="2"/>
          </w:tcPr>
          <w:p>
            <w:pPr>
              <w:ind w:left="460"/>
              <w:spacing w:after="0"/>
              <w:rPr>
                <w:sz w:val="20"/>
                <w:szCs w:val="20"/>
                <w:color w:val="auto"/>
              </w:rPr>
            </w:pPr>
            <w:r>
              <w:rPr>
                <w:rFonts w:ascii="Arial" w:cs="Arial" w:eastAsia="Arial" w:hAnsi="Arial"/>
                <w:sz w:val="16"/>
                <w:szCs w:val="16"/>
                <w:color w:val="auto"/>
              </w:rPr>
              <w:t>June 2018</w:t>
            </w:r>
          </w:p>
        </w:tc>
        <w:tc>
          <w:tcPr>
            <w:tcW w:w="1720" w:type="dxa"/>
            <w:vAlign w:val="bottom"/>
            <w:gridSpan w:val="2"/>
          </w:tcPr>
          <w:p>
            <w:pPr>
              <w:ind w:left="400"/>
              <w:spacing w:after="0"/>
              <w:rPr>
                <w:sz w:val="20"/>
                <w:szCs w:val="20"/>
                <w:color w:val="auto"/>
              </w:rPr>
            </w:pPr>
            <w:r>
              <w:rPr>
                <w:rFonts w:ascii="Arial" w:cs="Arial" w:eastAsia="Arial" w:hAnsi="Arial"/>
                <w:sz w:val="16"/>
                <w:szCs w:val="16"/>
                <w:color w:val="auto"/>
              </w:rPr>
              <w:t>Fee Interest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176,530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w:t>
            </w:r>
          </w:p>
        </w:tc>
      </w:tr>
    </w:tbl>
    <w:p>
      <w:pPr>
        <w:spacing w:after="0" w:line="12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Sales price represents the gross sales price for a property or the gross asset valuation for interests in a property.</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Gain (loss) on sale amounts do not include adjustments for expenses recorded in subsequent periods.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Preferred Equity Investments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Below is a summary of the activity relating to our debt and preferred equity investments for the six months ended June 30, 2018 and the twelve months ended December 31, 2017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7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Balance at beginning of period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2,114,041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1,640,412</w:t>
            </w:r>
          </w:p>
        </w:tc>
      </w:tr>
      <w:tr>
        <w:trPr>
          <w:trHeight w:val="270"/>
        </w:trPr>
        <w:tc>
          <w:tcPr>
            <w:tcW w:w="7500" w:type="dxa"/>
            <w:vAlign w:val="bottom"/>
          </w:tcPr>
          <w:p>
            <w:pPr>
              <w:ind w:left="20"/>
              <w:spacing w:after="0"/>
              <w:rPr>
                <w:sz w:val="20"/>
                <w:szCs w:val="20"/>
                <w:color w:val="auto"/>
              </w:rPr>
            </w:pPr>
            <w:r>
              <w:rPr>
                <w:rFonts w:ascii="Arial" w:cs="Arial" w:eastAsia="Arial" w:hAnsi="Arial"/>
                <w:sz w:val="16"/>
                <w:szCs w:val="16"/>
                <w:color w:val="auto"/>
              </w:rPr>
              <w:t xml:space="preserve">Debt investment originations/accretion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b w:val="1"/>
                <w:bCs w:val="1"/>
                <w:color w:val="auto"/>
              </w:rPr>
              <w:t>611,686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1,142,591</w:t>
            </w:r>
          </w:p>
        </w:tc>
      </w:tr>
      <w:tr>
        <w:trPr>
          <w:trHeight w:val="27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Preferred equity investment originations/accretion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144,456</w:t>
            </w:r>
          </w:p>
        </w:tc>
      </w:tr>
      <w:tr>
        <w:trPr>
          <w:trHeight w:val="27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Redemptions/sales/syndications/amortization </w:t>
            </w:r>
            <w:r>
              <w:rPr>
                <w:rFonts w:ascii="Arial" w:cs="Arial" w:eastAsia="Arial" w:hAnsi="Arial"/>
                <w:sz w:val="21"/>
                <w:szCs w:val="21"/>
                <w:color w:val="auto"/>
                <w:vertAlign w:val="superscript"/>
              </w:rPr>
              <w:t>(3)</w:t>
            </w:r>
          </w:p>
        </w:tc>
        <w:tc>
          <w:tcPr>
            <w:tcW w:w="3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(561,389)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(813,418)</w:t>
            </w: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Balance at end of period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2,168,515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2,114,041</w:t>
            </w:r>
          </w:p>
        </w:tc>
      </w:tr>
      <w:tr>
        <w:trPr>
          <w:trHeight w:val="20"/>
        </w:trPr>
        <w:tc>
          <w:tcPr>
            <w:tcW w:w="7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of unamortized fees, discounts, and premiums.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Accretion includes amortization of fees and discounts and paid-in-kind investment income.</w:t>
      </w:r>
    </w:p>
    <w:p>
      <w:pPr>
        <w:spacing w:after="0" w:line="1"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participations in debt investments that were sold or syndicated did not meet the conditions for sale accounting are included in other assets and other liabilities on the consolidated balance sheets.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2018 and December 31, 2017, we held the following debt investments with an aggregate weighted average current yield of 9.06%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June 30, 2018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259"/>
              <w:spacing w:after="0"/>
              <w:rPr>
                <w:sz w:val="20"/>
                <w:szCs w:val="20"/>
                <w:color w:val="auto"/>
              </w:rPr>
            </w:pPr>
            <w:r>
              <w:rPr>
                <w:rFonts w:ascii="Arial" w:cs="Arial" w:eastAsia="Arial" w:hAnsi="Arial"/>
                <w:sz w:val="16"/>
                <w:szCs w:val="16"/>
                <w:b w:val="1"/>
                <w:bCs w:val="1"/>
                <w:color w:val="auto"/>
                <w:w w:val="93"/>
              </w:rPr>
              <w:t>Future Funding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 Senior</w:t>
            </w:r>
          </w:p>
        </w:tc>
        <w:tc>
          <w:tcPr>
            <w:tcW w:w="160" w:type="dxa"/>
            <w:vAlign w:val="bottom"/>
          </w:tcPr>
          <w:p>
            <w:pPr>
              <w:spacing w:after="0"/>
              <w:rPr>
                <w:sz w:val="17"/>
                <w:szCs w:val="17"/>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7"/>
                <w:szCs w:val="17"/>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Maturity</w:t>
            </w:r>
          </w:p>
        </w:tc>
      </w:tr>
      <w:tr>
        <w:trPr>
          <w:trHeight w:val="243"/>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Loan Type</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3"/>
              </w:rPr>
              <w:t>Obligations</w:t>
            </w: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Financing</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 xml:space="preserve">Carrying Value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1"/>
                <w:szCs w:val="21"/>
                <w:b w:val="1"/>
                <w:bCs w:val="1"/>
                <w:color w:val="auto"/>
                <w:vertAlign w:val="superscript"/>
              </w:rPr>
              <w:t>(2)</w:t>
            </w: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Investments:</w:t>
            </w: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 Loan</w:t>
            </w:r>
            <w:r>
              <w:rPr>
                <w:rFonts w:ascii="Arial" w:cs="Arial" w:eastAsia="Arial" w:hAnsi="Arial"/>
                <w:sz w:val="21"/>
                <w:szCs w:val="21"/>
                <w:color w:val="auto"/>
                <w:vertAlign w:val="superscript"/>
              </w:rPr>
              <w:t>(3)(4)</w:t>
            </w:r>
          </w:p>
        </w:tc>
        <w:tc>
          <w:tcPr>
            <w:tcW w:w="1520" w:type="dxa"/>
            <w:vAlign w:val="bottom"/>
          </w:tcPr>
          <w:p>
            <w:pPr>
              <w:jc w:val="right"/>
              <w:ind w:right="131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26,394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26,366</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February 2019</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 Loan</w:t>
            </w:r>
          </w:p>
        </w:tc>
        <w:tc>
          <w:tcPr>
            <w:tcW w:w="1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2019</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(5a)</w:t>
            </w:r>
          </w:p>
        </w:tc>
        <w:tc>
          <w:tcPr>
            <w:tcW w:w="1520" w:type="dxa"/>
            <w:vAlign w:val="bottom"/>
          </w:tcPr>
          <w:p>
            <w:pPr>
              <w:spacing w:after="0"/>
              <w:rPr>
                <w:sz w:val="23"/>
                <w:szCs w:val="23"/>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1,160,000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208,506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204,005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2020</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2021</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52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147,000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24,922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24,913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2022</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2022</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(6)</w:t>
            </w:r>
          </w:p>
        </w:tc>
        <w:tc>
          <w:tcPr>
            <w:tcW w:w="1520" w:type="dxa"/>
            <w:vAlign w:val="bottom"/>
          </w:tcPr>
          <w:p>
            <w:pPr>
              <w:spacing w:after="0"/>
              <w:rPr>
                <w:sz w:val="23"/>
                <w:szCs w:val="23"/>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86,201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12,702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12,699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November 2023</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(5b)</w:t>
            </w:r>
          </w:p>
        </w:tc>
        <w:tc>
          <w:tcPr>
            <w:tcW w:w="15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2024</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52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95,000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January 2025</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2026</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52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1,657,500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55,250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55,250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June 2027</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Mortgage/Jr. Mortgage Loan</w:t>
            </w:r>
            <w:r>
              <w:rPr>
                <w:rFonts w:ascii="Arial" w:cs="Arial" w:eastAsia="Arial" w:hAnsi="Arial"/>
                <w:sz w:val="21"/>
                <w:szCs w:val="21"/>
                <w:color w:val="auto"/>
                <w:vertAlign w:val="superscript"/>
              </w:rPr>
              <w:t>(7)</w:t>
            </w:r>
          </w:p>
        </w:tc>
        <w:tc>
          <w:tcPr>
            <w:tcW w:w="15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250,464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17"/>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Total fixed rate</w:t>
            </w:r>
          </w:p>
        </w:tc>
        <w:tc>
          <w:tcPr>
            <w:tcW w:w="1520" w:type="dxa"/>
            <w:vAlign w:val="bottom"/>
          </w:tcPr>
          <w:p>
            <w:pPr>
              <w:jc w:val="right"/>
              <w:ind w:right="131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b w:val="1"/>
                <w:bCs w:val="1"/>
                <w:color w:val="auto"/>
              </w:rPr>
              <w:t>3,895,701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rPr>
              <w:t>424,938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669,968</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Investments:</w:t>
            </w: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52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20,523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10,970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10,934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August 2018</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(8)</w:t>
            </w:r>
          </w:p>
        </w:tc>
        <w:tc>
          <w:tcPr>
            <w:tcW w:w="15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19,940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2018</w:t>
            </w:r>
          </w:p>
        </w:tc>
      </w:tr>
      <w:tr>
        <w:trPr>
          <w:trHeight w:val="311"/>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(9)</w:t>
            </w:r>
          </w:p>
        </w:tc>
        <w:tc>
          <w:tcPr>
            <w:tcW w:w="152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65,000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14,992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14,955</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August 2018</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2018</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Future Funding</w:t>
            </w:r>
          </w:p>
        </w:tc>
        <w:tc>
          <w:tcPr>
            <w:tcW w:w="160" w:type="dxa"/>
            <w:vAlign w:val="bottom"/>
          </w:tcPr>
          <w:p>
            <w:pPr>
              <w:spacing w:after="0"/>
              <w:rPr>
                <w:sz w:val="17"/>
                <w:szCs w:val="17"/>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 Senior</w:t>
            </w:r>
          </w:p>
        </w:tc>
        <w:tc>
          <w:tcPr>
            <w:tcW w:w="160" w:type="dxa"/>
            <w:vAlign w:val="bottom"/>
          </w:tcPr>
          <w:p>
            <w:pPr>
              <w:spacing w:after="0"/>
              <w:rPr>
                <w:sz w:val="17"/>
                <w:szCs w:val="17"/>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7"/>
                <w:szCs w:val="17"/>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Maturity</w:t>
            </w:r>
          </w:p>
        </w:tc>
      </w:tr>
      <w:tr>
        <w:trPr>
          <w:trHeight w:val="243"/>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Loan Type</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Obligations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Financing</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 xml:space="preserve">Carrying Value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1"/>
                <w:szCs w:val="21"/>
                <w:b w:val="1"/>
                <w:bCs w:val="1"/>
                <w:color w:val="auto"/>
                <w:vertAlign w:val="superscript"/>
              </w:rPr>
              <w:t>(2)</w:t>
            </w:r>
          </w:p>
        </w:tc>
      </w:tr>
      <w:tr>
        <w:trPr>
          <w:trHeight w:val="23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p>
        </w:tc>
        <w:tc>
          <w:tcPr>
            <w:tcW w:w="2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16,969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2018</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(10)</w:t>
            </w:r>
          </w:p>
        </w:tc>
        <w:tc>
          <w:tcPr>
            <w:tcW w:w="24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37,500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14,961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14,855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September 2018</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2018</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(5c)</w:t>
            </w:r>
          </w:p>
        </w:tc>
        <w:tc>
          <w:tcPr>
            <w:tcW w:w="24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15,381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2018</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(5d)</w:t>
            </w:r>
          </w:p>
        </w:tc>
        <w:tc>
          <w:tcPr>
            <w:tcW w:w="24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2018</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33,000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26,967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26,927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2018</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2018</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(11)</w:t>
            </w:r>
          </w:p>
        </w:tc>
        <w:tc>
          <w:tcPr>
            <w:tcW w:w="24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45,000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12,211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12,174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January 2019</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2019</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(5e)(12)</w:t>
            </w:r>
          </w:p>
        </w:tc>
        <w:tc>
          <w:tcPr>
            <w:tcW w:w="240" w:type="dxa"/>
            <w:vAlign w:val="bottom"/>
          </w:tcPr>
          <w:p>
            <w:pPr>
              <w:spacing w:after="0"/>
              <w:rPr>
                <w:sz w:val="23"/>
                <w:szCs w:val="23"/>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15,148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2019</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2019</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(13)</w:t>
            </w:r>
          </w:p>
        </w:tc>
        <w:tc>
          <w:tcPr>
            <w:tcW w:w="24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19,958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19,982</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2019</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(13)</w:t>
            </w:r>
          </w:p>
        </w:tc>
        <w:tc>
          <w:tcPr>
            <w:tcW w:w="24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61,130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34,947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2019</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37,355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37,250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2019</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2019</w:t>
            </w:r>
          </w:p>
        </w:tc>
      </w:tr>
      <w:tr>
        <w:trPr>
          <w:trHeight w:val="22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Mortgage/Jr. Mortgage</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Participation Loan</w:t>
            </w:r>
          </w:p>
        </w:tc>
        <w:tc>
          <w:tcPr>
            <w:tcW w:w="24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20,065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220,572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79,551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71,832</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August 2019</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(10)</w:t>
            </w: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189,829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37,851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2019</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20,560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168,369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143,919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September 2019</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2019</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46,168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2019</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2020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571,863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78,462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75,834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January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 Loan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February 2020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3,878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306,711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50,669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2020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6,386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35,912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11,829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11,259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July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2020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 and Mezzanine Loan</w:t>
            </w: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38,200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93,498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88,989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 and Mezzanine Loan</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2020</w:t>
            </w:r>
          </w:p>
        </w:tc>
      </w:tr>
      <w:tr>
        <w:trPr>
          <w:trHeight w:val="22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Jr. Mortgage</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Participation/Mezzanine Loan</w:t>
            </w:r>
          </w:p>
        </w:tc>
        <w:tc>
          <w:tcPr>
            <w:tcW w:w="24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15,648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15,635</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July 2021</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Mortgage/Mezzanine Loan </w:t>
            </w:r>
            <w:r>
              <w:rPr>
                <w:rFonts w:ascii="Arial" w:cs="Arial" w:eastAsia="Arial" w:hAnsi="Arial"/>
                <w:sz w:val="21"/>
                <w:szCs w:val="21"/>
                <w:color w:val="auto"/>
                <w:vertAlign w:val="superscript"/>
              </w:rPr>
              <w:t>(14)</w:t>
            </w:r>
          </w:p>
        </w:tc>
        <w:tc>
          <w:tcPr>
            <w:tcW w:w="24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162,553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 xml:space="preserve">Mortgage/Mezzanine Loan </w:t>
            </w:r>
            <w:r>
              <w:rPr>
                <w:rFonts w:ascii="Arial" w:cs="Arial" w:eastAsia="Arial" w:hAnsi="Arial"/>
                <w:sz w:val="21"/>
                <w:szCs w:val="21"/>
                <w:color w:val="auto"/>
                <w:vertAlign w:val="superscript"/>
              </w:rPr>
              <w:t>(14)</w:t>
            </w:r>
          </w:p>
        </w:tc>
        <w:tc>
          <w:tcPr>
            <w:tcW w:w="24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74,755</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Mortgage/Mezzanine Loan </w:t>
            </w:r>
            <w:r>
              <w:rPr>
                <w:rFonts w:ascii="Arial" w:cs="Arial" w:eastAsia="Arial" w:hAnsi="Arial"/>
                <w:sz w:val="21"/>
                <w:szCs w:val="21"/>
                <w:color w:val="auto"/>
                <w:vertAlign w:val="superscript"/>
              </w:rPr>
              <w:t>(15)</w:t>
            </w:r>
          </w:p>
        </w:tc>
        <w:tc>
          <w:tcPr>
            <w:tcW w:w="24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17"/>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Total floating rate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222,192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3,254,914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1,598,445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1,299,650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222,192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7,150,615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2,023,383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1,969,618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Carrying value is net of discounts, premiums, original issue discounts and deferred origination fees.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September 2014, we acquired a $26.4 million mortgage loan at a $0.2 million discount and a $5.7 million junior mortgage participation at a $5.7 million discount. The junior mortgage participation has been a nonperforming loan since acquisition, is currently on non-accrual status and has no carrying value.</w:t>
      </w: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repaid in August 2018.</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Carrying value is net of the following amounts that were sold or syndicated, which are included in other assets and other liabilities on the consolidated balance sheets as a result of the transfers not meeting the conditions for sale accounting: (a) $1.3 million, (b) $12.0 million, (c) $14.6 million, (d) $14.1 million, and (e) $5.1 million.</w:t>
      </w:r>
    </w:p>
    <w:p>
      <w:pPr>
        <w:ind w:left="420" w:hanging="412"/>
        <w:spacing w:after="0" w:line="255"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loan's June interest payment was outstanding at June 30, 2018 and was subsequently received in July 2018. The loan was evaluated in accordance with our loan review procedures and the Company concluded that the fair value of the collateral exceeded the carrying amount of the loan.</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loans were distributed to SL Green in March 2018.</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loan was extended in August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loan was extended in July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loan was repaid in July 2018.</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July 2018, the Company accepted an assignment of the property in-lieu of repayment of the loan, and marked the assets received and liabilities assumed to fair value, which exceeded the carrying value of the loan.</w:t>
      </w: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loan was extended in March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loan was extended in April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loan was repaid in February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loan was sold in May 2018.</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Equity Investments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2018 and December 31, 2017, we held the following preferred equity investments with an aggregate weighted average current yield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5.73% at June 30, 2018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June 30, 2018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259"/>
              <w:spacing w:after="0"/>
              <w:rPr>
                <w:sz w:val="20"/>
                <w:szCs w:val="20"/>
                <w:color w:val="auto"/>
              </w:rPr>
            </w:pPr>
            <w:r>
              <w:rPr>
                <w:rFonts w:ascii="Arial" w:cs="Arial" w:eastAsia="Arial" w:hAnsi="Arial"/>
                <w:sz w:val="16"/>
                <w:szCs w:val="16"/>
                <w:b w:val="1"/>
                <w:bCs w:val="1"/>
                <w:color w:val="auto"/>
                <w:w w:val="93"/>
              </w:rPr>
              <w:t>Future Funding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 Senior</w:t>
            </w:r>
          </w:p>
        </w:tc>
        <w:tc>
          <w:tcPr>
            <w:tcW w:w="160" w:type="dxa"/>
            <w:vAlign w:val="bottom"/>
          </w:tcPr>
          <w:p>
            <w:pPr>
              <w:spacing w:after="0"/>
              <w:rPr>
                <w:sz w:val="17"/>
                <w:szCs w:val="17"/>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243"/>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3"/>
              </w:rPr>
              <w:t>Obligations</w:t>
            </w: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Financing</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 xml:space="preserve">Carrying Value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 xml:space="preserve">Date </w:t>
            </w:r>
            <w:r>
              <w:rPr>
                <w:rFonts w:ascii="Arial" w:cs="Arial" w:eastAsia="Arial" w:hAnsi="Arial"/>
                <w:sz w:val="21"/>
                <w:szCs w:val="21"/>
                <w:b w:val="1"/>
                <w:bCs w:val="1"/>
                <w:color w:val="auto"/>
                <w:w w:val="85"/>
                <w:vertAlign w:val="superscript"/>
              </w:rPr>
              <w:t>(2)</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Preferred Equity</w:t>
            </w:r>
          </w:p>
        </w:tc>
        <w:tc>
          <w:tcPr>
            <w:tcW w:w="152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w w:val="99"/>
              </w:rPr>
              <w:t>April 2021</w:t>
            </w:r>
          </w:p>
        </w:tc>
      </w:tr>
      <w:tr>
        <w:trPr>
          <w:trHeight w:val="244"/>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520" w:type="dxa"/>
            <w:vAlign w:val="bottom"/>
            <w:tcBorders>
              <w:top w:val="single" w:sz="8" w:color="auto"/>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272,000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145,132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144,423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Carrying value is net of deferred origination fees.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June 30, 2018, all debt and preferred equity investments were performing in accordance with the terms of the relevant investments, with the exception of a junior mortgage participation acquired in September 2014, which was acquired for zero and has a carrying value of zero, as discussed in subnote 3 of the Debt Investments table above, and a mezzanine loan for which the June 2018 interest payment was outstanding as of June 30, 2018 and was subsequently received in July 2018, as discussed in subnote 6 of the Debt Investments table above.</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December 31, 2017, all debt and preferred equity investments were performing in accordance with the terms of the relevant investments with the exception of a junior mortgage participation acquired in September 2014, which was acquired for zero and has a carrying value of zero, as discussed in subnote 3 of the Debt Investments table above, and our investment in 2 Herald Square, which was purchased in maturity default and was subsequently distributed to SL Green in the first quarter of 2018. In May 2018, SL Green was the successful bidder for the leasehold interest at the foreclosure of the asset and assigned the Company a 49.0% tenancy in common interest in the leasehold interest.</w:t>
      </w:r>
    </w:p>
    <w:p>
      <w:pPr>
        <w:spacing w:after="0" w:line="8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have determined that we have one portfolio segment of financing receivables at June 30, 2018 and December 31, 2017 comprising commercial real estate which is primarily recorded in debt and preferred equity investments. Included in other assets is an additional amount of financing receivables totaling $117.9 million and $93.4 million at June 30, 2018 and December 31, 2017, respectively. No financing receivables were 90 days past due at June 30,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Joint Ventures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investments in several real estate joint ventures with various partners. As of June 30, 2018 and December 31, 2017, none of our investments in unconsolidated joint ventures were VIEs. All of the investments below are voting interest entities. As we do not control the joint ventures listed below, we account for them under the equity method of accounting.</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general information on each of our joint ventures as of June 30, 2018:</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Acquisition</w:t>
            </w:r>
          </w:p>
        </w:tc>
      </w:tr>
      <w:tr>
        <w:trPr>
          <w:trHeight w:val="203"/>
        </w:trPr>
        <w:tc>
          <w:tcPr>
            <w:tcW w:w="1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20" w:type="dxa"/>
            <w:vAlign w:val="bottom"/>
          </w:tcPr>
          <w:p>
            <w:pPr>
              <w:jc w:val="center"/>
              <w:ind w:left="159"/>
              <w:spacing w:after="0"/>
              <w:rPr>
                <w:sz w:val="20"/>
                <w:szCs w:val="20"/>
                <w:color w:val="auto"/>
              </w:rPr>
            </w:pPr>
            <w:r>
              <w:rPr>
                <w:rFonts w:ascii="Arial" w:cs="Arial" w:eastAsia="Arial" w:hAnsi="Arial"/>
                <w:sz w:val="16"/>
                <w:szCs w:val="16"/>
                <w:b w:val="1"/>
                <w:bCs w:val="1"/>
                <w:color w:val="auto"/>
                <w:w w:val="94"/>
              </w:rPr>
              <w:t>Ownership</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Economic</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99"/>
              <w:spacing w:after="0" w:line="203" w:lineRule="exact"/>
              <w:rPr>
                <w:sz w:val="20"/>
                <w:szCs w:val="20"/>
                <w:color w:val="auto"/>
              </w:rPr>
            </w:pPr>
            <w:r>
              <w:rPr>
                <w:rFonts w:ascii="Arial" w:cs="Arial" w:eastAsia="Arial" w:hAnsi="Arial"/>
                <w:sz w:val="16"/>
                <w:szCs w:val="16"/>
                <w:b w:val="1"/>
                <w:bCs w:val="1"/>
                <w:color w:val="auto"/>
                <w:w w:val="88"/>
              </w:rPr>
              <w:t>Price</w:t>
            </w:r>
            <w:r>
              <w:rPr>
                <w:rFonts w:ascii="Arial" w:cs="Arial" w:eastAsia="Arial" w:hAnsi="Arial"/>
                <w:sz w:val="21"/>
                <w:szCs w:val="21"/>
                <w:b w:val="1"/>
                <w:bCs w:val="1"/>
                <w:color w:val="auto"/>
                <w:w w:val="88"/>
                <w:vertAlign w:val="superscript"/>
              </w:rPr>
              <w:t>(2)</w:t>
            </w:r>
          </w:p>
        </w:tc>
      </w:tr>
      <w:tr>
        <w:trPr>
          <w:trHeight w:val="243"/>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244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Partner</w:t>
            </w:r>
          </w:p>
        </w:tc>
        <w:tc>
          <w:tcPr>
            <w:tcW w:w="14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88"/>
              </w:rPr>
              <w:t>Interest</w:t>
            </w:r>
            <w:r>
              <w:rPr>
                <w:rFonts w:ascii="Arial" w:cs="Arial" w:eastAsia="Arial" w:hAnsi="Arial"/>
                <w:sz w:val="21"/>
                <w:szCs w:val="21"/>
                <w:b w:val="1"/>
                <w:bCs w:val="1"/>
                <w:color w:val="auto"/>
                <w:w w:val="88"/>
                <w:vertAlign w:val="superscript"/>
              </w:rPr>
              <w:t>(1)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Interest</w:t>
            </w:r>
            <w:r>
              <w:rPr>
                <w:rFonts w:ascii="Arial" w:cs="Arial" w:eastAsia="Arial" w:hAnsi="Arial"/>
                <w:sz w:val="21"/>
                <w:szCs w:val="21"/>
                <w:b w:val="1"/>
                <w:bCs w:val="1"/>
                <w:color w:val="auto"/>
                <w:w w:val="90"/>
                <w:vertAlign w:val="superscript"/>
              </w:rPr>
              <w:t>(1)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Square Feet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Acquisition Date</w:t>
            </w:r>
            <w:r>
              <w:rPr>
                <w:rFonts w:ascii="Arial" w:cs="Arial" w:eastAsia="Arial" w:hAnsi="Arial"/>
                <w:sz w:val="21"/>
                <w:szCs w:val="21"/>
                <w:b w:val="1"/>
                <w:bCs w:val="1"/>
                <w:color w:val="auto"/>
                <w:w w:val="90"/>
                <w:vertAlign w:val="superscript"/>
              </w:rPr>
              <w:t>(2)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r>
      <w:tr>
        <w:trPr>
          <w:trHeight w:val="213"/>
        </w:trPr>
        <w:tc>
          <w:tcPr>
            <w:tcW w:w="1780" w:type="dxa"/>
            <w:vAlign w:val="bottom"/>
            <w:shd w:val="clear" w:color="auto" w:fill="CCEEFF"/>
          </w:tcPr>
          <w:p>
            <w:pPr>
              <w:spacing w:after="0"/>
              <w:rPr>
                <w:sz w:val="18"/>
                <w:szCs w:val="18"/>
                <w:color w:val="auto"/>
              </w:rPr>
            </w:pPr>
          </w:p>
        </w:tc>
        <w:tc>
          <w:tcPr>
            <w:tcW w:w="2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New York State Teacher's</w:t>
            </w: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9"/>
        </w:trPr>
        <w:tc>
          <w:tcPr>
            <w:tcW w:w="178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919 Third Avenue</w:t>
            </w:r>
            <w:r>
              <w:rPr>
                <w:rFonts w:ascii="Arial" w:cs="Arial" w:eastAsia="Arial" w:hAnsi="Arial"/>
                <w:sz w:val="21"/>
                <w:szCs w:val="21"/>
                <w:color w:val="auto"/>
                <w:vertAlign w:val="superscript"/>
              </w:rPr>
              <w:t>(3)</w:t>
            </w:r>
          </w:p>
        </w:tc>
        <w:tc>
          <w:tcPr>
            <w:tcW w:w="2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Retirement System</w:t>
            </w:r>
          </w:p>
        </w:tc>
        <w:tc>
          <w:tcPr>
            <w:tcW w:w="14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2"/>
              </w:rPr>
              <w:t>51.00%</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51.00%</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1,454,000</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2007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1,256,727</w:t>
            </w:r>
          </w:p>
        </w:tc>
      </w:tr>
      <w:tr>
        <w:trPr>
          <w:trHeight w:val="224"/>
        </w:trPr>
        <w:tc>
          <w:tcPr>
            <w:tcW w:w="1780" w:type="dxa"/>
            <w:vAlign w:val="bottom"/>
          </w:tcPr>
          <w:p>
            <w:pPr>
              <w:ind w:left="40"/>
              <w:spacing w:after="0"/>
              <w:rPr>
                <w:sz w:val="20"/>
                <w:szCs w:val="20"/>
                <w:color w:val="auto"/>
              </w:rPr>
            </w:pPr>
            <w:r>
              <w:rPr>
                <w:rFonts w:ascii="Arial" w:cs="Arial" w:eastAsia="Arial" w:hAnsi="Arial"/>
                <w:sz w:val="16"/>
                <w:szCs w:val="16"/>
                <w:color w:val="auto"/>
              </w:rPr>
              <w:t>131-137 Spring Street</w:t>
            </w:r>
          </w:p>
        </w:tc>
        <w:tc>
          <w:tcPr>
            <w:tcW w:w="2440" w:type="dxa"/>
            <w:vAlign w:val="bottom"/>
          </w:tcPr>
          <w:p>
            <w:pPr>
              <w:ind w:left="320"/>
              <w:spacing w:after="0"/>
              <w:rPr>
                <w:sz w:val="20"/>
                <w:szCs w:val="20"/>
                <w:color w:val="auto"/>
              </w:rPr>
            </w:pPr>
            <w:r>
              <w:rPr>
                <w:rFonts w:ascii="Arial" w:cs="Arial" w:eastAsia="Arial" w:hAnsi="Arial"/>
                <w:sz w:val="16"/>
                <w:szCs w:val="16"/>
                <w:color w:val="auto"/>
              </w:rPr>
              <w:t>Invesco Real Estate</w:t>
            </w:r>
          </w:p>
        </w:tc>
        <w:tc>
          <w:tcPr>
            <w:tcW w:w="1420" w:type="dxa"/>
            <w:vAlign w:val="bottom"/>
          </w:tcPr>
          <w:p>
            <w:pPr>
              <w:jc w:val="center"/>
              <w:ind w:left="159"/>
              <w:spacing w:after="0"/>
              <w:rPr>
                <w:sz w:val="20"/>
                <w:szCs w:val="20"/>
                <w:color w:val="auto"/>
              </w:rPr>
            </w:pPr>
            <w:r>
              <w:rPr>
                <w:rFonts w:ascii="Arial" w:cs="Arial" w:eastAsia="Arial" w:hAnsi="Arial"/>
                <w:sz w:val="16"/>
                <w:szCs w:val="16"/>
                <w:color w:val="auto"/>
                <w:w w:val="92"/>
              </w:rPr>
              <w:t>20.00%</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20.00%</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68,342</w:t>
            </w: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August 2015</w:t>
            </w:r>
          </w:p>
        </w:tc>
        <w:tc>
          <w:tcPr>
            <w:tcW w:w="2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277,750</w:t>
            </w:r>
          </w:p>
        </w:tc>
      </w:tr>
      <w:tr>
        <w:trPr>
          <w:trHeight w:val="33"/>
        </w:trPr>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(4)</w:t>
            </w:r>
          </w:p>
        </w:tc>
        <w:tc>
          <w:tcPr>
            <w:tcW w:w="2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Private Investors</w:t>
            </w:r>
          </w:p>
        </w:tc>
        <w:tc>
          <w:tcPr>
            <w:tcW w:w="14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2"/>
              </w:rPr>
              <w:t>33.33%</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33.33%</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May 2017</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98"/>
        </w:trPr>
        <w:tc>
          <w:tcPr>
            <w:tcW w:w="1780" w:type="dxa"/>
            <w:vAlign w:val="bottom"/>
          </w:tcPr>
          <w:p>
            <w:pPr>
              <w:ind w:left="40"/>
              <w:spacing w:after="0"/>
              <w:rPr>
                <w:sz w:val="20"/>
                <w:szCs w:val="20"/>
                <w:color w:val="auto"/>
              </w:rPr>
            </w:pPr>
            <w:r>
              <w:rPr>
                <w:rFonts w:ascii="Arial" w:cs="Arial" w:eastAsia="Arial" w:hAnsi="Arial"/>
                <w:sz w:val="16"/>
                <w:szCs w:val="16"/>
                <w:color w:val="auto"/>
              </w:rPr>
              <w:t>2 Herald Square</w:t>
            </w:r>
            <w:r>
              <w:rPr>
                <w:rFonts w:ascii="Arial" w:cs="Arial" w:eastAsia="Arial" w:hAnsi="Arial"/>
                <w:sz w:val="21"/>
                <w:szCs w:val="21"/>
                <w:color w:val="auto"/>
                <w:vertAlign w:val="superscript"/>
              </w:rPr>
              <w:t>(5)</w:t>
            </w:r>
          </w:p>
        </w:tc>
        <w:tc>
          <w:tcPr>
            <w:tcW w:w="2440" w:type="dxa"/>
            <w:vAlign w:val="bottom"/>
          </w:tcPr>
          <w:p>
            <w:pPr>
              <w:ind w:left="320"/>
              <w:spacing w:after="0"/>
              <w:rPr>
                <w:sz w:val="20"/>
                <w:szCs w:val="20"/>
                <w:color w:val="auto"/>
              </w:rPr>
            </w:pPr>
            <w:r>
              <w:rPr>
                <w:rFonts w:ascii="Arial" w:cs="Arial" w:eastAsia="Arial" w:hAnsi="Arial"/>
                <w:sz w:val="11"/>
                <w:szCs w:val="11"/>
                <w:color w:val="auto"/>
              </w:rPr>
              <w:t>(5)</w:t>
            </w:r>
          </w:p>
        </w:tc>
        <w:tc>
          <w:tcPr>
            <w:tcW w:w="1420" w:type="dxa"/>
            <w:vAlign w:val="bottom"/>
          </w:tcPr>
          <w:p>
            <w:pPr>
              <w:jc w:val="center"/>
              <w:ind w:left="159"/>
              <w:spacing w:after="0"/>
              <w:rPr>
                <w:sz w:val="20"/>
                <w:szCs w:val="20"/>
                <w:color w:val="auto"/>
              </w:rPr>
            </w:pPr>
            <w:r>
              <w:rPr>
                <w:rFonts w:ascii="Arial" w:cs="Arial" w:eastAsia="Arial" w:hAnsi="Arial"/>
                <w:sz w:val="16"/>
                <w:szCs w:val="16"/>
                <w:color w:val="auto"/>
                <w:w w:val="92"/>
              </w:rPr>
              <w:t>49.00%</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49.00%</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369,000</w:t>
            </w: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May 2018</w:t>
            </w:r>
          </w:p>
        </w:tc>
        <w:tc>
          <w:tcPr>
            <w:tcW w:w="260" w:type="dxa"/>
            <w:vAlign w:val="bottom"/>
          </w:tcPr>
          <w:p>
            <w:pPr>
              <w:spacing w:after="0"/>
              <w:rPr>
                <w:sz w:val="24"/>
                <w:szCs w:val="24"/>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266,000</w:t>
            </w:r>
          </w:p>
        </w:tc>
      </w:tr>
    </w:tbl>
    <w:p>
      <w:pPr>
        <w:spacing w:after="0" w:line="48" w:lineRule="exact"/>
        <w:rPr>
          <w:sz w:val="20"/>
          <w:szCs w:val="20"/>
          <w:color w:val="auto"/>
        </w:rPr>
      </w:pPr>
    </w:p>
    <w:p>
      <w:pPr>
        <w:ind w:left="420" w:hanging="412"/>
        <w:spacing w:after="0" w:line="273" w:lineRule="auto"/>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Ownership interest and economic interest represent the Company's interests in the joint venture as of June 30, 2018. Changes in ownership or economic interests within the current year are disclosed in the notes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ind w:left="420" w:hanging="412"/>
        <w:spacing w:after="0" w:line="250"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Acquisition date and price represent the date on which the Company initially acquired an interest in the joint venture and the actual or implied gross purchase price for the joint venture on that date. Acquisition date and price are not adjusted for subsequent acquisitions or dispositions of interest.</w:t>
      </w:r>
    </w:p>
    <w:p>
      <w:pPr>
        <w:jc w:val="both"/>
        <w:ind w:left="420" w:hanging="412"/>
        <w:spacing w:after="0" w:line="241"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January 2018, the partnership agreement for our investment was modified resulting in the Company no longer having a controlling interest in this investment. As a result the investment was deconsolidated as of January 1, 2018. The Company recorded its non-controlling interest at fair value resulting in a $54.9 million fair value adjustment in the consolidated statement of operations. This fair value was allocated to the assets and liabilities, including identified intangibles of the property.</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May 2017, the Company contributed a mezzanine loan secured by a commercial property in midtown Manhattan to a joint venture and retained a 33.33% interest in the venture. The carrying value is net of $10.0 million that was sold, which is included in other assets and other liabilities on the consolidated balance sheets as a result of the transfers not meeting the conditions for sale accounting. The loan was repaid in August 2018.</w:t>
      </w:r>
    </w:p>
    <w:p>
      <w:pPr>
        <w:spacing w:after="0" w:line="1" w:lineRule="exact"/>
        <w:rPr>
          <w:rFonts w:ascii="Arial" w:cs="Arial" w:eastAsia="Arial" w:hAnsi="Arial"/>
          <w:sz w:val="14"/>
          <w:szCs w:val="14"/>
          <w:color w:val="auto"/>
        </w:rPr>
      </w:pPr>
    </w:p>
    <w:p>
      <w:pPr>
        <w:jc w:val="both"/>
        <w:ind w:left="420" w:hanging="412"/>
        <w:spacing w:after="0" w:line="246"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May 2018, SL Green assigned the Company a 49.0% tenancy-in-common interest in the leasehold interest in 2 Herald Square and entered into an agreement to sell this investment. Consolidation of this investment is not required as such interest does not qualify as a VIE and does not meet the control requirement for consolidation. Accordingly, we account for this investment using the equity method of accounting. We use the equity method of accounting because the shared decision-making involved in a tenancy-in-common interest investment provides us with significant influence on the operating and financial decisions of this investment.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Development and Construction Arrangements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Based on the characteristics of the following arrangements, which are similar to those of an investment, combined with the expected residual profit of not greater than 50%, we have accounted for these debt and preferred equity investments under the equity method. As of June 30, 2018 and December 31, 2017, the carrying value for acquisition, development and construction arrangements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Loan Type</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18"/>
                <w:szCs w:val="18"/>
                <w:color w:val="auto"/>
              </w:rPr>
            </w:pP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Pr>
          <w:p>
            <w:pPr>
              <w:spacing w:after="0"/>
              <w:rPr>
                <w:sz w:val="18"/>
                <w:szCs w:val="18"/>
                <w:color w:val="auto"/>
              </w:rPr>
            </w:pPr>
          </w:p>
        </w:tc>
        <w:tc>
          <w:tcPr>
            <w:tcW w:w="2160" w:type="dxa"/>
            <w:vAlign w:val="bottom"/>
          </w:tcPr>
          <w:p>
            <w:pPr>
              <w:ind w:left="580"/>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4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28,105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26,716</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1500"/>
              <w:spacing w:after="0"/>
              <w:rPr>
                <w:sz w:val="20"/>
                <w:szCs w:val="20"/>
                <w:color w:val="auto"/>
              </w:rPr>
            </w:pPr>
            <w:r>
              <w:rPr>
                <w:rFonts w:ascii="Arial" w:cs="Arial" w:eastAsia="Arial" w:hAnsi="Arial"/>
                <w:sz w:val="16"/>
                <w:szCs w:val="16"/>
                <w:color w:val="auto"/>
                <w:w w:val="93"/>
              </w:rPr>
              <w:t>July 2036</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Mezzanine Loan and Preferred Equity</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55"/>
        </w:trPr>
        <w:tc>
          <w:tcPr>
            <w:tcW w:w="44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was redeemed on this investment in July 2018.</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mezzanine loan was repaid and the preferred equity interest was redeemed in March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Joint Venture Interests or Properties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sell any joint venture interests or properties during the six months ended June 30,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Mortgages and Other Loans Payable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generally finance our joint ventures with non-recourse debt. In certain cases we have provided guarantees or master leases for tenant space, which terminate upon the satisfaction of specified circumstances or repayment of the underlying loans. The first mortgage notes and other loans payable collateralized by the respective joint venture properties and assignment of leases at June 30, 2018 and December 31, 2017, respectively, are as follows (amounts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Economic</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320"/>
              <w:spacing w:after="0"/>
              <w:rPr>
                <w:sz w:val="20"/>
                <w:szCs w:val="20"/>
                <w:color w:val="auto"/>
              </w:rPr>
            </w:pPr>
            <w:r>
              <w:rPr>
                <w:rFonts w:ascii="Arial" w:cs="Arial" w:eastAsia="Arial" w:hAnsi="Arial"/>
                <w:sz w:val="16"/>
                <w:szCs w:val="16"/>
                <w:b w:val="1"/>
                <w:bCs w:val="1"/>
                <w:color w:val="auto"/>
              </w:rPr>
              <w:t>Interest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3"/>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June 30, 2018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December 31, 2017</w:t>
            </w: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Debt: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919 Third Avenue</w:t>
            </w:r>
          </w:p>
        </w:tc>
        <w:tc>
          <w:tcPr>
            <w:tcW w:w="1060" w:type="dxa"/>
            <w:vAlign w:val="bottom"/>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2023</w:t>
            </w:r>
          </w:p>
        </w:tc>
        <w:tc>
          <w:tcPr>
            <w:tcW w:w="5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Debt: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131-137 Spring Street</w:t>
            </w:r>
          </w:p>
        </w:tc>
        <w:tc>
          <w:tcPr>
            <w:tcW w:w="106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August 2020</w:t>
            </w:r>
          </w:p>
        </w:tc>
        <w:tc>
          <w:tcPr>
            <w:tcW w:w="580" w:type="dxa"/>
            <w:vAlign w:val="bottom"/>
          </w:tcPr>
          <w:p>
            <w:pPr>
              <w:ind w:left="220"/>
              <w:spacing w:after="0"/>
              <w:rPr>
                <w:sz w:val="20"/>
                <w:szCs w:val="20"/>
                <w:color w:val="auto"/>
              </w:rPr>
            </w:pPr>
            <w:r>
              <w:rPr>
                <w:rFonts w:ascii="Arial" w:cs="Arial" w:eastAsia="Arial" w:hAnsi="Arial"/>
                <w:sz w:val="16"/>
                <w:szCs w:val="16"/>
                <w:color w:val="auto"/>
              </w:rPr>
              <w:t>L+</w:t>
            </w:r>
          </w:p>
        </w:tc>
        <w:tc>
          <w:tcPr>
            <w:tcW w:w="60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141,000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141,000</w:t>
            </w:r>
          </w:p>
        </w:tc>
      </w:tr>
      <w:tr>
        <w:trPr>
          <w:trHeight w:val="33"/>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joint venture mortgages and other loans payable</w:t>
            </w: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141,000</w:t>
            </w: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Deferred financing costs,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(2,308)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(2,862)</w:t>
            </w:r>
          </w:p>
        </w:tc>
      </w:tr>
      <w:tr>
        <w:trPr>
          <w:trHeight w:val="33"/>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5"/>
              </w:rPr>
              <w:t>Total joint venture mortgages and other loans payable, net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638,692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138,138</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line="250"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Economic interest represents the Company's interests in the joint venture as of June 30, 2018. Changes in ownership or economic interests, if any, within the current year are disclosed in the notes to the investment in unconsolidated joint ventures table above.</w:t>
      </w: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Interest rates as of June 30, 2018. Floating rate debt is presented with the stated interest rate spread over 30-day LIBOR, unless otherwise specified.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combined balance sheets for the unconsolidated joint ventures, at June 30, 2018 and December 31, 2017 are as follows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 xml:space="preserve">Assets </w:t>
            </w:r>
            <w:r>
              <w:rPr>
                <w:rFonts w:ascii="Arial" w:cs="Arial" w:eastAsia="Arial" w:hAnsi="Arial"/>
                <w:sz w:val="21"/>
                <w:szCs w:val="21"/>
                <w:b w:val="1"/>
                <w:bCs w:val="1"/>
                <w:color w:val="auto"/>
                <w:vertAlign w:val="superscript"/>
              </w:rPr>
              <w:t>(1)</w:t>
            </w: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Commercial real estate property, net</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b w:val="1"/>
                <w:bCs w:val="1"/>
                <w:color w:val="auto"/>
              </w:rPr>
              <w:t>1,851,576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273,116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preferred equity investments, net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141,716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b w:val="1"/>
                <w:bCs w:val="1"/>
                <w:color w:val="auto"/>
              </w:rPr>
              <w:t>502,804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15,735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2,397,485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430,567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 xml:space="preserve">Liabilities and members' equity </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2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Mortgages and other loans payable,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638,692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138,138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b w:val="1"/>
                <w:bCs w:val="1"/>
                <w:color w:val="auto"/>
              </w:rPr>
              <w:t>627,992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18,908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1,130,801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273,521</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 and members' equity</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2,397,485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430,567</w:t>
            </w:r>
          </w:p>
        </w:tc>
        <w:tc>
          <w:tcPr>
            <w:tcW w:w="0" w:type="dxa"/>
            <w:vAlign w:val="bottom"/>
          </w:tcPr>
          <w:p>
            <w:pPr>
              <w:spacing w:after="0"/>
              <w:rPr>
                <w:sz w:val="1"/>
                <w:szCs w:val="1"/>
                <w:color w:val="auto"/>
              </w:rPr>
            </w:pPr>
          </w:p>
        </w:tc>
      </w:tr>
      <w:tr>
        <w:trPr>
          <w:trHeight w:val="211"/>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Company's investments in unconsolidated joint ventures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513,889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130,217</w:t>
            </w:r>
          </w:p>
        </w:tc>
        <w:tc>
          <w:tcPr>
            <w:tcW w:w="0" w:type="dxa"/>
            <w:vAlign w:val="bottom"/>
          </w:tcPr>
          <w:p>
            <w:pPr>
              <w:spacing w:after="0"/>
              <w:rPr>
                <w:sz w:val="1"/>
                <w:szCs w:val="1"/>
                <w:color w:val="auto"/>
              </w:rPr>
            </w:pPr>
          </w:p>
        </w:tc>
      </w:tr>
      <w:tr>
        <w:trPr>
          <w:trHeight w:val="33"/>
        </w:trPr>
        <w:tc>
          <w:tcPr>
            <w:tcW w:w="7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line="273"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combined assets, liabilities and equity for the unconsolidated joint ventures reflects the effect of step ups in basis on the retained non-controlling interests in deconsolidated investments as a result of the adoption of ASC 610-20 in January 2018.</w:t>
      </w:r>
    </w:p>
    <w:p>
      <w:pPr>
        <w:spacing w:after="0" w:line="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combined statements of operations for the unconsolidated joint ventures for the three and six months ended June 30, 2018 and 2017,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34,115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70,362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5,566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12,266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454</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6,990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13,797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1,734</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12,607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25,094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4,202</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(1)</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1,927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4,499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5,155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12,018</w:t>
            </w:r>
          </w:p>
        </w:tc>
      </w:tr>
      <w:tr>
        <w:trPr>
          <w:trHeight w:val="237"/>
        </w:trPr>
        <w:tc>
          <w:tcPr>
            <w:tcW w:w="562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Company's equity in net income from unconsolidated joint ventures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7,435</w:t>
            </w:r>
          </w:p>
        </w:tc>
      </w:tr>
    </w:tbl>
    <w:p>
      <w:pPr>
        <w:spacing w:after="0" w:line="89" w:lineRule="exact"/>
        <w:rPr>
          <w:sz w:val="20"/>
          <w:szCs w:val="20"/>
          <w:color w:val="auto"/>
        </w:rPr>
      </w:pPr>
    </w:p>
    <w:p>
      <w:pPr>
        <w:ind w:left="420" w:hanging="412"/>
        <w:spacing w:after="0" w:line="273"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combined statements of operation and the Company's equity in net income for the unconsolidated joint ventures reflects the effect of step ups in basis on the retained non-controlling interests in deconsolidated investments as a result of the adoption of ASC 610-20 in January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Mortgages and Other Loans Payable</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first mortgages and other loans payable collateralized by the respective properties and assignment of leases or debt investments at June 30, 2018 and December 31, 2017, respectively, were as follows (amounts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Property</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 xml:space="preserve">Interest Rate </w:t>
            </w:r>
            <w:r>
              <w:rPr>
                <w:rFonts w:ascii="Arial" w:cs="Arial" w:eastAsia="Arial" w:hAnsi="Arial"/>
                <w:sz w:val="21"/>
                <w:szCs w:val="21"/>
                <w:b w:val="1"/>
                <w:bCs w:val="1"/>
                <w:color w:val="auto"/>
                <w:w w:val="94"/>
                <w:vertAlign w:val="superscript"/>
              </w:rPr>
              <w:t>(1)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December 31, 2017</w:t>
            </w:r>
          </w:p>
        </w:tc>
      </w:tr>
      <w:tr>
        <w:trPr>
          <w:trHeight w:val="244"/>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Debt: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315</w:t>
            </w:r>
          </w:p>
        </w:tc>
        <w:tc>
          <w:tcPr>
            <w:tcW w:w="4520" w:type="dxa"/>
            <w:vAlign w:val="bottom"/>
            <w:gridSpan w:val="2"/>
          </w:tcPr>
          <w:p>
            <w:pPr>
              <w:ind w:left="20"/>
              <w:spacing w:after="0"/>
              <w:rPr>
                <w:sz w:val="20"/>
                <w:szCs w:val="20"/>
                <w:color w:val="auto"/>
              </w:rPr>
            </w:pPr>
            <w:r>
              <w:rPr>
                <w:rFonts w:ascii="Arial" w:cs="Arial" w:eastAsia="Arial" w:hAnsi="Arial"/>
                <w:sz w:val="16"/>
                <w:szCs w:val="16"/>
                <w:color w:val="auto"/>
              </w:rPr>
              <w:t>West 33rd Street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2027</w:t>
            </w:r>
          </w:p>
        </w:tc>
        <w:tc>
          <w:tcPr>
            <w:tcW w:w="5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250,000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250,000</w:t>
            </w:r>
          </w:p>
        </w:tc>
      </w:tr>
      <w:tr>
        <w:trPr>
          <w:trHeight w:val="33"/>
        </w:trPr>
        <w:tc>
          <w:tcPr>
            <w:tcW w:w="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919</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Third Avenue </w:t>
            </w:r>
            <w:r>
              <w:rPr>
                <w:rFonts w:ascii="Arial" w:cs="Arial" w:eastAsia="Arial" w:hAnsi="Arial"/>
                <w:sz w:val="21"/>
                <w:szCs w:val="21"/>
                <w:color w:val="auto"/>
                <w:vertAlign w:val="superscript"/>
              </w:rPr>
              <w:t>(2)</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4820" w:type="dxa"/>
            <w:vAlign w:val="bottom"/>
            <w:gridSpan w:val="3"/>
          </w:tcPr>
          <w:p>
            <w:pPr>
              <w:ind w:left="40"/>
              <w:spacing w:after="0"/>
              <w:rPr>
                <w:sz w:val="20"/>
                <w:szCs w:val="20"/>
                <w:color w:val="auto"/>
              </w:rPr>
            </w:pPr>
            <w:r>
              <w:rPr>
                <w:rFonts w:ascii="Arial" w:cs="Arial" w:eastAsia="Arial" w:hAnsi="Arial"/>
                <w:sz w:val="16"/>
                <w:szCs w:val="16"/>
                <w:b w:val="1"/>
                <w:bCs w:val="1"/>
                <w:color w:val="auto"/>
              </w:rPr>
              <w:t>Floating Rate Debt: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2017 Master Repurchase Agreement </w:t>
            </w:r>
            <w:r>
              <w:rPr>
                <w:rFonts w:ascii="Arial" w:cs="Arial" w:eastAsia="Arial" w:hAnsi="Arial"/>
                <w:sz w:val="21"/>
                <w:szCs w:val="21"/>
                <w:color w:val="auto"/>
                <w:vertAlign w:val="superscript"/>
              </w:rPr>
              <w:t>(3)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2019</w:t>
            </w:r>
          </w:p>
        </w:tc>
        <w:tc>
          <w:tcPr>
            <w:tcW w:w="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300,000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90,809</w:t>
            </w:r>
          </w:p>
        </w:tc>
      </w:tr>
      <w:tr>
        <w:trPr>
          <w:trHeight w:val="217"/>
        </w:trPr>
        <w:tc>
          <w:tcPr>
            <w:tcW w:w="4820" w:type="dxa"/>
            <w:vAlign w:val="bottom"/>
            <w:gridSpan w:val="3"/>
          </w:tcPr>
          <w:p>
            <w:pPr>
              <w:ind w:left="40"/>
              <w:spacing w:after="0"/>
              <w:rPr>
                <w:sz w:val="20"/>
                <w:szCs w:val="20"/>
                <w:color w:val="auto"/>
              </w:rPr>
            </w:pPr>
            <w:r>
              <w:rPr>
                <w:rFonts w:ascii="Arial" w:cs="Arial" w:eastAsia="Arial" w:hAnsi="Arial"/>
                <w:sz w:val="16"/>
                <w:szCs w:val="16"/>
                <w:color w:val="auto"/>
              </w:rPr>
              <w:t>Total mortgages and other loans payable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550,000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840,809</w:t>
            </w:r>
          </w:p>
        </w:tc>
      </w:tr>
      <w:tr>
        <w:trPr>
          <w:trHeight w:val="33"/>
        </w:trPr>
        <w:tc>
          <w:tcPr>
            <w:tcW w:w="4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Deferred financing costs, net of amortization</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(11,161)</w:t>
            </w:r>
          </w:p>
        </w:tc>
      </w:tr>
      <w:tr>
        <w:trPr>
          <w:trHeight w:val="244"/>
        </w:trPr>
        <w:tc>
          <w:tcPr>
            <w:tcW w:w="4820" w:type="dxa"/>
            <w:vAlign w:val="bottom"/>
            <w:gridSpan w:val="3"/>
          </w:tcPr>
          <w:p>
            <w:pPr>
              <w:ind w:left="40"/>
              <w:spacing w:after="0"/>
              <w:rPr>
                <w:sz w:val="20"/>
                <w:szCs w:val="20"/>
                <w:color w:val="auto"/>
              </w:rPr>
            </w:pPr>
            <w:r>
              <w:rPr>
                <w:rFonts w:ascii="Arial" w:cs="Arial" w:eastAsia="Arial" w:hAnsi="Arial"/>
                <w:sz w:val="16"/>
                <w:szCs w:val="16"/>
                <w:color w:val="auto"/>
              </w:rPr>
              <w:t>Total mortgages and other loans payable, net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543,907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829,648</w:t>
            </w:r>
          </w:p>
        </w:tc>
      </w:tr>
      <w:tr>
        <w:trPr>
          <w:trHeight w:val="20"/>
        </w:trPr>
        <w:tc>
          <w:tcPr>
            <w:tcW w:w="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Interest rate as of June 30, 2018. Floating rate debt is presented with the stated interest rate spread over 30-day LIBOR, unless otherwise specified.</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investment in the property was deconsolidated as of January 1, 2018. See Note 6, "Investments in Unconsolidated Joint Ventures".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June 2018, we exercised a 12-month extension option.</w:t>
      </w:r>
    </w:p>
    <w:p>
      <w:pPr>
        <w:spacing w:after="0" w:line="10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At June 30, 2018 and December 31, 2017, the gross book value of the properties and debt and preferred equity investments collateralizing the mortgages and other loans payable, not including assets held for sale, was approximately $1.0 billion and $1.9 billion,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Repurchase Agreements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has entered into two Master Repurchase Agreements, or MRAs, known as the 2016 MRA and 2017 MRA, which provide us with the ability to sell certain debt investments with a simultaneous agreement to repurchase the same at a certain date or on demand. We seek to mitigate risks associated with our repurchase agreement by managing the credit quality of our assets, early repayments, interest rate volatility, liquidity, and market value. The margin call provisions under our repurchase facilities permit valuation adjustments based on capital markets activity, and are not limited to collateral-specific credit marks. To monitor credit risk associated with our debt investments, our asset management team regularly reviews our investment portfolio and is in contact with our borrowers in order to monitor the collateral and enforce our rights as necessary. The risk associated with potential margin calls is further mitigated by our ability to recollateralize the facility with additional assets from our portfolio of debt investments and our ability to satisfy margin calls with cash or cash equivalents.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2017, we entered into the 2017 MRA, with a maximum facility capacity of $300.0 million. In April 2018, we increased the maximum facility capacity to $400.0 million. The facility bears interest on a floating rate basis at a spread to 30-day LIBOR based on the pledged collateral and advance rate and has an initial one year term, with two one year extension options. In June 2018, we exercised a one year extension option. At June 30, 2018, the facility had an outstanding balance of $299.2 million, net of deferred financing costs.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July 2016, we entered into a restated 2016 MRA, with a maximum facility capacity of $300.0 million. In June 2018, we terminated the restated 2016 MRA. The facility bore interest ranging from 225 and 400 basis points over 30-day LIBOR depending on the pledged collateral and had an initial two-year term, with a one year extension option. Since December 6, 2015, we had been required to pay monthly in arrears a 25 basis point fee on the excess of $150.0 million over the average daily balance during the period when the average daily balance was less than $150.0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9380" w:firstLine="8"/>
        <w:spacing w:after="0" w:line="425" w:lineRule="auto"/>
        <w:tabs>
          <w:tab w:leader="none" w:pos="1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Indebtedness 2017 Credit Facility</w:t>
      </w:r>
    </w:p>
    <w:p>
      <w:pPr>
        <w:spacing w:after="0" w:line="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November 2017, the Company, SL Green and the Operating Partnership entered into an amendment to the credit facility, referred to as the 2017 credit facility, that was originally entered into in November 2012, or the 2012 credit facility. The amendment resulted in the Company no longer being a borrower, and instead is providing a guarantee of the facility. The 2012 credit facility had a carrying value of $1.2 billion, net of deferred financing costs, as of the amendment date and was removed from our consolidated balance sheet and shown as a non-cash capital contribution. SL Green and the Operating Partnership remain borrowers jointly and severally obligated under the 2017 credit facility. As of June 30, 2018, the 2017 credit facility consisted of a $1.5 billion revolving credit facility, a $1.3 billion term loan (or "Term Loan A"), and a $200.0 million term loan (or "Term Loan B") with maturity dates of March 31, 2022, March 31, 2023, and November 21, 2024, respectively. The revolving credit facility has two six-month as-of-right extension options to March 31, 2023. SL Green and the Operating Partnership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the existing lenders and other financial institutions.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June 30, 2018, SL Green and the Operating Partnership had $11.8 million of outstanding letters of credit, $360.0 million drawn under the revolving credit facility and $1.5 billion outstanding under the term loan facilities, with total undrawn capacity of $1.1 billion under the 2017 credit facility. At June 30, 2018 and December 31, 2017, the revolving credit facility had a carrying value of $351.3 million and $30.3 million, respectively, net of deferred financing costs. At June 30, 2018 and December 31, 2017, the term loan facilities had a carrying value of $1.5 billion and $1.5 billion, respectively, net of deferred financing costs.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2017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our senior unsecured notes and other related disclosures as of June 30, 2018 and December 31, 2017, respectively, by scheduled maturity date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June 30,</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Unpaid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Initial</w:t>
            </w: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Principal</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Accreted</w:t>
            </w:r>
          </w:p>
        </w:tc>
        <w:tc>
          <w:tcPr>
            <w:tcW w:w="160" w:type="dxa"/>
            <w:vAlign w:val="bottom"/>
          </w:tcPr>
          <w:p>
            <w:pPr>
              <w:spacing w:after="0"/>
              <w:rPr>
                <w:sz w:val="17"/>
                <w:szCs w:val="17"/>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Accreted</w:t>
            </w:r>
          </w:p>
        </w:tc>
        <w:tc>
          <w:tcPr>
            <w:tcW w:w="100" w:type="dxa"/>
            <w:vAlign w:val="bottom"/>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Coupon</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1480" w:type="dxa"/>
            <w:vAlign w:val="bottom"/>
          </w:tcPr>
          <w:p>
            <w:pPr>
              <w:spacing w:after="0"/>
              <w:rPr>
                <w:sz w:val="17"/>
                <w:szCs w:val="17"/>
                <w:color w:val="auto"/>
              </w:rPr>
            </w:pPr>
          </w:p>
        </w:tc>
      </w:tr>
      <w:tr>
        <w:trPr>
          <w:trHeight w:val="243"/>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Issuance</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 Years)</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Maturity Date</w:t>
            </w:r>
          </w:p>
        </w:tc>
      </w:tr>
      <w:tr>
        <w:trPr>
          <w:trHeight w:val="25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August 5, 2011 </w:t>
            </w:r>
            <w:r>
              <w:rPr>
                <w:rFonts w:ascii="Arial" w:cs="Arial" w:eastAsia="Arial" w:hAnsi="Arial"/>
                <w:sz w:val="21"/>
                <w:szCs w:val="21"/>
                <w:color w:val="auto"/>
                <w:vertAlign w:val="superscript"/>
              </w:rPr>
              <w:t>(2)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249,991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249,953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2018</w:t>
            </w: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 xml:space="preserve">March 16, 2010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250,000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250,000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2020</w:t>
            </w:r>
          </w:p>
        </w:tc>
      </w:tr>
      <w:tr>
        <w:trPr>
          <w:trHeight w:val="27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November 15, 2012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304,673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305,163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2022</w:t>
            </w:r>
          </w:p>
        </w:tc>
      </w:tr>
      <w:tr>
        <w:trPr>
          <w:trHeight w:val="270"/>
        </w:trPr>
        <w:tc>
          <w:tcPr>
            <w:tcW w:w="34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December 17, 2015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December 2025</w:t>
            </w:r>
          </w:p>
        </w:tc>
      </w:tr>
      <w:tr>
        <w:trPr>
          <w:trHeight w:val="230"/>
        </w:trPr>
        <w:tc>
          <w:tcPr>
            <w:tcW w:w="3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904,664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905,116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Deferred financing costs, net</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5"/>
        </w:trPr>
        <w:tc>
          <w:tcPr>
            <w:tcW w:w="3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901,301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901,067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Interest on the senior unsecured notes is payable semi-annually with principal and unpaid interest due on the scheduled maturity dates.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Issued by SL Green, the Operating Partnership and ROP, as co-obligors.</w:t>
      </w:r>
    </w:p>
    <w:p>
      <w:pPr>
        <w:spacing w:after="0" w:line="1" w:lineRule="exact"/>
        <w:rPr>
          <w:rFonts w:ascii="Arial" w:cs="Arial" w:eastAsia="Arial" w:hAnsi="Arial"/>
          <w:sz w:val="14"/>
          <w:szCs w:val="14"/>
          <w:color w:val="auto"/>
        </w:rPr>
      </w:pPr>
    </w:p>
    <w:p>
      <w:pPr>
        <w:ind w:left="420" w:right="20" w:hanging="412"/>
        <w:spacing w:after="0" w:line="255" w:lineRule="auto"/>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October 2017, SL Green, the Operating Partnership, and ROP, as co-obligors, issued an additional $100.0 million of 4.50% senior unsecured notes due December 2022. The notes were priced at 105.334%.</w:t>
      </w:r>
    </w:p>
    <w:p>
      <w:pPr>
        <w:spacing w:after="0" w:line="8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provide a guaranty of the Operating Partnership's obligations under its 3.25% Senior Notes due 2022, which were issued in October 2017 and will mature in October 2022. As of June 30, 2018, the 3.25% Senior Notes due 2022 had a carrying value of $499.5 million.</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provide a guaranty of the Operating Partnership's obligations under its $350.0 million Senior Notes due 2021, which were issued in August 2018. The notes bear interest at a floating rate, reset quarterly, equal to three-month LIBOR plus 98 basis points. The notes will mature in August 2021 and can be redeemed at par beginning in August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terms of the 2017 credit facility and certain of our senior unsecured notes include certain restrictions and covenants which may limit, among other things, SL Green's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SL Green will not during any time when a default is continuing, make distributions with respect to SL Green's common stock or other equity interests, except to enable SL Green to continue to qualify as a REIT for Federal income tax purposes. As of June 30, 2018 and December 31, 2017, we were in compliance with all such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Combined aggregate principal maturities of mortgages and other loans payable, and senior unsecured notes as of June 30, 2018, including as-of-right extension options and put options,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Scheduled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Senior Unsecured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Notes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2018</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2019</w:t>
            </w:r>
          </w:p>
        </w:tc>
        <w:tc>
          <w:tcPr>
            <w:tcW w:w="12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2021</w:t>
            </w:r>
          </w:p>
        </w:tc>
        <w:tc>
          <w:tcPr>
            <w:tcW w:w="12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2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350,000</w:t>
            </w:r>
          </w:p>
        </w:tc>
      </w:tr>
      <w:tr>
        <w:trPr>
          <w:trHeight w:val="33"/>
        </w:trPr>
        <w:tc>
          <w:tcPr>
            <w:tcW w:w="5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1,450,000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interest expense, excluding capitalized interest, was comprised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60" w:type="dxa"/>
            <w:vAlign w:val="bottom"/>
            <w:gridSpan w:val="4"/>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6"/>
                <w:szCs w:val="16"/>
                <w:b w:val="1"/>
                <w:bCs w:val="1"/>
                <w:color w:val="auto"/>
                <w:w w:val="95"/>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before capitalized interest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8"/>
              </w:rPr>
              <w:t>18,678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32,231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34,677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62,082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capitalized</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(1,506)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(2,314)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17,171</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32,108</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32,360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61,575</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 Security/ Messenger and Restoration Services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Alliance Building Services, or Alliance, and its affiliates are partially owned by Gary Green, a son of Stephen L. Green, the chairman of SL Green's board of directors, and provide services to certain properties owned by us.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earned from the profit participation, which is included in other income on the consolidated statements of operations, was $0.9 million and $1.7 million for the three and six months ended June 30, 2018, respectively, and was $0.9 million and $1.7 million for the three and six months ended June 30, 2017, respectively.</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recorded expenses, inclusive of capitalized expenses, of $2.4 million and $4.6 million for the three and six months ended June 30, 2018, respectively, for these services (excluding services provided directly to tenants), and $2.4 million and $4.4 million for the three and six months ended June 30, 2017,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Allocated Expenses from SL Green</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Property operating expenses include an allocation of salary and other operating costs from SL Green based on square footage of the related properties. Such amount was approximately $2.8 million and $5.6 million for the three and six months ended June 30, 2018, respectively. The amount was $3.0 million and $6.2 million for the three and six months ended June 30,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obtained insurance coverage through an insurance program administered by SL Green. In connection with this program, we incurred insurance expense of approximately $1.1 million and $2.2 million for the three and six months ended June 30, 2018, respectively. We incurred insurance expense of approximately $1.4 million and $2.8 million for the three and six months ended June 30,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Payable to SL Green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August 22, 2016, we issued a promissory note to our parent company in the amount of $23.8 million which bears interest at an annual rate of 6.0%, compounded quarterly, and matures on August 22,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Units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Through a consolidated subsidiary, we have authorized up to 109,161 3.50% Series A Preferred Units of limited partnership interest, or the Subsidiary Series A Preferred Units, with a liquidation preference of $1,000.00 per unit. In August 2015, the Company issued 109,161 Subsidiary Series A Preferred Units in conjunction with an acquisition. The Subsidiary Series A Preferred unitholders receive annual dividends of $35.00 per unit paid on a quarterly basis and dividends are cumulative, subject to certain provisions. The Subsidiary Series A Preferred Units can be redeemed at any time, at the option of the unitholder, either for cash or are convertible on a one-for-one basis, into the Series B Preferred Units of limited partnership interest, or the Subsidiary Series B Preferred Units. The Subsidiary Series B Preferred Units can be converted at any time, at the option of the unitholder, into a number of common stock equal to 6.71348 shares of SL Green common stock for each Subsidiary Series B Preferred Unit. As of June 30, 2018, no Subsidiary Series B Preferred Units have been issued.</w:t>
      </w:r>
    </w:p>
    <w:p>
      <w:pPr>
        <w:spacing w:after="0" w:line="8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ASC 815 Derivatives and Hedging requires bifurcation of certain embedded derivative instruments, such as conversion features in convertible equity instruments, and their measurement at fair value for accounting purposes. The conversion feature embedded in the Subsidiary Series A Preferred Units was evaluated, and it was determined that the conversion feature should be bifurcated from its host instrument and accounted for as a freestanding derivative. The derivative is reported as a derivative liability in accrued interest and other liabilities on the accompanying consolidated balance sheet and is adjusted to its fair value at each reporting date, with a corresponding adjustment to interest expense, net of interest income. The embedded derivative for the Subsidiary Series A Preferred Units was initially recorded at a fair value of zero on July 22, 2015, the date of issuance. At June 30, 2018, the carrying amount of the derivative remained at zero.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Partners' Capital</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Since consummation of the Merger on January 25, 2007, the Operating Partnership has owned all the economic interests in us either by direct ownership or by indirect ownership through our general partner, which is its wholly-owned subsidiary.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Intercompany transactions between SL Green and us are generally recorded as contributions and distributions.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are required to disclose fair value information with regard to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w:t>
      </w:r>
    </w:p>
    <w:p>
      <w:pPr>
        <w:spacing w:after="0" w:line="2" w:lineRule="exact"/>
        <w:rPr>
          <w:sz w:val="20"/>
          <w:szCs w:val="20"/>
          <w:color w:val="auto"/>
        </w:rPr>
      </w:pPr>
    </w:p>
    <w:p>
      <w:pPr>
        <w:jc w:val="both"/>
        <w:ind w:firstLine="8"/>
        <w:spacing w:after="0" w:line="269" w:lineRule="auto"/>
        <w:tabs>
          <w:tab w:leader="none" w:pos="1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determine other than temporary impairment in real estate investments and debt and preferred equity investments, including intangibles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January 2018, the partnership agreement for our investment in 919 Third Avenue was modified resulting in the Company no longer having a controlling interest in this investment. As a result the investment was deconsolidated as of January 1, 2018. The Company recorded its non-controlling interest at fair value resulting in a $54.9 million fair value adjustment in the consolidated statement of operations. This fair value was determined using a third party valuation which primarily utilized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7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 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the carrying value and fair value of these financial instruments as of June 30, 2018 and December 31, 2017 (in thousands):</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2018</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4"/>
          </w:tcPr>
          <w:p>
            <w:pPr>
              <w:jc w:val="right"/>
              <w:ind w:right="1124"/>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3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48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320" w:type="dxa"/>
            <w:vAlign w:val="bottom"/>
          </w:tcPr>
          <w:p>
            <w:pPr>
              <w:spacing w:after="0"/>
              <w:rPr>
                <w:sz w:val="22"/>
                <w:szCs w:val="22"/>
                <w:color w:val="auto"/>
              </w:rPr>
            </w:pPr>
          </w:p>
        </w:tc>
        <w:tc>
          <w:tcPr>
            <w:tcW w:w="1480" w:type="dxa"/>
            <w:vAlign w:val="bottom"/>
          </w:tcPr>
          <w:p>
            <w:pPr>
              <w:jc w:val="right"/>
              <w:ind w:right="464"/>
              <w:spacing w:after="0"/>
              <w:rPr>
                <w:sz w:val="20"/>
                <w:szCs w:val="20"/>
                <w:color w:val="auto"/>
              </w:rPr>
            </w:pPr>
            <w:r>
              <w:rPr>
                <w:rFonts w:ascii="Arial" w:cs="Arial" w:eastAsia="Arial" w:hAnsi="Arial"/>
                <w:sz w:val="16"/>
                <w:szCs w:val="16"/>
                <w:b w:val="1"/>
                <w:bCs w:val="1"/>
                <w:color w:val="auto"/>
              </w:rPr>
              <w:t>Fair Value</w:t>
            </w:r>
          </w:p>
        </w:tc>
      </w:tr>
      <w:tr>
        <w:trPr>
          <w:trHeight w:val="291"/>
        </w:trPr>
        <w:tc>
          <w:tcPr>
            <w:tcW w:w="37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6"/>
                <w:szCs w:val="16"/>
                <w:color w:val="auto"/>
              </w:rPr>
              <w:t>Debt and preferred equity investments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2,168,515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right"/>
              <w:ind w:right="804"/>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2,114,041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784"/>
              <w:spacing w:after="0"/>
              <w:rPr>
                <w:sz w:val="20"/>
                <w:szCs w:val="20"/>
                <w:color w:val="auto"/>
              </w:rPr>
            </w:pPr>
            <w:r>
              <w:rPr>
                <w:rFonts w:ascii="Arial" w:cs="Arial" w:eastAsia="Arial" w:hAnsi="Arial"/>
                <w:sz w:val="11"/>
                <w:szCs w:val="11"/>
                <w:b w:val="1"/>
                <w:bCs w:val="1"/>
                <w:color w:val="auto"/>
              </w:rPr>
              <w:t>(2)</w:t>
            </w:r>
          </w:p>
        </w:tc>
      </w:tr>
      <w:tr>
        <w:trPr>
          <w:trHeight w:val="33"/>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3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6"/>
                <w:szCs w:val="16"/>
                <w:color w:val="auto"/>
              </w:rPr>
              <w:t>Fixed rate debt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1,154,664</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44"/>
              <w:spacing w:after="0"/>
              <w:rPr>
                <w:sz w:val="20"/>
                <w:szCs w:val="20"/>
                <w:color w:val="auto"/>
              </w:rPr>
            </w:pPr>
            <w:r>
              <w:rPr>
                <w:rFonts w:ascii="Arial" w:cs="Arial" w:eastAsia="Arial" w:hAnsi="Arial"/>
                <w:sz w:val="16"/>
                <w:szCs w:val="16"/>
                <w:b w:val="1"/>
                <w:bCs w:val="1"/>
                <w:color w:val="auto"/>
              </w:rPr>
              <w:t>1,164,249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1,655,116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4"/>
              <w:spacing w:after="0"/>
              <w:rPr>
                <w:sz w:val="20"/>
                <w:szCs w:val="20"/>
                <w:color w:val="auto"/>
              </w:rPr>
            </w:pPr>
            <w:r>
              <w:rPr>
                <w:rFonts w:ascii="Arial" w:cs="Arial" w:eastAsia="Arial" w:hAnsi="Arial"/>
                <w:sz w:val="16"/>
                <w:szCs w:val="16"/>
                <w:color w:val="auto"/>
              </w:rPr>
              <w:t>1,715,501</w:t>
            </w:r>
          </w:p>
        </w:tc>
      </w:tr>
      <w:tr>
        <w:trPr>
          <w:trHeight w:val="33"/>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308,739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92,087</w:t>
            </w:r>
          </w:p>
        </w:tc>
      </w:tr>
      <w:tr>
        <w:trPr>
          <w:trHeight w:val="217"/>
        </w:trPr>
        <w:tc>
          <w:tcPr>
            <w:tcW w:w="37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1,454,664</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1,472,988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1,745,925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1,807,588</w:t>
            </w:r>
          </w:p>
        </w:tc>
      </w:tr>
      <w:tr>
        <w:trPr>
          <w:trHeight w:val="3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exclude net deferred financing costs.</w:t>
      </w:r>
    </w:p>
    <w:p>
      <w:pPr>
        <w:spacing w:after="0" w:line="13"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At June 30, 2018, debt and preferred equity investments had an estimated fair value ranging between $2.2 billion and $2.4 billion. At December 31, 2017, debt and preferred equity investments had an estimated fair value ranging between $2.1 billion and $2.3 billion.</w:t>
      </w:r>
    </w:p>
    <w:p>
      <w:pPr>
        <w:spacing w:after="0" w:line="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Disclosure about fair value of financial instruments was based on pertinent information available to us as of June 30, 2018 and December 31, 2017. Although we are not aware of any factors that would significantly affect the reasonable fair value amounts, such amounts have not been comprehensively revalued for purposes of these financial statements since that date and current estimates of fair value may differ significantly from the amounts presented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 Derivatives and Hedging</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normal course of business, we use a variety of commonly used derivative instruments, such as interest rate swaps, caps, collar and floors, to manage, or hedge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until the hedged item is recognized in earnings. The ineffective portion of a derivative's change in fair value will be immediately recognized in earnings. Reported net income and equity may increase or decrease prospectively, depending on future levels of interest rates and other variables affecting the fair values of derivative instruments and hedged items, but will have no effect on cash flows. Currently, all</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our designated derivative instruments are effective hedging instruments. As of June 30, 2018, the Company had not designated any interest rate swap agreements on any debt investment.</w:t>
      </w:r>
    </w:p>
    <w:p>
      <w:pPr>
        <w:spacing w:after="0" w:line="6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Gains and losses on terminated hedges are included in accumulated other comprehensive income, and are recognized into earnings over the term of the related senior unsecured notes. As of June 30, 2018 and December 31, 2017, the deferred net losses from these terminated hedges, which are included in accumulated other comprehensive income relating to net unrealized loss on derivative instruments, was approximately zero and $1.3 million, respectively.</w:t>
      </w:r>
    </w:p>
    <w:p>
      <w:pPr>
        <w:spacing w:after="0" w:line="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effect of our derivative financial instruments that are designated and qualify as hedging instruments on the consolidated statements of operations for the three months ended June 30, 2018 and 2017, respectively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0"/>
              </w:rPr>
              <w:t>Amount of Loss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w w:val="90"/>
              </w:rPr>
              <w:t>Amount of Loss</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89"/>
              </w:rPr>
              <w:t>Reclassified from</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w w:val="88"/>
              </w:rPr>
              <w:t>Recognized in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w w:val="90"/>
              </w:rPr>
              <w:t>Other Comprehensive</w:t>
            </w:r>
          </w:p>
        </w:tc>
        <w:tc>
          <w:tcPr>
            <w:tcW w:w="120" w:type="dxa"/>
            <w:vAlign w:val="bottom"/>
          </w:tcPr>
          <w:p>
            <w:pPr>
              <w:spacing w:after="0"/>
              <w:rPr>
                <w:sz w:val="17"/>
                <w:szCs w:val="17"/>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Location of Loss</w:t>
            </w:r>
          </w:p>
        </w:tc>
        <w:tc>
          <w:tcPr>
            <w:tcW w:w="160" w:type="dxa"/>
            <w:vAlign w:val="bottom"/>
          </w:tcPr>
          <w:p>
            <w:pPr>
              <w:spacing w:after="0"/>
              <w:rPr>
                <w:sz w:val="17"/>
                <w:szCs w:val="17"/>
                <w:color w:val="auto"/>
              </w:rPr>
            </w:pPr>
          </w:p>
        </w:tc>
        <w:tc>
          <w:tcPr>
            <w:tcW w:w="198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0"/>
              </w:rPr>
              <w:t>Comprehensive Loss into</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w w:val="93"/>
              </w:rPr>
              <w:t>Amount of Gain</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5"/>
              </w:rPr>
              <w:t>Loss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vMerge w:val="restart"/>
          </w:tcPr>
          <w:p>
            <w:pPr>
              <w:jc w:val="center"/>
              <w:ind w:left="519"/>
              <w:spacing w:after="0"/>
              <w:rPr>
                <w:sz w:val="20"/>
                <w:szCs w:val="20"/>
                <w:color w:val="auto"/>
              </w:rPr>
            </w:pPr>
            <w:r>
              <w:rPr>
                <w:rFonts w:ascii="Arial" w:cs="Arial" w:eastAsia="Arial" w:hAnsi="Arial"/>
                <w:sz w:val="16"/>
                <w:szCs w:val="16"/>
                <w:b w:val="1"/>
                <w:bCs w:val="1"/>
                <w:color w:val="auto"/>
                <w:w w:val="92"/>
              </w:rPr>
              <w:t>Income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0"/>
              </w:rPr>
              <w:t>Recognized into Income</w:t>
            </w:r>
          </w:p>
        </w:tc>
        <w:tc>
          <w:tcPr>
            <w:tcW w:w="0" w:type="dxa"/>
            <w:vAlign w:val="bottom"/>
          </w:tcPr>
          <w:p>
            <w:pPr>
              <w:spacing w:after="0"/>
              <w:rPr>
                <w:sz w:val="1"/>
                <w:szCs w:val="1"/>
                <w:color w:val="auto"/>
              </w:rPr>
            </w:pPr>
          </w:p>
        </w:tc>
      </w:tr>
      <w:tr>
        <w:trPr>
          <w:trHeight w:val="46"/>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Reclassified from</w:t>
            </w:r>
          </w:p>
        </w:tc>
        <w:tc>
          <w:tcPr>
            <w:tcW w:w="1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Location of Gain</w:t>
            </w:r>
          </w:p>
        </w:tc>
        <w:tc>
          <w:tcPr>
            <w:tcW w:w="21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vMerge w:val="restart"/>
          </w:tcPr>
          <w:p>
            <w:pPr>
              <w:jc w:val="center"/>
              <w:ind w:right="119"/>
              <w:spacing w:after="0"/>
              <w:rPr>
                <w:sz w:val="20"/>
                <w:szCs w:val="20"/>
                <w:color w:val="auto"/>
              </w:rPr>
            </w:pPr>
            <w:r>
              <w:rPr>
                <w:rFonts w:ascii="Arial" w:cs="Arial" w:eastAsia="Arial" w:hAnsi="Arial"/>
                <w:sz w:val="16"/>
                <w:szCs w:val="16"/>
                <w:b w:val="1"/>
                <w:bCs w:val="1"/>
                <w:color w:val="auto"/>
                <w:w w:val="92"/>
              </w:rPr>
              <w:t>(Effective Portion)</w:t>
            </w: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vMerge w:val="restart"/>
          </w:tcPr>
          <w:p>
            <w:pPr>
              <w:jc w:val="center"/>
              <w:ind w:right="59"/>
              <w:spacing w:after="0"/>
              <w:rPr>
                <w:sz w:val="20"/>
                <w:szCs w:val="20"/>
                <w:color w:val="auto"/>
              </w:rPr>
            </w:pPr>
            <w:r>
              <w:rPr>
                <w:rFonts w:ascii="Arial" w:cs="Arial" w:eastAsia="Arial" w:hAnsi="Arial"/>
                <w:sz w:val="16"/>
                <w:szCs w:val="16"/>
                <w:b w:val="1"/>
                <w:bCs w:val="1"/>
                <w:color w:val="auto"/>
                <w:w w:val="92"/>
              </w:rPr>
              <w:t>(Effective Portion)</w:t>
            </w: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40" w:type="dxa"/>
            <w:vAlign w:val="bottom"/>
            <w:gridSpan w:val="4"/>
            <w:vMerge w:val="restart"/>
          </w:tcPr>
          <w:p>
            <w:pPr>
              <w:jc w:val="center"/>
              <w:ind w:left="239"/>
              <w:spacing w:after="0"/>
              <w:rPr>
                <w:sz w:val="20"/>
                <w:szCs w:val="20"/>
                <w:color w:val="auto"/>
              </w:rPr>
            </w:pPr>
            <w:r>
              <w:rPr>
                <w:rFonts w:ascii="Arial" w:cs="Arial" w:eastAsia="Arial" w:hAnsi="Arial"/>
                <w:sz w:val="16"/>
                <w:szCs w:val="16"/>
                <w:b w:val="1"/>
                <w:bCs w:val="1"/>
                <w:color w:val="auto"/>
                <w:w w:val="93"/>
              </w:rPr>
              <w:t>(Ineffective Portion)</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Accumulated Other</w:t>
            </w:r>
          </w:p>
        </w:tc>
        <w:tc>
          <w:tcPr>
            <w:tcW w:w="160" w:type="dxa"/>
            <w:vAlign w:val="bottom"/>
          </w:tcPr>
          <w:p>
            <w:pPr>
              <w:spacing w:after="0"/>
              <w:rPr>
                <w:sz w:val="4"/>
                <w:szCs w:val="4"/>
                <w:color w:val="auto"/>
              </w:rPr>
            </w:pPr>
          </w:p>
        </w:tc>
        <w:tc>
          <w:tcPr>
            <w:tcW w:w="198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Recognized in</w:t>
            </w:r>
          </w:p>
        </w:tc>
        <w:tc>
          <w:tcPr>
            <w:tcW w:w="18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14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1"/>
              </w:rPr>
              <w:t>Three Months Ended June 30,</w:t>
            </w:r>
          </w:p>
        </w:tc>
        <w:tc>
          <w:tcPr>
            <w:tcW w:w="100" w:type="dxa"/>
            <w:vAlign w:val="bottom"/>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14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21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89"/>
              </w:rPr>
              <w:t>Income on</w:t>
            </w:r>
          </w:p>
        </w:tc>
        <w:tc>
          <w:tcPr>
            <w:tcW w:w="21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ind w:left="340"/>
              <w:spacing w:after="0"/>
              <w:rPr>
                <w:sz w:val="20"/>
                <w:szCs w:val="20"/>
                <w:color w:val="auto"/>
              </w:rPr>
            </w:pPr>
            <w:r>
              <w:rPr>
                <w:rFonts w:ascii="Arial" w:cs="Arial" w:eastAsia="Arial" w:hAnsi="Arial"/>
                <w:sz w:val="16"/>
                <w:szCs w:val="16"/>
                <w:b w:val="1"/>
                <w:bCs w:val="1"/>
                <w:color w:val="auto"/>
              </w:rPr>
              <w:t>Derivative</w:t>
            </w:r>
          </w:p>
        </w:tc>
        <w:tc>
          <w:tcPr>
            <w:tcW w:w="24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Loss into Income</w:t>
            </w:r>
          </w:p>
        </w:tc>
        <w:tc>
          <w:tcPr>
            <w:tcW w:w="160" w:type="dxa"/>
            <w:vAlign w:val="bottom"/>
          </w:tcPr>
          <w:p>
            <w:pPr>
              <w:spacing w:after="0"/>
              <w:rPr>
                <w:sz w:val="20"/>
                <w:szCs w:val="20"/>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Derivative</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effect of our derivative financial instruments that are designated and qualify as hedging instruments on the consolidated statements of operations for the six months ended June 30, 2018 and 2017, respectively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w w:val="90"/>
              </w:rPr>
              <w:t>Amount of Loss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0"/>
              </w:rPr>
              <w:t>Amount of Loss</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auto"/>
                <w:w w:val="89"/>
              </w:rPr>
              <w:t>Reclassified from</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88"/>
              </w:rPr>
              <w:t>Recognized in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w w:val="93"/>
              </w:rPr>
              <w:t>Accumulated 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0"/>
              </w:rPr>
              <w:t>Other Comprehensive</w:t>
            </w:r>
          </w:p>
        </w:tc>
        <w:tc>
          <w:tcPr>
            <w:tcW w:w="120" w:type="dxa"/>
            <w:vAlign w:val="bottom"/>
          </w:tcPr>
          <w:p>
            <w:pPr>
              <w:spacing w:after="0"/>
              <w:rPr>
                <w:sz w:val="17"/>
                <w:szCs w:val="17"/>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Location of Loss</w:t>
            </w: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Comprehensive Loss into</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w w:val="93"/>
              </w:rPr>
              <w:t>Amount of Gain</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5"/>
              </w:rPr>
              <w:t>Loss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w w:val="92"/>
              </w:rPr>
              <w:t>Income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0"/>
              </w:rPr>
              <w:t>Recognized into Income</w:t>
            </w:r>
          </w:p>
        </w:tc>
        <w:tc>
          <w:tcPr>
            <w:tcW w:w="0" w:type="dxa"/>
            <w:vAlign w:val="bottom"/>
          </w:tcPr>
          <w:p>
            <w:pPr>
              <w:spacing w:after="0"/>
              <w:rPr>
                <w:sz w:val="1"/>
                <w:szCs w:val="1"/>
                <w:color w:val="auto"/>
              </w:rPr>
            </w:pPr>
          </w:p>
        </w:tc>
      </w:tr>
      <w:tr>
        <w:trPr>
          <w:trHeight w:val="46"/>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Reclassified from</w:t>
            </w:r>
          </w:p>
        </w:tc>
        <w:tc>
          <w:tcPr>
            <w:tcW w:w="70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Location of Gain</w:t>
            </w:r>
          </w:p>
        </w:tc>
        <w:tc>
          <w:tcPr>
            <w:tcW w:w="21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vMerge w:val="restart"/>
          </w:tcPr>
          <w:p>
            <w:pPr>
              <w:jc w:val="center"/>
              <w:ind w:right="39"/>
              <w:spacing w:after="0"/>
              <w:rPr>
                <w:sz w:val="20"/>
                <w:szCs w:val="20"/>
                <w:color w:val="auto"/>
              </w:rPr>
            </w:pPr>
            <w:r>
              <w:rPr>
                <w:rFonts w:ascii="Arial" w:cs="Arial" w:eastAsia="Arial" w:hAnsi="Arial"/>
                <w:sz w:val="16"/>
                <w:szCs w:val="16"/>
                <w:b w:val="1"/>
                <w:bCs w:val="1"/>
                <w:color w:val="auto"/>
                <w:w w:val="92"/>
              </w:rPr>
              <w:t>(Effective Portion)</w:t>
            </w: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80" w:type="dxa"/>
            <w:vAlign w:val="bottom"/>
            <w:gridSpan w:val="4"/>
            <w:vMerge w:val="restart"/>
          </w:tcPr>
          <w:p>
            <w:pPr>
              <w:jc w:val="center"/>
              <w:ind w:left="299"/>
              <w:spacing w:after="0"/>
              <w:rPr>
                <w:sz w:val="20"/>
                <w:szCs w:val="20"/>
                <w:color w:val="auto"/>
              </w:rPr>
            </w:pPr>
            <w:r>
              <w:rPr>
                <w:rFonts w:ascii="Arial" w:cs="Arial" w:eastAsia="Arial" w:hAnsi="Arial"/>
                <w:sz w:val="16"/>
                <w:szCs w:val="16"/>
                <w:b w:val="1"/>
                <w:bCs w:val="1"/>
                <w:color w:val="auto"/>
                <w:w w:val="92"/>
              </w:rPr>
              <w:t>(Effective Portion)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40" w:type="dxa"/>
            <w:vAlign w:val="bottom"/>
            <w:gridSpan w:val="4"/>
            <w:vMerge w:val="restart"/>
          </w:tcPr>
          <w:p>
            <w:pPr>
              <w:jc w:val="center"/>
              <w:ind w:left="239"/>
              <w:spacing w:after="0"/>
              <w:rPr>
                <w:sz w:val="20"/>
                <w:szCs w:val="20"/>
                <w:color w:val="auto"/>
              </w:rPr>
            </w:pPr>
            <w:r>
              <w:rPr>
                <w:rFonts w:ascii="Arial" w:cs="Arial" w:eastAsia="Arial" w:hAnsi="Arial"/>
                <w:sz w:val="16"/>
                <w:szCs w:val="16"/>
                <w:b w:val="1"/>
                <w:bCs w:val="1"/>
                <w:color w:val="auto"/>
                <w:w w:val="93"/>
              </w:rPr>
              <w:t>(Ineffective Portion)</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Accumulated Other</w:t>
            </w:r>
          </w:p>
        </w:tc>
        <w:tc>
          <w:tcPr>
            <w:tcW w:w="178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Recognized in</w:t>
            </w:r>
          </w:p>
        </w:tc>
        <w:tc>
          <w:tcPr>
            <w:tcW w:w="18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80" w:type="dxa"/>
            <w:vAlign w:val="bottom"/>
            <w:gridSpan w:val="5"/>
            <w:vMerge w:val="restart"/>
          </w:tcPr>
          <w:p>
            <w:pPr>
              <w:jc w:val="center"/>
              <w:ind w:right="59"/>
              <w:spacing w:after="0"/>
              <w:rPr>
                <w:sz w:val="20"/>
                <w:szCs w:val="20"/>
                <w:color w:val="auto"/>
              </w:rPr>
            </w:pPr>
            <w:r>
              <w:rPr>
                <w:rFonts w:ascii="Arial" w:cs="Arial" w:eastAsia="Arial" w:hAnsi="Arial"/>
                <w:sz w:val="16"/>
                <w:szCs w:val="16"/>
                <w:b w:val="1"/>
                <w:bCs w:val="1"/>
                <w:color w:val="auto"/>
                <w:w w:val="91"/>
              </w:rPr>
              <w:t>Six Months Ended June 30,</w:t>
            </w:r>
          </w:p>
        </w:tc>
        <w:tc>
          <w:tcPr>
            <w:tcW w:w="12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14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100" w:type="dxa"/>
            <w:vAlign w:val="bottom"/>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14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21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89"/>
              </w:rPr>
              <w:t>Income on</w:t>
            </w:r>
          </w:p>
        </w:tc>
        <w:tc>
          <w:tcPr>
            <w:tcW w:w="21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ind w:left="340"/>
              <w:spacing w:after="0"/>
              <w:rPr>
                <w:sz w:val="20"/>
                <w:szCs w:val="20"/>
                <w:color w:val="auto"/>
              </w:rPr>
            </w:pPr>
            <w:r>
              <w:rPr>
                <w:rFonts w:ascii="Arial" w:cs="Arial" w:eastAsia="Arial" w:hAnsi="Arial"/>
                <w:sz w:val="16"/>
                <w:szCs w:val="16"/>
                <w:b w:val="1"/>
                <w:bCs w:val="1"/>
                <w:color w:val="auto"/>
              </w:rPr>
              <w:t>Derivative</w:t>
            </w:r>
          </w:p>
        </w:tc>
        <w:tc>
          <w:tcPr>
            <w:tcW w:w="160" w:type="dxa"/>
            <w:vAlign w:val="bottom"/>
          </w:tcPr>
          <w:p>
            <w:pPr>
              <w:spacing w:after="0"/>
              <w:rPr>
                <w:sz w:val="20"/>
                <w:szCs w:val="20"/>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Loss into Income</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44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Derivative</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180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600" w:firstLine="8"/>
        <w:spacing w:after="0" w:line="400" w:lineRule="auto"/>
        <w:tabs>
          <w:tab w:leader="none" w:pos="27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spacing w:after="0" w:line="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2018, we were not involved in any material litigation nor, to management's knowledge, was any material litigation threatened against us or our portfolio which if adversely determined could have a material adverse impact on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and Ground Leases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is a schedule of future minimum lease payments under non-cancellable operating leases with initial terms in excess of one year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Non-cancellable</w:t>
            </w:r>
          </w:p>
        </w:tc>
      </w:tr>
      <w:tr>
        <w:trPr>
          <w:trHeight w:val="210"/>
        </w:trPr>
        <w:tc>
          <w:tcPr>
            <w:tcW w:w="9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9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2018</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9,868</w:t>
            </w:r>
          </w:p>
        </w:tc>
      </w:tr>
      <w:tr>
        <w:trPr>
          <w:trHeight w:val="237"/>
        </w:trPr>
        <w:tc>
          <w:tcPr>
            <w:tcW w:w="9380" w:type="dxa"/>
            <w:vAlign w:val="bottom"/>
          </w:tcPr>
          <w:p>
            <w:pPr>
              <w:ind w:left="40"/>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19,736</w:t>
            </w:r>
          </w:p>
        </w:tc>
      </w:tr>
      <w:tr>
        <w:trPr>
          <w:trHeight w:val="33"/>
        </w:trPr>
        <w:tc>
          <w:tcPr>
            <w:tcW w:w="9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19,736</w:t>
            </w:r>
          </w:p>
        </w:tc>
      </w:tr>
      <w:tr>
        <w:trPr>
          <w:trHeight w:val="237"/>
        </w:trPr>
        <w:tc>
          <w:tcPr>
            <w:tcW w:w="9380" w:type="dxa"/>
            <w:vAlign w:val="bottom"/>
          </w:tcPr>
          <w:p>
            <w:pPr>
              <w:ind w:left="4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19,886</w:t>
            </w:r>
          </w:p>
        </w:tc>
      </w:tr>
      <w:tr>
        <w:trPr>
          <w:trHeight w:val="33"/>
        </w:trPr>
        <w:tc>
          <w:tcPr>
            <w:tcW w:w="9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17,730</w:t>
            </w:r>
          </w:p>
        </w:tc>
      </w:tr>
      <w:tr>
        <w:trPr>
          <w:trHeight w:val="237"/>
        </w:trPr>
        <w:tc>
          <w:tcPr>
            <w:tcW w:w="9380" w:type="dxa"/>
            <w:vAlign w:val="bottom"/>
          </w:tcPr>
          <w:p>
            <w:pPr>
              <w:ind w:left="4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15,424</w:t>
            </w:r>
          </w:p>
        </w:tc>
      </w:tr>
      <w:tr>
        <w:trPr>
          <w:trHeight w:val="33"/>
        </w:trPr>
        <w:tc>
          <w:tcPr>
            <w:tcW w:w="9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237,011</w:t>
            </w:r>
          </w:p>
        </w:tc>
      </w:tr>
      <w:tr>
        <w:trPr>
          <w:trHeight w:val="244"/>
        </w:trPr>
        <w:tc>
          <w:tcPr>
            <w:tcW w:w="938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339,391</w:t>
            </w:r>
          </w:p>
        </w:tc>
      </w:tr>
      <w:tr>
        <w:trPr>
          <w:trHeight w:val="20"/>
        </w:trPr>
        <w:tc>
          <w:tcPr>
            <w:tcW w:w="9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has two reportable segments, real estate and debt and preferred equity investments. We evaluate real estate performance and allocate resources based on earnings contribution to income from continuing operations.</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primary sources of revenue are generated from tenant rents and escalations and reimbursement revenue. Real estate property operating expenses consist primarily of security, maintenance, utility costs, insurance, real estate taxes and ground rent expense (at certain applicable properties). See Note 5, "Debt and Preferred Equity Investments," for additional details on our debt and preferred equity investments.</w:t>
      </w:r>
    </w:p>
    <w:p>
      <w:pPr>
        <w:spacing w:after="0" w:line="5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Selected consolidated results of operations for the three and six months ended June 30, 2018 and 2017, and selected asset information as of June 30, 2018 and December 31, 2017, regarding our operating segments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Debt and Preferred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Real Estate</w:t>
            </w: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Equity</w:t>
            </w:r>
          </w:p>
        </w:tc>
        <w:tc>
          <w:tcPr>
            <w:tcW w:w="260" w:type="dxa"/>
            <w:vAlign w:val="bottom"/>
          </w:tcPr>
          <w:p>
            <w:pPr>
              <w:spacing w:after="0"/>
              <w:rPr>
                <w:sz w:val="17"/>
                <w:szCs w:val="17"/>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10"/>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Segment</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Segment</w:t>
            </w:r>
          </w:p>
        </w:tc>
        <w:tc>
          <w:tcPr>
            <w:tcW w:w="26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Company</w:t>
            </w:r>
          </w:p>
        </w:tc>
      </w:tr>
      <w:tr>
        <w:trPr>
          <w:trHeight w:val="33"/>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June 30,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161,582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211,048</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June 30,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191,388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60,424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251,812</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Six months ended: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June 30, 2018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323,315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93,962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417,277</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June 30,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100,978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484,167</w:t>
            </w:r>
          </w:p>
        </w:tc>
      </w:tr>
      <w:tr>
        <w:trPr>
          <w:trHeight w:val="220"/>
        </w:trPr>
        <w:tc>
          <w:tcPr>
            <w:tcW w:w="6760" w:type="dxa"/>
            <w:vAlign w:val="bottom"/>
          </w:tcPr>
          <w:p>
            <w:pPr>
              <w:ind w:left="40"/>
              <w:spacing w:after="0"/>
              <w:rPr>
                <w:sz w:val="20"/>
                <w:szCs w:val="20"/>
                <w:color w:val="auto"/>
              </w:rPr>
            </w:pPr>
            <w:r>
              <w:rPr>
                <w:rFonts w:ascii="Arial" w:cs="Arial" w:eastAsia="Arial" w:hAnsi="Arial"/>
                <w:sz w:val="16"/>
                <w:szCs w:val="16"/>
                <w:color w:val="auto"/>
                <w:w w:val="96"/>
              </w:rPr>
              <w:t>Income before equity in net income from unconsolidated joint ventures, equity in net (loss) gain on</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6760" w:type="dxa"/>
            <w:vAlign w:val="bottom"/>
          </w:tcPr>
          <w:p>
            <w:pPr>
              <w:ind w:left="200"/>
              <w:spacing w:after="0"/>
              <w:rPr>
                <w:sz w:val="20"/>
                <w:szCs w:val="20"/>
                <w:color w:val="auto"/>
              </w:rPr>
            </w:pPr>
            <w:r>
              <w:rPr>
                <w:rFonts w:ascii="Arial" w:cs="Arial" w:eastAsia="Arial" w:hAnsi="Arial"/>
                <w:sz w:val="16"/>
                <w:szCs w:val="16"/>
                <w:color w:val="auto"/>
              </w:rPr>
              <w:t>sale of interest in unconsolidated joint venture/real estate, (loss) gain on sale of real estate,</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6760" w:type="dxa"/>
            <w:vAlign w:val="bottom"/>
          </w:tcPr>
          <w:p>
            <w:pPr>
              <w:ind w:left="200"/>
              <w:spacing w:after="0"/>
              <w:rPr>
                <w:sz w:val="20"/>
                <w:szCs w:val="20"/>
                <w:color w:val="auto"/>
              </w:rPr>
            </w:pPr>
            <w:r>
              <w:rPr>
                <w:rFonts w:ascii="Arial" w:cs="Arial" w:eastAsia="Arial" w:hAnsi="Arial"/>
                <w:sz w:val="16"/>
                <w:szCs w:val="16"/>
                <w:color w:val="auto"/>
              </w:rPr>
              <w:t>purchase price and other fair value adjustments, and depreciable real estate reserves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Three months ended: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June 30, 2018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47,885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34,081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81,966</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June 30,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87,127</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Six months ended: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June 30,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159,792</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June 30,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63,010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91,521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154,531</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As of:</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June 30,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5,250,087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2,331,088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7,581,175</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December 31,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6,182,431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2,359,077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8,541,508</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Income before equity in net income from unconsolidated joint ventures, equity in net (loss) gain on sale of interest in unconsolidated joint venture/real estate, (loss) gain on sale of real estate, purchase price and other fair value adjustments, and depreciable real estate reserves represents total revenues less total expenses for the real estate segment and total investment income less allocated interest expense for the debt and preferred equity segment. Interest costs for the debt and preferred equity segment includes actual costs incurred for investments collateralizing the MRAs. Interest is imputed on the remaining investments using our corporate borrowing cost. We also allocate loan loss reserves, net of recoveries, and transaction related costs to the debt and preferred equity segment. We do not allocate marketing, general and administrative expenses to the debt and preferred equity segment since the use of personnel and resources is dependent on transaction volume between the two segments and varies period over period. In addition, we base performance on the individual segments excluding marketing, general and administrative expenses. All other expenses, except interest, relate entirely to the real estate assets. For the three and six months ended June 30, 2018 marketing, general and administrative expenses totaled $0.2 million and $0.3 million, respectively. For the three and six months ended June 30, 2017 marketing, general and administrative expenses totaled $0.1 million and $0.2 million, respectively.</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transactions between the above two segments.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reconciles net income before equity in net gain on sale of interest in unconsolidated joint venture/real estate, purchase price and other fair value adjustments, (loss) gain on sale of real estate, net, depreciable real estate reserves, and gain on sale of investment in marketable securities to net income for the three and six months ended June 30, 2018 and 2017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line="271" w:lineRule="auto"/>
        <w:rPr>
          <w:sz w:val="20"/>
          <w:szCs w:val="20"/>
          <w:color w:val="auto"/>
        </w:rPr>
      </w:pPr>
      <w:r>
        <w:rPr>
          <w:rFonts w:ascii="Arial" w:cs="Arial" w:eastAsia="Arial" w:hAnsi="Arial"/>
          <w:sz w:val="16"/>
          <w:szCs w:val="16"/>
          <w:color w:val="auto"/>
        </w:rPr>
        <w:t>Income before equity in net income from unconsolidated joint ventures, equity in net (loss) gain on sale of interest in unconsolidated joint venture/real estate, (loss) gain on sale of real estate, purchase price and other fair value adjustments, and depreciable real estate reserves</w:t>
      </w:r>
    </w:p>
    <w:p>
      <w:pPr>
        <w:spacing w:after="0" w:line="28"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Equity in net gain (loss) on sale of interest in unconsolidated joint venture/real estate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Purchase price and other fair value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sale of real estate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Depreciable real estate reserves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400" w:type="dxa"/>
            <w:vAlign w:val="bottom"/>
            <w:gridSpan w:val="3"/>
          </w:tcPr>
          <w:p>
            <w:pPr>
              <w:ind w:left="640"/>
              <w:spacing w:after="0"/>
              <w:rPr>
                <w:sz w:val="20"/>
                <w:szCs w:val="20"/>
                <w:color w:val="auto"/>
              </w:rPr>
            </w:pPr>
            <w:r>
              <w:rPr>
                <w:rFonts w:ascii="Arial" w:cs="Arial" w:eastAsia="Arial" w:hAnsi="Arial"/>
                <w:sz w:val="16"/>
                <w:szCs w:val="16"/>
                <w:b w:val="1"/>
                <w:bCs w:val="1"/>
                <w:color w:val="auto"/>
              </w:rPr>
              <w:t>Three Months Ended June 30,</w:t>
            </w:r>
          </w:p>
        </w:tc>
        <w:tc>
          <w:tcPr>
            <w:tcW w:w="332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1620" w:type="dxa"/>
            <w:vAlign w:val="bottom"/>
          </w:tcPr>
          <w:p>
            <w:pPr>
              <w:ind w:left="66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6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6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1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-8255</wp:posOffset>
            </wp:positionV>
            <wp:extent cx="7246620"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81,966</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87,127</w:t>
            </w:r>
          </w:p>
        </w:tc>
        <w:tc>
          <w:tcPr>
            <w:tcW w:w="6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159,792</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154,531</w:t>
            </w:r>
          </w:p>
        </w:tc>
      </w:tr>
      <w:tr>
        <w:trPr>
          <w:trHeight w:val="459"/>
        </w:trPr>
        <w:tc>
          <w:tcPr>
            <w:tcW w:w="56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270</w:t>
            </w:r>
          </w:p>
        </w:tc>
        <w:tc>
          <w:tcPr>
            <w:tcW w:w="64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(363)</w:t>
            </w:r>
          </w:p>
        </w:tc>
        <w:tc>
          <w:tcPr>
            <w:tcW w:w="5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56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54,860</w:t>
            </w:r>
          </w:p>
        </w:tc>
        <w:tc>
          <w:tcPr>
            <w:tcW w:w="5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(14,863)</w:t>
            </w:r>
          </w:p>
        </w:tc>
        <w:tc>
          <w:tcPr>
            <w:tcW w:w="64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4,933</w:t>
            </w:r>
          </w:p>
        </w:tc>
        <w:tc>
          <w:tcPr>
            <w:tcW w:w="6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(14,863)</w:t>
            </w:r>
          </w:p>
        </w:tc>
        <w:tc>
          <w:tcPr>
            <w:tcW w:w="5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4,933</w:t>
            </w:r>
          </w:p>
        </w:tc>
      </w:tr>
      <w:tr>
        <w:trPr>
          <w:trHeight w:val="270"/>
        </w:trPr>
        <w:tc>
          <w:tcPr>
            <w:tcW w:w="56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(29,063)</w:t>
            </w:r>
          </w:p>
        </w:tc>
        <w:tc>
          <w:tcPr>
            <w:tcW w:w="6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(85,328)</w:t>
            </w:r>
          </w:p>
        </w:tc>
      </w:tr>
      <w:tr>
        <w:trPr>
          <w:trHeight w:val="33"/>
        </w:trPr>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67,373</w:t>
            </w:r>
          </w:p>
        </w:tc>
        <w:tc>
          <w:tcPr>
            <w:tcW w:w="64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62,997</w:t>
            </w:r>
          </w:p>
        </w:tc>
        <w:tc>
          <w:tcPr>
            <w:tcW w:w="6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199,426</w:t>
            </w:r>
          </w:p>
        </w:tc>
        <w:tc>
          <w:tcPr>
            <w:tcW w:w="58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74,139</w:t>
            </w:r>
          </w:p>
        </w:tc>
      </w:tr>
      <w:tr>
        <w:trPr>
          <w:trHeight w:val="33"/>
        </w:trPr>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-711200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-368300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400"/>
            <w:col w:w="6720"/>
          </w:cols>
          <w:pgMar w:left="240" w:top="125" w:right="239" w:bottom="1440" w:gutter="0" w:footer="0" w:header="0"/>
          <w:type w:val="continuous"/>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right="250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Reckson Operating Partnership, L.P., or ROP, commenced operations on June 2, 1995. The sole general partner of ROP is Wyoming Acquisition GP LLC., or WAGP, a wholly-owned subsidiary of SL Green Operating Partnership, L.P., or the Operating Partnership. The sole limited partner of ROP is the Operating Partnership. SL Green Realty Corp., or SL Green, is the general partner of the Operating Partnership. Unless the context requires otherwise, all references to "we," "our," "us" and the "Company" means ROP and all entities owned or controlled by ROP.</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engaged in the acquisition, ownership, management and operation of commercial and residential real estate properties, principally office properties, and also own land for future development in the New York metropolitan area.</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2018, we owned the following interests in properties in the New York metropolitan area, primarily in midtown Manhattan. Our investments located outside of Manhattan are referred to as the Suburban properties: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ind w:left="460"/>
              <w:spacing w:after="0"/>
              <w:rPr>
                <w:sz w:val="20"/>
                <w:szCs w:val="20"/>
                <w:color w:val="auto"/>
              </w:rPr>
            </w:pPr>
            <w:r>
              <w:rPr>
                <w:rFonts w:ascii="Arial" w:cs="Arial" w:eastAsia="Arial" w:hAnsi="Arial"/>
                <w:sz w:val="16"/>
                <w:szCs w:val="16"/>
                <w:b w:val="1"/>
                <w:bCs w:val="1"/>
                <w:color w:val="auto"/>
              </w:rPr>
              <w:t>Number of</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Approximate Square</w:t>
            </w:r>
          </w:p>
        </w:tc>
        <w:tc>
          <w:tcPr>
            <w:tcW w:w="100" w:type="dxa"/>
            <w:vAlign w:val="bottom"/>
          </w:tcPr>
          <w:p>
            <w:pPr>
              <w:spacing w:after="0"/>
              <w:rPr>
                <w:sz w:val="17"/>
                <w:szCs w:val="17"/>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Weighted Average</w:t>
            </w:r>
          </w:p>
        </w:tc>
      </w:tr>
      <w:tr>
        <w:trPr>
          <w:trHeight w:val="243"/>
        </w:trPr>
        <w:tc>
          <w:tcPr>
            <w:tcW w:w="278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Properties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Feet (unaudited)</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Occupancy</w:t>
            </w:r>
            <w:r>
              <w:rPr>
                <w:rFonts w:ascii="Arial" w:cs="Arial" w:eastAsia="Arial" w:hAnsi="Arial"/>
                <w:sz w:val="21"/>
                <w:szCs w:val="21"/>
                <w:b w:val="1"/>
                <w:bCs w:val="1"/>
                <w:color w:val="auto"/>
                <w:w w:val="91"/>
                <w:vertAlign w:val="superscript"/>
              </w:rPr>
              <w:t>(1)</w:t>
            </w:r>
            <w:r>
              <w:rPr>
                <w:rFonts w:ascii="Arial" w:cs="Arial" w:eastAsia="Arial" w:hAnsi="Arial"/>
                <w:sz w:val="16"/>
                <w:szCs w:val="16"/>
                <w:b w:val="1"/>
                <w:bCs w:val="1"/>
                <w:color w:val="auto"/>
                <w:w w:val="91"/>
              </w:rPr>
              <w:t xml:space="preserve"> (unaudited)</w:t>
            </w:r>
          </w:p>
        </w:tc>
      </w:tr>
      <w:tr>
        <w:trPr>
          <w:trHeight w:val="24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2880" w:type="dxa"/>
            <w:vAlign w:val="bottom"/>
            <w:gridSpan w:val="2"/>
          </w:tcPr>
          <w:p>
            <w:pPr>
              <w:ind w:left="160"/>
              <w:spacing w:after="0"/>
              <w:rPr>
                <w:sz w:val="20"/>
                <w:szCs w:val="20"/>
                <w:color w:val="auto"/>
              </w:rPr>
            </w:pPr>
            <w:r>
              <w:rPr>
                <w:rFonts w:ascii="Arial" w:cs="Arial" w:eastAsia="Arial" w:hAnsi="Arial"/>
                <w:sz w:val="16"/>
                <w:szCs w:val="16"/>
                <w:color w:val="auto"/>
              </w:rPr>
              <w:t>Manhattan</w:t>
            </w: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Office</w:t>
            </w:r>
            <w:r>
              <w:rPr>
                <w:rFonts w:ascii="Arial" w:cs="Arial" w:eastAsia="Arial" w:hAnsi="Arial"/>
                <w:sz w:val="21"/>
                <w:szCs w:val="21"/>
                <w:color w:val="auto"/>
                <w:w w:val="86"/>
                <w:vertAlign w:val="superscript"/>
              </w:rPr>
              <w:t>(2)(3)</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8,303,245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96.0%</w:t>
            </w:r>
          </w:p>
        </w:tc>
      </w:tr>
      <w:tr>
        <w:trPr>
          <w:trHeight w:val="270"/>
        </w:trPr>
        <w:tc>
          <w:tcPr>
            <w:tcW w:w="2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5"/>
              </w:rPr>
              <w:t>Retail</w:t>
            </w:r>
            <w:r>
              <w:rPr>
                <w:rFonts w:ascii="Arial" w:cs="Arial" w:eastAsia="Arial" w:hAnsi="Arial"/>
                <w:sz w:val="21"/>
                <w:szCs w:val="21"/>
                <w:color w:val="auto"/>
                <w:w w:val="85"/>
                <w:vertAlign w:val="superscript"/>
              </w:rPr>
              <w:t>(4)(5)</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364,816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237"/>
        </w:trPr>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Development/Redevelopment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160,000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8"/>
              </w:rPr>
              <w:t>Fee Interest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8,828,061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94.4%</w:t>
            </w:r>
          </w:p>
        </w:tc>
      </w:tr>
      <w:tr>
        <w:trPr>
          <w:trHeight w:val="3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0"/>
        </w:trPr>
        <w:tc>
          <w:tcPr>
            <w:tcW w:w="28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Suburban</w:t>
            </w:r>
          </w:p>
        </w:tc>
        <w:tc>
          <w:tcPr>
            <w:tcW w:w="3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Office</w:t>
            </w:r>
            <w:r>
              <w:rPr>
                <w:rFonts w:ascii="Arial" w:cs="Arial" w:eastAsia="Arial" w:hAnsi="Arial"/>
                <w:sz w:val="21"/>
                <w:szCs w:val="21"/>
                <w:color w:val="auto"/>
                <w:w w:val="91"/>
                <w:vertAlign w:val="superscript"/>
              </w:rPr>
              <w:t>(6)</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1,972,400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37"/>
        </w:trPr>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Retail</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52,000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2,024,400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217"/>
        </w:trPr>
        <w:tc>
          <w:tcPr>
            <w:tcW w:w="2880" w:type="dxa"/>
            <w:vAlign w:val="bottom"/>
            <w:gridSpan w:val="2"/>
          </w:tcPr>
          <w:p>
            <w:pPr>
              <w:ind w:left="260"/>
              <w:spacing w:after="0"/>
              <w:rPr>
                <w:sz w:val="20"/>
                <w:szCs w:val="20"/>
                <w:color w:val="auto"/>
              </w:rPr>
            </w:pPr>
            <w:r>
              <w:rPr>
                <w:rFonts w:ascii="Arial" w:cs="Arial" w:eastAsia="Arial" w:hAnsi="Arial"/>
                <w:sz w:val="16"/>
                <w:szCs w:val="16"/>
                <w:color w:val="auto"/>
              </w:rPr>
              <w:t>Total commercial properties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10,852,461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92.9%</w:t>
            </w: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Residential:</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2880" w:type="dxa"/>
            <w:vAlign w:val="bottom"/>
            <w:gridSpan w:val="2"/>
          </w:tcPr>
          <w:p>
            <w:pPr>
              <w:ind w:left="160"/>
              <w:spacing w:after="0"/>
              <w:rPr>
                <w:sz w:val="20"/>
                <w:szCs w:val="20"/>
                <w:color w:val="auto"/>
              </w:rPr>
            </w:pPr>
            <w:r>
              <w:rPr>
                <w:rFonts w:ascii="Arial" w:cs="Arial" w:eastAsia="Arial" w:hAnsi="Arial"/>
                <w:sz w:val="16"/>
                <w:szCs w:val="16"/>
                <w:color w:val="auto"/>
              </w:rPr>
              <w:t>Manhattan</w:t>
            </w: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Residential</w:t>
            </w:r>
            <w:r>
              <w:rPr>
                <w:rFonts w:ascii="Arial" w:cs="Arial" w:eastAsia="Arial" w:hAnsi="Arial"/>
                <w:sz w:val="21"/>
                <w:szCs w:val="21"/>
                <w:color w:val="auto"/>
                <w:w w:val="89"/>
                <w:vertAlign w:val="superscript"/>
              </w:rPr>
              <w:t>(4)</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222,855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95.5%</w:t>
            </w:r>
          </w:p>
        </w:tc>
      </w:tr>
      <w:tr>
        <w:trPr>
          <w:trHeight w:val="244"/>
        </w:trPr>
        <w:tc>
          <w:tcPr>
            <w:tcW w:w="2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portfolio</w:t>
            </w:r>
          </w:p>
        </w:tc>
        <w:tc>
          <w:tcPr>
            <w:tcW w:w="2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11,075,316</w:t>
            </w:r>
          </w:p>
        </w:tc>
        <w:tc>
          <w:tcPr>
            <w:tcW w:w="1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92.9%</w:t>
            </w: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right="20" w:hanging="412"/>
        <w:spacing w:after="0" w:line="250"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one unconsolidated joint venture property at 919 Third Avenue comprised of approximately 1,454,000 square feet.</w:t>
      </w:r>
    </w:p>
    <w:p>
      <w:pPr>
        <w:spacing w:after="0" w:line="9" w:lineRule="exact"/>
        <w:rPr>
          <w:rFonts w:ascii="Arial" w:cs="Arial" w:eastAsia="Arial" w:hAnsi="Arial"/>
          <w:sz w:val="14"/>
          <w:szCs w:val="14"/>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Includes </w:t>
      </w:r>
      <w:r>
        <w:rPr>
          <w:rFonts w:ascii="Arial" w:cs="Arial" w:eastAsia="Arial" w:hAnsi="Arial"/>
          <w:sz w:val="18"/>
          <w:szCs w:val="18"/>
          <w:color w:val="auto"/>
        </w:rPr>
        <w:t>1</w:t>
      </w:r>
      <w:r>
        <w:rPr>
          <w:rFonts w:ascii="Arial" w:cs="Arial" w:eastAsia="Arial" w:hAnsi="Arial"/>
          <w:sz w:val="14"/>
          <w:szCs w:val="14"/>
          <w:color w:val="auto"/>
        </w:rPr>
        <w:t xml:space="preserve"> unconsolidated joint venture property at 2 Herald Square, which is under contract for sale as of June 30, 2018.</w:t>
      </w:r>
    </w:p>
    <w:p>
      <w:pPr>
        <w:spacing w:after="0" w:line="7" w:lineRule="exact"/>
        <w:rPr>
          <w:rFonts w:ascii="Arial" w:cs="Arial" w:eastAsia="Arial" w:hAnsi="Arial"/>
          <w:sz w:val="14"/>
          <w:szCs w:val="14"/>
          <w:color w:val="auto"/>
        </w:rPr>
      </w:pPr>
    </w:p>
    <w:p>
      <w:pPr>
        <w:jc w:val="both"/>
        <w:ind w:left="420" w:hanging="412"/>
        <w:spacing w:after="0" w:line="263" w:lineRule="auto"/>
        <w:tabs>
          <w:tab w:leader="none" w:pos="4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June 30, 2018, we owned a building at 315 West 33rd Street, also known as The Olivia, that was comprised of approximately 270,132 square feet (unaudited) of retail space and approximately 222,855 square feet (unaudited) of residential space. For the purpose of this report, we have included this building in the number of retail properties we own. However, we have included only the retail square footage in the retail approximate square footage, and have listed the balance of the square footage as residential square footage.</w:t>
      </w:r>
    </w:p>
    <w:p>
      <w:pPr>
        <w:spacing w:after="0" w:line="1" w:lineRule="exact"/>
        <w:rPr>
          <w:rFonts w:ascii="Arial" w:cs="Arial" w:eastAsia="Arial" w:hAnsi="Arial"/>
          <w:sz w:val="13"/>
          <w:szCs w:val="13"/>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two unconsolidated joint venture retail properties at 131-137 Spring Street comprised of approximately 68,342 square feet.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the properties at 115-117 Stevens Avenue in Valhalla, New York, and 1-6 International Drive in Rye Brook, New York which are classified as held for sale at June 30, 2018.</w:t>
      </w:r>
    </w:p>
    <w:p>
      <w:pPr>
        <w:spacing w:after="0" w:line="11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As of June 30, 2018, we held debt and preferred equity investments with a book value of $2.2 billion, including $0.1 billion of debt and preferred equity investments and other financing receivables that are included in balance sheet line items other than the Debt and Preferred Equity Investments line item.</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Refer to the 2017 Annual Report on Form 10-K of the Company and the Operating Partnership for a discussion of our critical accounting policies, which include investment in commercial real estate properties, investment in unconsolidated joint ventures, revenue recognition, allowance for doubtful accounts, reserve for possible credit losses and derivative instruments. There have been no changes to these accounting policies during the three and six months ended June 30, 2018.</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to the three months ended June 30, 2017</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comparison for the three months ended June 30, 2018, or 2018, to the three months ended June 30, 2017, or 2017, makes reference to the effect of the following:</w:t>
      </w:r>
    </w:p>
    <w:p>
      <w:pPr>
        <w:spacing w:after="0" w:line="62" w:lineRule="exact"/>
        <w:rPr>
          <w:sz w:val="20"/>
          <w:szCs w:val="20"/>
          <w:color w:val="auto"/>
        </w:rPr>
      </w:pPr>
    </w:p>
    <w:p>
      <w:pPr>
        <w:ind w:left="660" w:hanging="247"/>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2017 and still owned by us in the same manner at June 30, 2018 (Same-Store Properties totaled 30 of our 31 consolidated properties),</w:t>
      </w:r>
    </w:p>
    <w:p>
      <w:pPr>
        <w:spacing w:after="0" w:line="1"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2018 and 2017 and properties that are under development, redevelopment,</w:t>
      </w: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sold as well as interests in properties sold or partially sold in 2018 and 2017, and</w:t>
      </w:r>
    </w:p>
    <w:p>
      <w:pPr>
        <w:spacing w:after="0" w:line="9" w:lineRule="exact"/>
        <w:rPr>
          <w:rFonts w:ascii="Arial" w:cs="Arial" w:eastAsia="Arial" w:hAnsi="Arial"/>
          <w:sz w:val="18"/>
          <w:szCs w:val="18"/>
          <w:color w:val="auto"/>
        </w:rPr>
      </w:pPr>
    </w:p>
    <w:p>
      <w:pPr>
        <w:ind w:left="660" w:right="20" w:hanging="247"/>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which represents properties that were partially sold resulting in deconsolidation and corporate level items not allocable to specific properties,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10"/>
        </w:trPr>
        <w:tc>
          <w:tcPr>
            <w:tcW w:w="5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8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33"/>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Rental 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(31,435)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Escalation and reimbursement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19,368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22,897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(15.4)%</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5,158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359.9 %</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(40,764)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77"/>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Transaction related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13,950.0 %</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Marketing,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29.9 %</w:t>
            </w:r>
          </w:p>
        </w:tc>
      </w:tr>
      <w:tr>
        <w:trPr>
          <w:trHeight w:val="217"/>
        </w:trPr>
        <w:tc>
          <w:tcPr>
            <w:tcW w:w="5140" w:type="dxa"/>
            <w:vAlign w:val="bottom"/>
            <w:gridSpan w:val="2"/>
          </w:tcPr>
          <w:p>
            <w:pPr>
              <w:ind w:left="180"/>
              <w:spacing w:after="0"/>
              <w:rPr>
                <w:sz w:val="20"/>
                <w:szCs w:val="20"/>
                <w:color w:val="auto"/>
              </w:rPr>
            </w:pPr>
            <w:r>
              <w:rPr>
                <w:rFonts w:ascii="Arial" w:cs="Arial" w:eastAsia="Arial" w:hAnsi="Arial"/>
                <w:sz w:val="16"/>
                <w:szCs w:val="16"/>
                <w:color w:val="auto"/>
              </w:rPr>
              <w:t>Total expenses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70,378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82,945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(12,567)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(15.2)%</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37"/>
        </w:trPr>
        <w:tc>
          <w:tcPr>
            <w:tcW w:w="5140" w:type="dxa"/>
            <w:vAlign w:val="bottom"/>
            <w:gridSpan w:val="2"/>
          </w:tcPr>
          <w:p>
            <w:pPr>
              <w:ind w:left="18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140,670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168,867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(28,197)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20"/>
        </w:trPr>
        <w:tc>
          <w:tcPr>
            <w:tcW w:w="5140" w:type="dxa"/>
            <w:vAlign w:val="bottom"/>
            <w:gridSpan w:val="2"/>
          </w:tcPr>
          <w:p>
            <w:pPr>
              <w:ind w:left="40"/>
              <w:spacing w:after="0"/>
              <w:rPr>
                <w:sz w:val="20"/>
                <w:szCs w:val="20"/>
                <w:color w:val="auto"/>
              </w:rPr>
            </w:pPr>
            <w:r>
              <w:rPr>
                <w:rFonts w:ascii="Arial" w:cs="Arial" w:eastAsia="Arial" w:hAnsi="Arial"/>
                <w:sz w:val="16"/>
                <w:szCs w:val="16"/>
                <w:color w:val="auto"/>
                <w:w w:val="94"/>
              </w:rPr>
              <w:t>Interest expense and amortization of deferred financing costs, net of interest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(34,147)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15,475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(45.3)%</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Equity in net income from unconsolidated joint ventures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(60.6)%</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venture/real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estate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(Loss) gain on sale of real estate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(19,796)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(401.3)%</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Depreciable real estate reserves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29,063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514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67,373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62,997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4,376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6.9 %</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Escalation and Reimbursement Revenues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Rental revenue decreased primarily as a result of the effect of the deconsolidation of 919 Third Avenue ($23.7 million) and Disposed Properties ($7.2 million) partially offset by increased rental revenue at our Same-Store properties ($1.5 million).</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Escalation and reimbursement revenue decreased primarily as a result of the effect of the deconsolidation of 919 Third Avenue ($5.0 million), partially offset by increased recoveries at our Same-Store properties ($2.1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the three months ended June 30, 2018, investment income decreased primarily as a result of previously unrecognized income related to our preferred equity investment in 885 Third Avenue ($9.4 million) in the second quarter of 2017, partially offset by a larger weighted average book balance and an increase in the LIBOR benchmark rate. For the three months ended June 30, 2018, the weighted average debt and preferred equity investment balance outstanding and weighted average yield were $2.2 billion and 8.8%, respectively, compared to $2.1 billion and 9.4%, respectively, for the same period in 2017. As of June 30, 2018, the debt and preferred equity investments had a weighted average term to maturity of 1.9 years excluding extension options.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increased primarily as a result of real estate tax refunds at our Same-Store Properties ($6.2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operating expenses decreased primarily due to the deconsolidation of 919 Third Avenue ($11.7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Financing Costs, Net of Interest Income</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Interest expense and amortization of deferred financing costs, net of interest income, decreased primarily as a result of the deconsolidation of 919 Third Avenue ($6.6 million) in the first quarter of 2018, and the amendment of the 2012 credit facility ($8.8 million). The weighted average consolidated debt balance outstanding was $1.4 billion for the three months ended June 30, 2018 compared to $3.1 billion for the three months ended June 30, 2017. The consolidated weighted average interest rate was 5.09% for three months ended June 30, 2018 as compared to 3.86% for the three months ended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and amortization decreased primarily as a result of the deconsolidation of 919 Third Avenue ($8.0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Income from Unconsolidated Joint Venture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net income from unconsolidated joint ventures decreased primarily as a result of the repayment and redemption of certain debt and preferred equity positions accounted for under the equity method ($2.1 million) in the first quarter of 2018. 919 Third Avenue, which was deconsolidated in the first quarter of 2018, contributed $0.4 million to equity in net income from unconsolidated joint ventures.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Sale of Real Estate</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three months ended June 30, 2018 we recognized a loss on the sale of 635 Madison Avenue ($14.1 million), and a loss on the sale of 115-117 Stevens Avenue ($0.7 million). During the three months ended June 30, 2017, we recognized a gain on the sale of 102 Greene Street ($4.9 million).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Real Estate Reserves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June 30, 2017, we recognized depreciable real estate reserves related to 125 Chubb Way ($26.6 million), Stamford Towers ($2.1 million), and 520 White Plains Road ($0.4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to the six months ended June 30, 2017</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comparison for the six months ended June 30, 2018, or 2018, to the six months ended June 30, 2017, or 2017, makes reference to the effect of the following:</w:t>
      </w:r>
    </w:p>
    <w:p>
      <w:pPr>
        <w:spacing w:after="0" w:line="62" w:lineRule="exact"/>
        <w:rPr>
          <w:sz w:val="20"/>
          <w:szCs w:val="20"/>
          <w:color w:val="auto"/>
        </w:rPr>
      </w:pPr>
    </w:p>
    <w:p>
      <w:pPr>
        <w:ind w:left="660" w:hanging="247"/>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2016 and still owned by us in the same manner at June 30, 2018 (Same-Store Properties totaled 30 of our 31 consolidated properties),</w:t>
      </w:r>
    </w:p>
    <w:p>
      <w:pPr>
        <w:spacing w:after="0" w:line="1"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2018 and 2017 and all non-Same-Store Properties, including properties that are under development, redevelopment or were deconsolidated during the period,</w:t>
      </w: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or interests in properties sold or partially sold in 2018 and 2017, and</w:t>
      </w:r>
    </w:p>
    <w:p>
      <w:pPr>
        <w:spacing w:after="0" w:line="9" w:lineRule="exact"/>
        <w:rPr>
          <w:rFonts w:ascii="Arial" w:cs="Arial" w:eastAsia="Arial" w:hAnsi="Arial"/>
          <w:sz w:val="18"/>
          <w:szCs w:val="18"/>
          <w:color w:val="auto"/>
        </w:rPr>
      </w:pPr>
    </w:p>
    <w:p>
      <w:pPr>
        <w:ind w:left="660" w:right="20" w:hanging="247"/>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which represents properties that were partially sold resulting in deconsolidation and corporate level items not allocable to specific properties,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10"/>
        </w:trPr>
        <w:tc>
          <w:tcPr>
            <w:tcW w:w="5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8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33"/>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Rental 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335,030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(61,910)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Escalation and reimbursement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39,908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47,442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(7,534)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(15.9)%</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9,570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1,334.7 %</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(66,890)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77"/>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168,582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(26,365)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Transaction related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Marketing,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19.7 %</w:t>
            </w:r>
          </w:p>
        </w:tc>
      </w:tr>
      <w:tr>
        <w:trPr>
          <w:trHeight w:val="217"/>
        </w:trPr>
        <w:tc>
          <w:tcPr>
            <w:tcW w:w="5140" w:type="dxa"/>
            <w:vAlign w:val="bottom"/>
            <w:gridSpan w:val="2"/>
          </w:tcPr>
          <w:p>
            <w:pPr>
              <w:ind w:left="180"/>
              <w:spacing w:after="0"/>
              <w:rPr>
                <w:sz w:val="20"/>
                <w:szCs w:val="20"/>
                <w:color w:val="auto"/>
              </w:rPr>
            </w:pPr>
            <w:r>
              <w:rPr>
                <w:rFonts w:ascii="Arial" w:cs="Arial" w:eastAsia="Arial" w:hAnsi="Arial"/>
                <w:sz w:val="16"/>
                <w:szCs w:val="16"/>
                <w:color w:val="auto"/>
              </w:rPr>
              <w:t>Total expenses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142,772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168,813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(26,041)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(15.4)%</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37"/>
        </w:trPr>
        <w:tc>
          <w:tcPr>
            <w:tcW w:w="5140" w:type="dxa"/>
            <w:vAlign w:val="bottom"/>
            <w:gridSpan w:val="2"/>
          </w:tcPr>
          <w:p>
            <w:pPr>
              <w:ind w:left="18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274,505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315,354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(40,849)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20"/>
        </w:trPr>
        <w:tc>
          <w:tcPr>
            <w:tcW w:w="5140" w:type="dxa"/>
            <w:vAlign w:val="bottom"/>
            <w:gridSpan w:val="2"/>
          </w:tcPr>
          <w:p>
            <w:pPr>
              <w:ind w:left="40"/>
              <w:spacing w:after="0"/>
              <w:rPr>
                <w:sz w:val="20"/>
                <w:szCs w:val="20"/>
                <w:color w:val="auto"/>
              </w:rPr>
            </w:pPr>
            <w:r>
              <w:rPr>
                <w:rFonts w:ascii="Arial" w:cs="Arial" w:eastAsia="Arial" w:hAnsi="Arial"/>
                <w:sz w:val="16"/>
                <w:szCs w:val="16"/>
                <w:color w:val="auto"/>
                <w:w w:val="94"/>
              </w:rPr>
              <w:t>Interest expense and amortization of deferred financing costs, net of interest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(35,416)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(65,701)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30,285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(46.1)%</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19,261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Equity in net income from unconsolidated joint ventures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(3,436)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(46.2)%</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in net gain (loss) on sale of interest in unconsolidated joint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venture/real estate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(12,200.0)%</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Purchase price and other fair value adjustments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54,860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54,860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(19,796)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(401.3)%</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Depreciable real estate reserves</w:t>
            </w: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(85,328)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85,328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17"/>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199,426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125,287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169.0 %</w:t>
            </w:r>
          </w:p>
        </w:tc>
      </w:tr>
      <w:tr>
        <w:trPr>
          <w:trHeight w:val="33"/>
        </w:trPr>
        <w:tc>
          <w:tcPr>
            <w:tcW w:w="5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Escalation and Reimbursement 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Rental revenue decreased primarily as a result of the deconsolidation of 919 Third Avenue ($47.6 million) and the sale of 16 Court Street ($6.6 million).</w:t>
      </w:r>
    </w:p>
    <w:p>
      <w:pPr>
        <w:spacing w:after="0" w:line="1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Escalation and reimbursement revenue decreased primarily as a result of the deconsolidation of 919 Third Avenue ($10.1 million), partially offset by higher recoveries at our Same-Store Properties ($4.0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six months ended June 30, 2018, investment income decreased primarily as a result of previously unrecognized income in the second quarter of 2017 net with 2018 income related to our preferred equity investment in 885 Third Avenue ($6.9 million), partially offset by new originations and a larger weighted average book balance and an increase in the LIBOR benchmark rate. For the six months ended June 30, 2018, the weighted average debt and preferred equity investment balance outstanding and weighted average yield were $2.1 billion and 9.1%, respectively, compared to $1.9 billion and 9.4%, respectively, for the same period in 2017. As of June 30, 2018, the debt and preferred equity investments had a weighted average term to maturity of 1.9 years excluding extension options.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income increased primarily as a result of real estate tax refunds at our Same-Store Properties ($6.2 million) and lease termination income earned at 1185 Avenue of the Americas ($2.9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Property operating expenses decreased primarily due to the deconsolidation of 919 Third Avenue ($24.1 million) and the sale of 16 Court Street ($2.7 million), which was partially offset by increased real estate taxes at our Same-Store Properties ($3.2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Financing Costs, Net of Interest Income</w:t>
      </w:r>
    </w:p>
    <w:p>
      <w:pPr>
        <w:spacing w:after="0" w:line="11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Interest expense and amortization of financing costs, net of interest income, decreased primarily as a result of the deconsolidation of 919 Third Avenue ($13.3 million) in the first quarter of 2018 and the amendment of the 2012 credit facility ($16.2 million). The weighted average consolidated debt balance outstanding was $1.4 billion for the six months ended June 30, 2018 compared to $3.0 billion for the six months ended June 30, 2017. The weighted average consolidated interest rate was 5.09% for the six months ended June 30, 2018, as compared to 3.88% for the six months ended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Depreciation and amortization decreased primarily as a result of the deconsolidation of 919 Third Avenue ($15.4 million) and Disposed Properties ($5.3 million), which included the sale of 16 Court Street ($2.3 million) in the fourth quarter of 2017, and the sale of 680/750 Washington Boulevard ($1.6 million) in the third quarter of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Income from Unconsolidated Joint Venture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net income from unconsolidated joint ventures decreased primarily as a result of the repayment and/or redemption of certain debt and preferred equity positions accounted for under the equity method ($4.2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other fair value adjustments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2018, the partnership agreement for our investment in 919 Third Avenue was modified resulting in the Company no longer having a controlling interest in the investment. As a result, the investment in this property was deconsolidated as of January 1, 2018. The Company recorded its non-controlling interest at fair value resulting in a $54.9 million fair value adjustment in the consolidated statement of operations. This fair value was allocated to the assets and liabilities, including identified intangibles of the property.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Real Estate Reserves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six months ended June 30, 2017, we recorded a $85.3 million charge in connection with 520 White Plains Road in Tarrytown, NY, 125 Chubb Way, and 680/750 Washington Boulevard in Stamford, Connecticut.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Sale of Real Estate</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six months ended June 30, 2018, we recognized a loss on the sale of 635 Madison Avenue ($14.1 million), and a loss on the sale of 115-117 Stevens Avenue ($0.7 million). During the six months ended June 30, 2017, we recognized a gain on the sale of 102 Greene Street ($4.9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January 25, 2007, we were acquired by SL Green. See Item 7 "Management's Discussion and Analysis of Financial Condition and Results of Operations—Liquidity and Capital Resources" in SL Green and the Operating Partnership's Annual Report on Form 10-K for the year ended December 31, 2017 for a complete discussion of additional sources of liquidity available to us due to our indirect ownership by SL Green.</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currently expect that our principal sources of funds to meet our short-term and long-term liquidity requirements for working capital, acquisitions, development or redevelopment of properties, tenant improvements, leasing costs, repurchases 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repayments of outstanding indebtedness (which may include exchangeable debt) and for debt and preferred equity investments may include:</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proceeds from divestitures of properties and redemptions, participations and dispositions of debt and preferred equity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forms of secured or unsecured financing;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Proceeds from debt offerings by us.</w:t>
      </w:r>
    </w:p>
    <w:p>
      <w:pPr>
        <w:spacing w:after="0" w:line="1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flow from operations is primarily dependent upon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that our sources of working capital, specifically our cash flow from operations and SL Green's liquidity are adequate for us to meet our short-term and long-term liquidity requirements for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summary discussion of our cash flows is based on our consolidated statements of cash flows in "Item 1. Financial Statements" and is not meant to be an all-inclusive discussion of the changes in our cash flows for the periods presented below.</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cash equivalents, and restricted cash were $72.7 million and $131.9 million at June 30, 2018 and 2017, respectively, representing a decrease of $59.2 million. The decrease was due to the following changes in cash flows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6"/>
          </w:tcPr>
          <w:p>
            <w:pPr>
              <w:jc w:val="right"/>
              <w:ind w:right="319"/>
              <w:spacing w:after="0"/>
              <w:rPr>
                <w:sz w:val="20"/>
                <w:szCs w:val="20"/>
                <w:color w:val="auto"/>
              </w:rPr>
            </w:pPr>
            <w:r>
              <w:rPr>
                <w:rFonts w:ascii="Arial" w:cs="Arial" w:eastAsia="Arial" w:hAnsi="Arial"/>
                <w:sz w:val="16"/>
                <w:szCs w:val="16"/>
                <w:b w:val="1"/>
                <w:bCs w:val="1"/>
                <w:color w:val="auto"/>
              </w:rPr>
              <w:t>Six Months Ended June 30,</w:t>
            </w:r>
          </w:p>
        </w:tc>
        <w:tc>
          <w:tcPr>
            <w:tcW w:w="9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222,181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207,878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(128,828)</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(137,975)</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9,147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(97,756)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(56,360)</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principal source of operating cash flow is related to the leasing and operating of the properties in our portfolio. Our properties provide a relatively consistent stream of cash flow that provides us with resources to pay operating expenses, debt service and make distributions to SL Green. At June 30, 2018, our operating portfolio was 92.9% occupied. Our debt and preferred equity investments also provide a steady stream of operating cash flow to us.</w:t>
      </w:r>
    </w:p>
    <w:p>
      <w:pPr>
        <w:spacing w:after="0" w:line="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six months ended June 30, 2018, when compared to the six months ended June 30, 2017, the change in investing cash flows was due to the following activities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real estate properties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Additions to land, buildings and improvements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(5,013)</w:t>
            </w:r>
          </w:p>
        </w:tc>
      </w:tr>
      <w:tr>
        <w:trPr>
          <w:trHeight w:val="33"/>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improvements/acquisition deposits/deferred purchase price</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(17,986)</w:t>
            </w:r>
          </w:p>
        </w:tc>
      </w:tr>
      <w:tr>
        <w:trPr>
          <w:trHeight w:val="33"/>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55,455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97,915</w:t>
            </w:r>
          </w:p>
        </w:tc>
      </w:tr>
      <w:tr>
        <w:trPr>
          <w:trHeight w:val="33"/>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(51,625)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Origination of debt and preferred equity investments</w:t>
            </w: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251,002</w:t>
            </w:r>
          </w:p>
        </w:tc>
      </w:tr>
      <w:tr>
        <w:trPr>
          <w:trHeight w:val="33"/>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(322,327)</w:t>
            </w:r>
          </w:p>
        </w:tc>
      </w:tr>
      <w:tr>
        <w:trPr>
          <w:trHeight w:val="244"/>
        </w:trPr>
        <w:tc>
          <w:tcPr>
            <w:tcW w:w="9940" w:type="dxa"/>
            <w:vAlign w:val="bottom"/>
          </w:tcPr>
          <w:p>
            <w:pPr>
              <w:ind w:left="40"/>
              <w:spacing w:after="0"/>
              <w:rPr>
                <w:sz w:val="20"/>
                <w:szCs w:val="20"/>
                <w:color w:val="auto"/>
              </w:rPr>
            </w:pPr>
            <w:r>
              <w:rPr>
                <w:rFonts w:ascii="Arial" w:cs="Arial" w:eastAsia="Arial" w:hAnsi="Arial"/>
                <w:sz w:val="16"/>
                <w:szCs w:val="16"/>
                <w:color w:val="auto"/>
              </w:rPr>
              <w:t>Decrease in net cash provided by investing activities</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9,147</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Funds spent on capital expenditures, which comprise building and tenant improvements, increased from $51.8 million for the six months ended June 30, 2017 to $56.8 million for the six months ended June 30, 2018, relating primarily to increased costs incurred in connection with the redevelopment of properties.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generally fund our investment activity through the sale of real estate, property-level financing, our 2012 credit facility, our MRA facilities, and senior unsecured notes. During the six months ended June 30, 2018, when compared to the six months ended June 30, 2017, we used cash for the following financing activities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mortgages and other loans payable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(40,809)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Proceeds from revolving credit facility and senior unsecured notes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(1,072,800)</w:t>
            </w:r>
          </w:p>
        </w:tc>
      </w:tr>
      <w:tr>
        <w:trPr>
          <w:trHeight w:val="33"/>
        </w:trPr>
        <w:tc>
          <w:tcPr>
            <w:tcW w:w="9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revolving credit facility and senior unsecured notes</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872,800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other partnerships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33"/>
        </w:trPr>
        <w:tc>
          <w:tcPr>
            <w:tcW w:w="9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common unitholder</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(794,353)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Distributions to common and preferred unitholders</w:t>
            </w:r>
          </w:p>
        </w:tc>
        <w:tc>
          <w:tcPr>
            <w:tcW w:w="4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986,013</w:t>
            </w:r>
          </w:p>
        </w:tc>
      </w:tr>
      <w:tr>
        <w:trPr>
          <w:trHeight w:val="33"/>
        </w:trPr>
        <w:tc>
          <w:tcPr>
            <w:tcW w:w="9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obligations related to loan participations</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Deferred loan costs and capitalized lease obligation</w:t>
            </w:r>
          </w:p>
        </w:tc>
        <w:tc>
          <w:tcPr>
            <w:tcW w:w="4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3,213</w:t>
            </w:r>
          </w:p>
        </w:tc>
      </w:tr>
      <w:tr>
        <w:trPr>
          <w:trHeight w:val="33"/>
        </w:trPr>
        <w:tc>
          <w:tcPr>
            <w:tcW w:w="9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 in net cash used in financing activities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(56,360)</w:t>
            </w:r>
          </w:p>
        </w:tc>
      </w:tr>
      <w:tr>
        <w:trPr>
          <w:trHeight w:val="20"/>
        </w:trPr>
        <w:tc>
          <w:tcPr>
            <w:tcW w:w="9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our issued and outstanding Class A common units are owned by Wyoming Acquisition GP LLC or the Operating Partnership.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Facility</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November 2017, the Company, SL Green and the Operating Partnership entered into an amendment to the credit facility, referred to as the 2017 credit facility, that was originally entered into in November 2012, or the 2012 credit facility. The amendment resulted in the Company no longer being a borrower, and instead is providing a guarantee of the facility. The 2012 credit facility had a carrying value of $1.2 billion, net of deferred financing costs, as of the amendment date and was removed from our consolidated balance sheet and shown as a non-cash capital contribution. SL Green and the Operating Partnership remain borrowers jointly and severally obligated under the 2017 credit facility. As of June 30, 2018, the 2017 credit facility consisted of a $1.5 billion revolving credit facility, a $1.3 billion term loan (or "Term Loan A"), and a $200.0 million term loan (or "Term Loan B") with maturity dates of March 31, 2022, March 31, 2023, and November 21, 2024, respectively. The revolving credit facility has two six-month as-of-right extension options to March 31, 2023. SL Green and the Operating Partnership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the existing lenders and other financial institutions.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June 30, 2018, SL Green and the Operating Partnership had $11.8 million of outstanding letters of credit, $360.0 million drawn under the revolving credit facility and $1.5 billion outstanding under the term loan facilities, with total undrawn capacity of $1.1 billion under the 2017 credit facility. At June 30, 2018 and December 31, 2017, the revolving credit facility had a carrying value of $351.3 million and $30.3 million, respectively, net of deferred financing costs. At June 30, 2018 and December 31, 2017, the term loan facilities had a carrying value of $1.5 billion and $1.5 billion, respectively, net of deferred financing costs.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2017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terms of the 2017 credit facility and certain of our senior unsecured notes include certain restrictions and covenants which may limit, among other things, SL Green's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SL Green will not during any time when a default is continuing, make distributions with respect to SL Green's common stock or other equity interests, except to enable SL Green to continue to qualify as a REIT for Federal income tax purposes. As of June 30, 2018 and December 31, 2017, we were in compliance with all such covenants.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changes in interest rates primarily from our variable rate debt. Our exposure to interest rate fluctuations are managed through either the use of interest rate derivative instruments and/or through our variable rate debt and preferred equity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A hypothetical 100 basis point increase in interest rates along the entire interest rate curve for 2018 would decrease our annual interest cost, net of interest income from variable rate debt and preferred equity investments, by approximately $13.0 million. At June 30, 2018, 73.7% of our $2.2 billion debt and preferred equity portfolio is indexed to LIBOR.</w:t>
      </w:r>
    </w:p>
    <w:p>
      <w:pPr>
        <w:spacing w:after="0" w:line="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recognize most derivatives on the balance sheet at fair value. Derivatives that are not hedges are adjusted to fair value through income. If a derivative is considered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 The ineffective portion of a derivative's change in fair value is immediately recognized in earnings.</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long-term debt of $1.2 billion bears interest at fixed rates, and therefore the fair value of these instruments is affected by changes in the market interest rates. Our variable rate debt as of June 30, 2018 bore interest based on a spread of LIBOR plus 234 basis points.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Refer to our 2017 Annual Report on Form 10-K for a discussion of our contractual obligations. There have been no material changes, outside the ordinary course of business, to these contractual obligations during the three and six months ended June 30,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have off-balance sheet investments, including debt and preferred equity investments. These investments all have varying ownership structures. Our off-balance sheet arrangements are discussed in Note 5, "Debt and Preferred Equity Investments," in the accompanying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estimate that for the remainder of the year ending December 31, 2018, we expect to incur $67.6 million of recurring capital expenditures and $28.1 million of development or redevelopment expenditures, net of loan reserves, (including tenant improvements and leasing commissions) on existing consolidated properties. Future property acquisitions may require substantial capital investments for refurbishment and leasing costs. We expect to fund these capital expenditures with operating cash flow, existing liquidity, or incremental borrowings. We expect our capital needs over the next twelve months and thereafter will be met through a combination of cash on hand, net cash provided by operations, potential asset sales, borrowings, or additional debt issuances.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insured through a program administered by SL Green. SL Green maintains “all-risk” property and rental value coverage (including coverage regarding the perils of flood, earthquake and terrorism, excluding nuclear, biological, chemical, and radiological terrorism ("NBCR")), within three property insurance programs and liability insurance. Separate property and liability coverage may be purchased on a stand-alone basis for certain assets. Additionally, SL Green's captive insurance company, Belmont Insurance Company, or Belmont, provides coverage for NBCR terrorist acts above a specified trigger, although if Belmont is required to pay a claim under SL Green's insurance policies, SL Green would ultimately record the loss to the extent of Belmont's required payment. As of June 30, 2018, SL Green's second captive insurance company, Ticonderoga Insurance Company, or Ticonderoga, reinsures the NBCR risk that was retained by Belmont.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debt our instruments if the cost and/or availability of certain types of insurance make it impractical or impossible to comply with such covenants relating to insurance. Belmont provides coverage solely on properties owned by SL Green or its affiliates.</w:t>
      </w:r>
    </w:p>
    <w:p>
      <w:pPr>
        <w:spacing w:after="0" w:line="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obtained insurance coverage through an insurance program administered by SL Green. In connection with this program, we incurred insurance expense of approximately $1.1 million and $2.2 million for the three and six months ended June 30, 2018, respectively. We incurred insurance expense of approximately $1.4 million and $2.8 million for the three and six months ended June 30, 2017,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Substantially all of our office leases provide for separate real estate tax and operating expense escalations as well as operating expense recoveries based on increases in the Consumer Price Index or other measures such as porters' wage. In addition, many of the leases provide for fixed base rent increases. We believe that inflationary increases will be at least partially offset by the contractual rent increases and expense escalations described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Accounting Standards Updates are discussed in Note 2, "Significant Accounting Policies-Accounting Standards Updates" in the accompanying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73"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effect of general economic, business and financial conditions, and their effect on the New York City real estate market in particular;</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dependence upon certain geographic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risks of real estate acquisitions, dispositions, development and redevelopment, including the cost of construction delays and cost overruns;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relating to debt and preferred equity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 and borrowers;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bankruptcy or insolvency of a major tenant or a significant number of smaller tenants or borrowers;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reduced demand for office space, increasing vacancy, and increasing availability of sublease space;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comply with financial covenants in our debt instruments;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SL Green's ability to maintain its status as a REIT;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of investing through joint venture structures, including the fulfillment by our partners of their financial obligations;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threat of terrorist attacks;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adequate insurance coverage at a reasonable cost and the potential for losses in excess of our insurance coverage, including as a result of environmental contamination; and,</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factors and risks to our business, many of which are beyond our control, are described in other sections of this report and in our other filings with the SEC. We undertake no obligation to publicly update or revise any forward-looking statements, whether as a result of future events, new information or otherwise.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quantitative and qualitative disclosure about market risk, see Item 2, "Management's Discussion and Analysis of Financial Condition and Results of Operation-Interest Rate Risk" in this Quarterly Report on Form 10-Q for the three and six months ended June 30, 2018 and Item 7A, “Quantitative and Qualitative Disclosures About Market Risk,” in our Annual Report on Form 10-K for the year ended December 31, 2017. Our exposures to market risk have not changed materially since December 31, 2017.</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the principal executive officer and principal financial officer of our general partner,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w:t>
      </w:r>
    </w:p>
    <w:p>
      <w:pPr>
        <w:spacing w:after="0" w:line="5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the President and Treasurer of our general partner, of the effectiveness of the design and operation of our disclosure controls and procedures. Based upon that evaluation as of the end of the period covered by this report, the President and Treasurer of our general partner concluded that our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significant changes in our internal control over financial reporting during the quarter ended June 30, 2018 that have materially affected, or are reasonably likely to materially affect, our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June 30, 2018, we were not involved in any material litigation nor, to management's knowledge, was any material litigation threatened against us or our portfolio which if adversely determined could have a material adverse impact on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 of June 30, 2018 there have been no material changes to the risk factors disclosed in “Part I. Item 1A. Risk Factors” in our 2017 Annual Report on Form 10-K. We encourage you to read “Part I. Item 1A. Risk Factors” in the 2017 Annual Report on Form 10-K for SL Green Realty Corp., our indirect parent company.</w:t>
      </w:r>
    </w:p>
    <w:p>
      <w:pPr>
        <w:spacing w:after="0" w:line="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Certification of Marc Holliday, President of Wyoming Acquisition GP LLC, the sole general partner of the Registrant, pursuant to Rule 13a-</w:t>
            </w:r>
          </w:p>
        </w:tc>
      </w:tr>
      <w:tr>
        <w:trPr>
          <w:trHeight w:val="237"/>
        </w:trPr>
        <w:tc>
          <w:tcPr>
            <w:tcW w:w="32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14(a) or Rule 15(d)-14(a), filed herewith.</w:t>
            </w:r>
          </w:p>
        </w:tc>
      </w:tr>
      <w:tr>
        <w:trPr>
          <w:trHeight w:val="230"/>
        </w:trPr>
        <w:tc>
          <w:tcPr>
            <w:tcW w:w="78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Certification of Matthew J. DiLiberto, Treasurer of Wyoming Acquisition GP LLC, the sole general partner of the Registrant, pursuant to</w:t>
            </w:r>
          </w:p>
        </w:tc>
      </w:tr>
      <w:tr>
        <w:trPr>
          <w:trHeight w:val="237"/>
        </w:trPr>
        <w:tc>
          <w:tcPr>
            <w:tcW w:w="32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Rule 13a-14(a) or Rule 15(d)-14(a), filed herewith.</w:t>
            </w:r>
          </w:p>
        </w:tc>
      </w:tr>
      <w:tr>
        <w:trPr>
          <w:trHeight w:val="230"/>
        </w:trPr>
        <w:tc>
          <w:tcPr>
            <w:tcW w:w="78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Certification of Marc Holliday, President of Wyoming Acquisition GP LLC, the sole general partner of the Registrant, pursuant to</w:t>
            </w:r>
          </w:p>
        </w:tc>
      </w:tr>
      <w:tr>
        <w:trPr>
          <w:trHeight w:val="237"/>
        </w:trPr>
        <w:tc>
          <w:tcPr>
            <w:tcW w:w="32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Section 1350 of Chapter 63 of Title 18 of the United States Code, filed herewith.</w:t>
            </w:r>
          </w:p>
        </w:tc>
      </w:tr>
      <w:tr>
        <w:trPr>
          <w:trHeight w:val="230"/>
        </w:trPr>
        <w:tc>
          <w:tcPr>
            <w:tcW w:w="78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Certification of Matthew J. DiLiberto, Treasurer of Wyoming Acquisition GP LLC, the sole general partner of the Registrant, pursuant to</w:t>
            </w:r>
          </w:p>
        </w:tc>
      </w:tr>
      <w:tr>
        <w:trPr>
          <w:trHeight w:val="237"/>
        </w:trPr>
        <w:tc>
          <w:tcPr>
            <w:tcW w:w="32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Section 1350 of Chapter 63 of Title 18 of the United States Code, filed herewith.</w:t>
            </w:r>
          </w:p>
        </w:tc>
      </w:tr>
      <w:tr>
        <w:trPr>
          <w:trHeight w:val="256"/>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The following financial statements from Reckson Operating Partnership, L.P.’s Quarterly Report on Form 10-Q for the three months ended</w:t>
            </w: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June 30, 2018, formatted in XBRL: (i) Consolidated Balance Sheets (unaudited), (ii) Consolidated Statements of Operations (unaudited),</w:t>
            </w: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(iii) Consolidated Statements of Comprehensive Income (unaudited), (iv) Consolidated Statement of Capital (unaudited), (v) Consolidated</w:t>
            </w:r>
          </w:p>
        </w:tc>
      </w:tr>
      <w:tr>
        <w:trPr>
          <w:trHeight w:val="230"/>
        </w:trPr>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Statements of Cash Flows (unaudited), and (vi) Notes to Consolidated Financial Statements (unaudited), detail tagged and filed herewith.</w:t>
            </w:r>
          </w:p>
        </w:tc>
      </w:tr>
      <w:tr>
        <w:trPr>
          <w:trHeight w:val="594"/>
        </w:trPr>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520" w:type="dxa"/>
            <w:vAlign w:val="bottom"/>
          </w:tcPr>
          <w:p>
            <w:pPr>
              <w:ind w:left="478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360"/>
          </w:cols>
          <w:pgMar w:left="240" w:top="125" w:right="29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RECKSON OPERATING PARTNERSHIP, L.P.</w:t>
      </w:r>
    </w:p>
    <w:p>
      <w:pPr>
        <w:spacing w:after="0" w:line="1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WYOMING ACQUISITION GP LLC</w:t>
      </w:r>
    </w:p>
    <w:p>
      <w:pPr>
        <w:spacing w:after="0" w:line="63" w:lineRule="exact"/>
        <w:rPr>
          <w:sz w:val="20"/>
          <w:szCs w:val="20"/>
          <w:color w:val="auto"/>
        </w:rPr>
      </w:pPr>
    </w:p>
    <w:p>
      <w:pPr>
        <w:ind w:left="598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Matthew J. DiLiberto</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i w:val="1"/>
          <w:iCs w:val="1"/>
          <w:color w:val="auto"/>
        </w:rPr>
        <w:t>Treasurer</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13,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99" w:right="299" w:bottom="1440" w:gutter="0" w:footer="0" w:header="0"/>
        </w:sectPr>
      </w:pPr>
    </w:p>
    <w:bookmarkStart w:id="41" w:name="page42"/>
    <w:bookmarkEnd w:id="41"/>
    <w:p>
      <w:pPr>
        <w:ind w:left="10480"/>
        <w:spacing w:after="0"/>
        <w:rPr>
          <w:sz w:val="20"/>
          <w:szCs w:val="20"/>
          <w:color w:val="auto"/>
        </w:rPr>
      </w:pPr>
      <w:r>
        <w:rPr>
          <w:rFonts w:ascii="Arial" w:cs="Arial" w:eastAsia="Arial" w:hAnsi="Arial"/>
          <w:sz w:val="16"/>
          <w:szCs w:val="16"/>
          <w:b w:val="1"/>
          <w:bCs w:val="1"/>
          <w:color w:val="auto"/>
        </w:rPr>
        <w:t>Exhibit 31.1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28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Reckson Operating Partnership, L.P. (the "registrant");</w:t>
      </w:r>
    </w:p>
    <w:p>
      <w:pPr>
        <w:spacing w:after="0" w:line="144" w:lineRule="exact"/>
        <w:rPr>
          <w:rFonts w:ascii="Arial" w:cs="Arial" w:eastAsia="Arial" w:hAnsi="Arial"/>
          <w:sz w:val="18"/>
          <w:szCs w:val="18"/>
          <w:color w:val="auto"/>
        </w:rPr>
      </w:pPr>
    </w:p>
    <w:p>
      <w:pPr>
        <w:ind w:firstLine="8"/>
        <w:spacing w:after="0" w:line="342" w:lineRule="auto"/>
        <w:tabs>
          <w:tab w:leader="none" w:pos="39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8"/>
        <w:spacing w:after="0" w:line="277" w:lineRule="auto"/>
        <w:tabs>
          <w:tab w:leader="none" w:pos="4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firstLine="8"/>
        <w:spacing w:after="0" w:line="264" w:lineRule="auto"/>
        <w:tabs>
          <w:tab w:leader="none" w:pos="3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20" w:hanging="320"/>
        <w:spacing w:after="0" w:line="281" w:lineRule="auto"/>
        <w:tabs>
          <w:tab w:leader="none" w:pos="1300" w:val="left"/>
        </w:tabs>
        <w:numPr>
          <w:ilvl w:val="2"/>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firstLine="8"/>
        <w:spacing w:after="0" w:line="308" w:lineRule="auto"/>
        <w:tabs>
          <w:tab w:leader="none" w:pos="3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2018</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ectPr>
          <w:pgSz w:w="11900" w:h="16838" w:orient="portrait"/>
          <w:cols w:equalWidth="0" w:num="1">
            <w:col w:w="11420"/>
          </w:cols>
          <w:pgMar w:left="240" w:top="71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283"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Reckson Operating Partnership, L.P. (the "registrant");</w:t>
      </w:r>
    </w:p>
    <w:p>
      <w:pPr>
        <w:spacing w:after="0" w:line="144" w:lineRule="exact"/>
        <w:rPr>
          <w:rFonts w:ascii="Arial" w:cs="Arial" w:eastAsia="Arial" w:hAnsi="Arial"/>
          <w:sz w:val="18"/>
          <w:szCs w:val="18"/>
          <w:color w:val="auto"/>
        </w:rPr>
      </w:pPr>
    </w:p>
    <w:p>
      <w:pPr>
        <w:ind w:firstLine="8"/>
        <w:spacing w:after="0" w:line="342" w:lineRule="auto"/>
        <w:tabs>
          <w:tab w:leader="none" w:pos="3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8"/>
        <w:spacing w:after="0" w:line="277" w:lineRule="auto"/>
        <w:tabs>
          <w:tab w:leader="none" w:pos="4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firstLine="8"/>
        <w:spacing w:after="0" w:line="264" w:lineRule="auto"/>
        <w:tabs>
          <w:tab w:leader="none" w:pos="3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328"/>
        <w:spacing w:after="0" w:line="250"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firstLine="8"/>
        <w:spacing w:after="0" w:line="308" w:lineRule="auto"/>
        <w:tabs>
          <w:tab w:leader="none" w:pos="38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2018</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J. DiLiberto</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ectPr>
          <w:pgSz w:w="11900" w:h="16838" w:orient="portrait"/>
          <w:cols w:equalWidth="0" w:num="1">
            <w:col w:w="11420"/>
          </w:cols>
          <w:pgMar w:left="240" w:top="97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 Marc Holliday, President of Wyoming Acquisition GP LLC, the sole general partner of Reckson Operating Partnership, L. P. (the "registrant"), certify pursuant to section 906 of the Sarbanes-Oxley Act of 2002, 18 U.S.C. Section 1350, that:</w:t>
      </w:r>
    </w:p>
    <w:p>
      <w:pPr>
        <w:spacing w:after="0" w:line="224" w:lineRule="exact"/>
        <w:rPr>
          <w:sz w:val="20"/>
          <w:szCs w:val="20"/>
          <w:color w:val="auto"/>
        </w:rPr>
      </w:pPr>
    </w:p>
    <w:p>
      <w:pPr>
        <w:ind w:firstLine="8"/>
        <w:spacing w:after="0" w:line="277" w:lineRule="auto"/>
        <w:tabs>
          <w:tab w:leader="none" w:pos="4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2018 (the "Report") fully complies with the requirements of Section 13(a) or 15(d) of the Securities Exchange Act of 1934 (15 U.S.C. 78m or 78o(d)); and</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pacing w:after="0" w:line="3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August 13, 2018</w:t>
      </w:r>
    </w:p>
    <w:p>
      <w:pPr>
        <w:sectPr>
          <w:pgSz w:w="11900" w:h="16838" w:orient="portrait"/>
          <w:cols w:equalWidth="0" w:num="1">
            <w:col w:w="11420"/>
          </w:cols>
          <w:pgMar w:left="240" w:top="97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 Matthew J. DiLiberto, Treasurer and of Wyoming Acquisition GP LLC, the sole general partner of Reckson Operating Partnership, L. P. (the "registrant"), certify pursuant to section 906 of the Sarbanes-Oxley Act of 2002, 18 U.S.C. Section 1350, that:</w:t>
      </w:r>
    </w:p>
    <w:p>
      <w:pPr>
        <w:spacing w:after="0" w:line="224" w:lineRule="exact"/>
        <w:rPr>
          <w:sz w:val="20"/>
          <w:szCs w:val="20"/>
          <w:color w:val="auto"/>
        </w:rPr>
      </w:pPr>
    </w:p>
    <w:p>
      <w:pPr>
        <w:ind w:firstLine="8"/>
        <w:spacing w:after="0" w:line="277" w:lineRule="auto"/>
        <w:tabs>
          <w:tab w:leader="none" w:pos="4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2018 (the "Report") fully complies with the requirements of Section 13(a) or 15(d) of the Securities Exchange Act of 1934 (15 U.S.C. 78m or 78o(d)); and</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J. DiLiberto</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pacing w:after="0" w:line="3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August 13, 2018</w:t>
      </w:r>
    </w:p>
    <w:sectPr>
      <w:pgSz w:w="11900" w:h="16838" w:orient="portrait"/>
      <w:cols w:equalWidth="0" w:num="1">
        <w:col w:w="11420"/>
      </w:cols>
      <w:pgMar w:left="240" w:top="7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8"/>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4"/>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Roman"/>
      <w:start w:val="1"/>
    </w:lvl>
  </w:abstractNum>
  <w:abstractNum w:abstractNumId="26">
    <w:nsid w:val="8138641"/>
    <w:multiLevelType w:val="hybridMultilevel"/>
    <w:lvl w:ilvl="0">
      <w:lvlJc w:val="left"/>
      <w:lvlText w:val="%1."/>
      <w:numFmt w:val="lowerRoman"/>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2019-12-28T20:07:34Z</dcterms:created>
  <dcterms:modified xsi:type="dcterms:W3CDTF">2019-12-28T20:07:34Z</dcterms:modified>
</cp:coreProperties>
</file>