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1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3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Date of Report (Date of earliest event reported):</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October 3, 2016 (October 1, 2016)</w:t>
      </w:r>
    </w:p>
    <w:p>
      <w:pPr>
        <w:spacing w:after="0" w:line="184"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SL Green Realty Corp.</w:t>
      </w:r>
    </w:p>
    <w:p>
      <w:pPr>
        <w:spacing w:after="0" w:line="4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00"/>
          </w:cols>
          <w:pgMar w:left="240" w:top="544" w:right="359" w:bottom="63" w:gutter="0" w:footer="0" w:header="0"/>
        </w:sectPr>
      </w:pPr>
    </w:p>
    <w:p>
      <w:pPr>
        <w:spacing w:after="0" w:line="205"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Maryland</w:t>
      </w:r>
    </w:p>
    <w:p>
      <w:pPr>
        <w:spacing w:after="0" w:line="27" w:lineRule="exact"/>
        <w:rPr>
          <w:sz w:val="24"/>
          <w:szCs w:val="24"/>
          <w:color w:val="auto"/>
        </w:rPr>
      </w:pPr>
    </w:p>
    <w:p>
      <w:pPr>
        <w:jc w:val="center"/>
        <w:ind w:right="80"/>
        <w:spacing w:after="0"/>
        <w:rPr>
          <w:sz w:val="20"/>
          <w:szCs w:val="20"/>
          <w:color w:val="auto"/>
        </w:rPr>
      </w:pPr>
      <w:r>
        <w:rPr>
          <w:rFonts w:ascii="Arial" w:cs="Arial" w:eastAsia="Arial" w:hAnsi="Arial"/>
          <w:sz w:val="16"/>
          <w:szCs w:val="16"/>
          <w:color w:val="auto"/>
        </w:rPr>
        <w:t>(STATE OR OTHER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640"/>
        <w:spacing w:after="0"/>
        <w:rPr>
          <w:sz w:val="20"/>
          <w:szCs w:val="20"/>
          <w:color w:val="auto"/>
        </w:rPr>
      </w:pPr>
      <w:r>
        <w:rPr>
          <w:rFonts w:ascii="Arial" w:cs="Arial" w:eastAsia="Arial" w:hAnsi="Arial"/>
          <w:sz w:val="18"/>
          <w:szCs w:val="18"/>
          <w:b w:val="1"/>
          <w:bCs w:val="1"/>
          <w:color w:val="auto"/>
        </w:rPr>
        <w:t>1-13199</w:t>
      </w:r>
    </w:p>
    <w:p>
      <w:pPr>
        <w:spacing w:after="0" w:line="27" w:lineRule="exact"/>
        <w:rPr>
          <w:sz w:val="24"/>
          <w:szCs w:val="24"/>
          <w:color w:val="auto"/>
        </w:rPr>
      </w:pPr>
    </w:p>
    <w:p>
      <w:pPr>
        <w:jc w:val="center"/>
        <w:ind w:right="640"/>
        <w:spacing w:after="0"/>
        <w:rPr>
          <w:sz w:val="20"/>
          <w:szCs w:val="20"/>
          <w:color w:val="auto"/>
        </w:rPr>
      </w:pPr>
      <w:r>
        <w:rPr>
          <w:rFonts w:ascii="Arial" w:cs="Arial" w:eastAsia="Arial" w:hAnsi="Arial"/>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440"/>
        <w:spacing w:after="0"/>
        <w:rPr>
          <w:sz w:val="20"/>
          <w:szCs w:val="20"/>
          <w:color w:val="auto"/>
        </w:rPr>
      </w:pPr>
      <w:r>
        <w:rPr>
          <w:rFonts w:ascii="Arial" w:cs="Arial" w:eastAsia="Arial" w:hAnsi="Arial"/>
          <w:sz w:val="18"/>
          <w:szCs w:val="18"/>
          <w:b w:val="1"/>
          <w:bCs w:val="1"/>
          <w:color w:val="auto"/>
        </w:rPr>
        <w:t>13-3956775</w:t>
      </w:r>
    </w:p>
    <w:p>
      <w:pPr>
        <w:spacing w:after="0" w:line="27" w:lineRule="exact"/>
        <w:rPr>
          <w:sz w:val="24"/>
          <w:szCs w:val="24"/>
          <w:color w:val="auto"/>
        </w:rPr>
      </w:pPr>
    </w:p>
    <w:p>
      <w:pPr>
        <w:jc w:val="center"/>
        <w:ind w:right="440"/>
        <w:spacing w:after="0"/>
        <w:rPr>
          <w:sz w:val="20"/>
          <w:szCs w:val="20"/>
          <w:color w:val="auto"/>
        </w:rPr>
      </w:pPr>
      <w:r>
        <w:rPr>
          <w:rFonts w:ascii="Arial" w:cs="Arial" w:eastAsia="Arial" w:hAnsi="Arial"/>
          <w:sz w:val="17"/>
          <w:szCs w:val="17"/>
          <w:color w:val="auto"/>
        </w:rPr>
        <w:t>(IRS EMPLOYER ID. NUMBER)</w:t>
      </w:r>
    </w:p>
    <w:p>
      <w:pPr>
        <w:spacing w:after="0" w:line="21" w:lineRule="exact"/>
        <w:rPr>
          <w:sz w:val="24"/>
          <w:szCs w:val="24"/>
          <w:color w:val="auto"/>
        </w:rPr>
      </w:pPr>
    </w:p>
    <w:p>
      <w:pPr>
        <w:sectPr>
          <w:pgSz w:w="11900" w:h="16838" w:orient="portrait"/>
          <w:cols w:equalWidth="0" w:num="3">
            <w:col w:w="3760" w:space="720"/>
            <w:col w:w="3140" w:space="720"/>
            <w:col w:w="2960"/>
          </w:cols>
          <w:pgMar w:left="240" w:top="544" w:right="359" w:bottom="63" w:gutter="0" w:footer="0" w:header="0"/>
          <w:type w:val="continuous"/>
        </w:sectPr>
      </w:pPr>
    </w:p>
    <w:p>
      <w:pPr>
        <w:ind w:left="1100"/>
        <w:spacing w:after="0"/>
        <w:rPr>
          <w:sz w:val="20"/>
          <w:szCs w:val="20"/>
          <w:color w:val="auto"/>
        </w:rPr>
      </w:pPr>
      <w:r>
        <w:rPr>
          <w:rFonts w:ascii="Arial" w:cs="Arial" w:eastAsia="Arial" w:hAnsi="Arial"/>
          <w:sz w:val="17"/>
          <w:szCs w:val="17"/>
          <w:color w:val="auto"/>
        </w:rPr>
        <w:t>JURISDICTION OF</w:t>
      </w:r>
    </w:p>
    <w:p>
      <w:pPr>
        <w:spacing w:after="0" w:line="21" w:lineRule="exact"/>
        <w:rPr>
          <w:sz w:val="24"/>
          <w:szCs w:val="24"/>
          <w:color w:val="auto"/>
        </w:rPr>
      </w:pPr>
    </w:p>
    <w:p>
      <w:pPr>
        <w:ind w:left="1080"/>
        <w:spacing w:after="0"/>
        <w:rPr>
          <w:sz w:val="20"/>
          <w:szCs w:val="20"/>
          <w:color w:val="auto"/>
        </w:rPr>
      </w:pPr>
      <w:r>
        <w:rPr>
          <w:rFonts w:ascii="Arial" w:cs="Arial" w:eastAsia="Arial" w:hAnsi="Arial"/>
          <w:sz w:val="17"/>
          <w:szCs w:val="17"/>
          <w:color w:val="auto"/>
        </w:rPr>
        <w:t>INCORPORATION)</w:t>
      </w:r>
    </w:p>
    <w:p>
      <w:pPr>
        <w:sectPr>
          <w:pgSz w:w="11900" w:h="16838" w:orient="portrait"/>
          <w:cols w:equalWidth="0" w:num="1">
            <w:col w:w="11300"/>
          </w:cols>
          <w:pgMar w:left="240" w:top="544" w:right="359" w:bottom="63" w:gutter="0" w:footer="0" w:header="0"/>
          <w:type w:val="continuous"/>
        </w:sectPr>
      </w:pPr>
    </w:p>
    <w:p>
      <w:pPr>
        <w:spacing w:after="0" w:line="196" w:lineRule="exact"/>
        <w:rPr>
          <w:sz w:val="24"/>
          <w:szCs w:val="24"/>
          <w:color w:val="auto"/>
        </w:rPr>
      </w:pPr>
    </w:p>
    <w:p>
      <w:pPr>
        <w:jc w:val="center"/>
        <w:ind w:right="-119"/>
        <w:spacing w:after="0"/>
        <w:rPr>
          <w:sz w:val="20"/>
          <w:szCs w:val="20"/>
          <w:color w:val="auto"/>
        </w:rPr>
      </w:pPr>
      <w:r>
        <w:rPr>
          <w:rFonts w:ascii="Arial" w:cs="Arial" w:eastAsia="Arial" w:hAnsi="Arial"/>
          <w:sz w:val="30"/>
          <w:szCs w:val="30"/>
          <w:b w:val="1"/>
          <w:bCs w:val="1"/>
          <w:color w:val="auto"/>
        </w:rPr>
        <w:t>SL Green Operating Partnership, L.P.</w:t>
      </w:r>
    </w:p>
    <w:p>
      <w:pPr>
        <w:spacing w:after="0" w:line="63" w:lineRule="exact"/>
        <w:rPr>
          <w:sz w:val="24"/>
          <w:szCs w:val="24"/>
          <w:color w:val="auto"/>
        </w:rPr>
      </w:pPr>
    </w:p>
    <w:p>
      <w:pPr>
        <w:jc w:val="center"/>
        <w:ind w:right="-119"/>
        <w:spacing w:after="0"/>
        <w:rPr>
          <w:sz w:val="20"/>
          <w:szCs w:val="20"/>
          <w:color w:val="auto"/>
        </w:rPr>
      </w:pPr>
      <w:r>
        <w:rPr>
          <w:rFonts w:ascii="Arial" w:cs="Arial" w:eastAsia="Arial" w:hAnsi="Arial"/>
          <w:sz w:val="17"/>
          <w:szCs w:val="17"/>
          <w:color w:val="auto"/>
        </w:rPr>
        <w:t>(EXACT NAME OF REGISTRANT AS SPECIFIED IN ITS CHARTER)</w:t>
      </w:r>
    </w:p>
    <w:p>
      <w:pPr>
        <w:sectPr>
          <w:pgSz w:w="11900" w:h="16838" w:orient="portrait"/>
          <w:cols w:equalWidth="0" w:num="1">
            <w:col w:w="11300"/>
          </w:cols>
          <w:pgMar w:left="240" w:top="544" w:right="359" w:bottom="63" w:gutter="0" w:footer="0" w:header="0"/>
          <w:type w:val="continuous"/>
        </w:sectPr>
      </w:pPr>
    </w:p>
    <w:p>
      <w:pPr>
        <w:spacing w:after="0" w:line="217"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80"/>
        <w:spacing w:after="0"/>
        <w:rPr>
          <w:sz w:val="20"/>
          <w:szCs w:val="20"/>
          <w:color w:val="auto"/>
        </w:rPr>
      </w:pPr>
      <w:r>
        <w:rPr>
          <w:rFonts w:ascii="Arial" w:cs="Arial" w:eastAsia="Arial" w:hAnsi="Arial"/>
          <w:sz w:val="16"/>
          <w:szCs w:val="16"/>
          <w:color w:val="auto"/>
        </w:rPr>
        <w:t>(STATE OR OTHER</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jc w:val="center"/>
        <w:ind w:right="640"/>
        <w:spacing w:after="0"/>
        <w:rPr>
          <w:sz w:val="20"/>
          <w:szCs w:val="20"/>
          <w:color w:val="auto"/>
        </w:rPr>
      </w:pPr>
      <w:r>
        <w:rPr>
          <w:rFonts w:ascii="Arial" w:cs="Arial" w:eastAsia="Arial" w:hAnsi="Arial"/>
          <w:sz w:val="18"/>
          <w:szCs w:val="18"/>
          <w:b w:val="1"/>
          <w:bCs w:val="1"/>
          <w:color w:val="auto"/>
        </w:rPr>
        <w:t>33-167793-02</w:t>
      </w:r>
    </w:p>
    <w:p>
      <w:pPr>
        <w:spacing w:after="0" w:line="27" w:lineRule="exact"/>
        <w:rPr>
          <w:sz w:val="24"/>
          <w:szCs w:val="24"/>
          <w:color w:val="auto"/>
        </w:rPr>
      </w:pPr>
    </w:p>
    <w:p>
      <w:pPr>
        <w:jc w:val="center"/>
        <w:ind w:right="640"/>
        <w:spacing w:after="0"/>
        <w:rPr>
          <w:sz w:val="20"/>
          <w:szCs w:val="20"/>
          <w:color w:val="auto"/>
        </w:rPr>
      </w:pPr>
      <w:r>
        <w:rPr>
          <w:rFonts w:ascii="Arial" w:cs="Arial" w:eastAsia="Arial" w:hAnsi="Arial"/>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jc w:val="center"/>
        <w:ind w:right="440"/>
        <w:spacing w:after="0"/>
        <w:rPr>
          <w:sz w:val="20"/>
          <w:szCs w:val="20"/>
          <w:color w:val="auto"/>
        </w:rPr>
      </w:pPr>
      <w:r>
        <w:rPr>
          <w:rFonts w:ascii="Arial" w:cs="Arial" w:eastAsia="Arial" w:hAnsi="Arial"/>
          <w:sz w:val="18"/>
          <w:szCs w:val="18"/>
          <w:b w:val="1"/>
          <w:bCs w:val="1"/>
          <w:color w:val="auto"/>
        </w:rPr>
        <w:t>13-3960398</w:t>
      </w:r>
    </w:p>
    <w:p>
      <w:pPr>
        <w:spacing w:after="0" w:line="27" w:lineRule="exact"/>
        <w:rPr>
          <w:sz w:val="24"/>
          <w:szCs w:val="24"/>
          <w:color w:val="auto"/>
        </w:rPr>
      </w:pPr>
    </w:p>
    <w:p>
      <w:pPr>
        <w:jc w:val="center"/>
        <w:ind w:right="440"/>
        <w:spacing w:after="0"/>
        <w:rPr>
          <w:sz w:val="20"/>
          <w:szCs w:val="20"/>
          <w:color w:val="auto"/>
        </w:rPr>
      </w:pPr>
      <w:r>
        <w:rPr>
          <w:rFonts w:ascii="Arial" w:cs="Arial" w:eastAsia="Arial" w:hAnsi="Arial"/>
          <w:sz w:val="17"/>
          <w:szCs w:val="17"/>
          <w:color w:val="auto"/>
        </w:rPr>
        <w:t>(IRS EMPLOYER ID. NUMBER)</w:t>
      </w:r>
    </w:p>
    <w:p>
      <w:pPr>
        <w:spacing w:after="0" w:line="21" w:lineRule="exact"/>
        <w:rPr>
          <w:sz w:val="24"/>
          <w:szCs w:val="24"/>
          <w:color w:val="auto"/>
        </w:rPr>
      </w:pPr>
    </w:p>
    <w:p>
      <w:pPr>
        <w:sectPr>
          <w:pgSz w:w="11900" w:h="16838" w:orient="portrait"/>
          <w:cols w:equalWidth="0" w:num="3">
            <w:col w:w="3760" w:space="720"/>
            <w:col w:w="3140" w:space="720"/>
            <w:col w:w="2960"/>
          </w:cols>
          <w:pgMar w:left="240" w:top="544" w:right="359" w:bottom="63" w:gutter="0" w:footer="0" w:header="0"/>
          <w:type w:val="continuous"/>
        </w:sectPr>
      </w:pPr>
    </w:p>
    <w:p>
      <w:pPr>
        <w:ind w:left="1100"/>
        <w:spacing w:after="0"/>
        <w:rPr>
          <w:sz w:val="20"/>
          <w:szCs w:val="20"/>
          <w:color w:val="auto"/>
        </w:rPr>
      </w:pPr>
      <w:r>
        <w:rPr>
          <w:rFonts w:ascii="Arial" w:cs="Arial" w:eastAsia="Arial" w:hAnsi="Arial"/>
          <w:sz w:val="17"/>
          <w:szCs w:val="17"/>
          <w:color w:val="auto"/>
        </w:rPr>
        <w:t>JURISDICTION OF</w:t>
      </w:r>
    </w:p>
    <w:p>
      <w:pPr>
        <w:spacing w:after="0" w:line="21" w:lineRule="exact"/>
        <w:rPr>
          <w:sz w:val="24"/>
          <w:szCs w:val="24"/>
          <w:color w:val="auto"/>
        </w:rPr>
      </w:pPr>
    </w:p>
    <w:p>
      <w:pPr>
        <w:ind w:left="1080"/>
        <w:spacing w:after="0"/>
        <w:rPr>
          <w:sz w:val="20"/>
          <w:szCs w:val="20"/>
          <w:color w:val="auto"/>
        </w:rPr>
      </w:pPr>
      <w:r>
        <w:rPr>
          <w:rFonts w:ascii="Arial" w:cs="Arial" w:eastAsia="Arial" w:hAnsi="Arial"/>
          <w:sz w:val="17"/>
          <w:szCs w:val="17"/>
          <w:color w:val="auto"/>
        </w:rPr>
        <w:t>INCORPORATION)</w:t>
      </w:r>
    </w:p>
    <w:p>
      <w:pPr>
        <w:sectPr>
          <w:pgSz w:w="11900" w:h="16838" w:orient="portrait"/>
          <w:cols w:equalWidth="0" w:num="1">
            <w:col w:w="11300"/>
          </w:cols>
          <w:pgMar w:left="240" w:top="544" w:right="359" w:bottom="63" w:gutter="0" w:footer="0" w:header="0"/>
          <w:type w:val="continuous"/>
        </w:sectPr>
      </w:pPr>
    </w:p>
    <w:p>
      <w:pPr>
        <w:spacing w:after="0" w:line="196" w:lineRule="exact"/>
        <w:rPr>
          <w:sz w:val="24"/>
          <w:szCs w:val="24"/>
          <w:color w:val="auto"/>
        </w:rPr>
      </w:pPr>
    </w:p>
    <w:p>
      <w:pPr>
        <w:jc w:val="center"/>
        <w:ind w:right="-119"/>
        <w:spacing w:after="0"/>
        <w:rPr>
          <w:sz w:val="20"/>
          <w:szCs w:val="20"/>
          <w:color w:val="auto"/>
        </w:rPr>
      </w:pPr>
      <w:r>
        <w:rPr>
          <w:rFonts w:ascii="Arial" w:cs="Arial" w:eastAsia="Arial" w:hAnsi="Arial"/>
          <w:sz w:val="30"/>
          <w:szCs w:val="30"/>
          <w:b w:val="1"/>
          <w:bCs w:val="1"/>
          <w:color w:val="auto"/>
        </w:rPr>
        <w:t>Reckson Operating Partnership, L.P.</w:t>
      </w:r>
    </w:p>
    <w:p>
      <w:pPr>
        <w:spacing w:after="0" w:line="63" w:lineRule="exact"/>
        <w:rPr>
          <w:sz w:val="24"/>
          <w:szCs w:val="24"/>
          <w:color w:val="auto"/>
        </w:rPr>
      </w:pPr>
    </w:p>
    <w:p>
      <w:pPr>
        <w:jc w:val="center"/>
        <w:ind w:right="-119"/>
        <w:spacing w:after="0"/>
        <w:rPr>
          <w:sz w:val="20"/>
          <w:szCs w:val="20"/>
          <w:color w:val="auto"/>
        </w:rPr>
      </w:pPr>
      <w:r>
        <w:rPr>
          <w:rFonts w:ascii="Arial" w:cs="Arial" w:eastAsia="Arial" w:hAnsi="Arial"/>
          <w:sz w:val="17"/>
          <w:szCs w:val="17"/>
          <w:color w:val="auto"/>
        </w:rPr>
        <w:t>(EXACT NAME OF REGISTRANT AS SPECIFIED IN ITS CHARTER)</w:t>
      </w:r>
    </w:p>
    <w:p>
      <w:pPr>
        <w:sectPr>
          <w:pgSz w:w="11900" w:h="16838" w:orient="portrait"/>
          <w:cols w:equalWidth="0" w:num="1">
            <w:col w:w="11300"/>
          </w:cols>
          <w:pgMar w:left="240" w:top="544" w:right="359" w:bottom="63" w:gutter="0" w:footer="0" w:header="0"/>
          <w:type w:val="continuous"/>
        </w:sectPr>
      </w:pPr>
    </w:p>
    <w:p>
      <w:pPr>
        <w:spacing w:after="0" w:line="217"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80"/>
        <w:spacing w:after="0"/>
        <w:rPr>
          <w:sz w:val="20"/>
          <w:szCs w:val="20"/>
          <w:color w:val="auto"/>
        </w:rPr>
      </w:pPr>
      <w:r>
        <w:rPr>
          <w:rFonts w:ascii="Arial" w:cs="Arial" w:eastAsia="Arial" w:hAnsi="Arial"/>
          <w:sz w:val="16"/>
          <w:szCs w:val="16"/>
          <w:color w:val="auto"/>
        </w:rPr>
        <w:t>(STATE OR OTHER</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jc w:val="center"/>
        <w:ind w:right="640"/>
        <w:spacing w:after="0"/>
        <w:rPr>
          <w:sz w:val="20"/>
          <w:szCs w:val="20"/>
          <w:color w:val="auto"/>
        </w:rPr>
      </w:pPr>
      <w:r>
        <w:rPr>
          <w:rFonts w:ascii="Arial" w:cs="Arial" w:eastAsia="Arial" w:hAnsi="Arial"/>
          <w:sz w:val="18"/>
          <w:szCs w:val="18"/>
          <w:b w:val="1"/>
          <w:bCs w:val="1"/>
          <w:color w:val="auto"/>
        </w:rPr>
        <w:t>33-84580</w:t>
      </w:r>
    </w:p>
    <w:p>
      <w:pPr>
        <w:spacing w:after="0" w:line="27" w:lineRule="exact"/>
        <w:rPr>
          <w:sz w:val="24"/>
          <w:szCs w:val="24"/>
          <w:color w:val="auto"/>
        </w:rPr>
      </w:pPr>
    </w:p>
    <w:p>
      <w:pPr>
        <w:jc w:val="center"/>
        <w:ind w:right="640"/>
        <w:spacing w:after="0"/>
        <w:rPr>
          <w:sz w:val="20"/>
          <w:szCs w:val="20"/>
          <w:color w:val="auto"/>
        </w:rPr>
      </w:pPr>
      <w:r>
        <w:rPr>
          <w:rFonts w:ascii="Arial" w:cs="Arial" w:eastAsia="Arial" w:hAnsi="Arial"/>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jc w:val="center"/>
        <w:ind w:right="440"/>
        <w:spacing w:after="0"/>
        <w:rPr>
          <w:sz w:val="20"/>
          <w:szCs w:val="20"/>
          <w:color w:val="auto"/>
        </w:rPr>
      </w:pPr>
      <w:r>
        <w:rPr>
          <w:rFonts w:ascii="Arial" w:cs="Arial" w:eastAsia="Arial" w:hAnsi="Arial"/>
          <w:sz w:val="18"/>
          <w:szCs w:val="18"/>
          <w:b w:val="1"/>
          <w:bCs w:val="1"/>
          <w:color w:val="auto"/>
        </w:rPr>
        <w:t>11-3233647</w:t>
      </w:r>
    </w:p>
    <w:p>
      <w:pPr>
        <w:spacing w:after="0" w:line="27" w:lineRule="exact"/>
        <w:rPr>
          <w:sz w:val="24"/>
          <w:szCs w:val="24"/>
          <w:color w:val="auto"/>
        </w:rPr>
      </w:pPr>
    </w:p>
    <w:p>
      <w:pPr>
        <w:jc w:val="center"/>
        <w:ind w:right="440"/>
        <w:spacing w:after="0"/>
        <w:rPr>
          <w:sz w:val="20"/>
          <w:szCs w:val="20"/>
          <w:color w:val="auto"/>
        </w:rPr>
      </w:pPr>
      <w:r>
        <w:rPr>
          <w:rFonts w:ascii="Arial" w:cs="Arial" w:eastAsia="Arial" w:hAnsi="Arial"/>
          <w:sz w:val="17"/>
          <w:szCs w:val="17"/>
          <w:color w:val="auto"/>
        </w:rPr>
        <w:t>(IRS EMPLOYER ID. NUMBER)</w:t>
      </w:r>
    </w:p>
    <w:p>
      <w:pPr>
        <w:spacing w:after="0" w:line="21" w:lineRule="exact"/>
        <w:rPr>
          <w:sz w:val="24"/>
          <w:szCs w:val="24"/>
          <w:color w:val="auto"/>
        </w:rPr>
      </w:pPr>
    </w:p>
    <w:p>
      <w:pPr>
        <w:sectPr>
          <w:pgSz w:w="11900" w:h="16838" w:orient="portrait"/>
          <w:cols w:equalWidth="0" w:num="3">
            <w:col w:w="3760" w:space="720"/>
            <w:col w:w="3140" w:space="720"/>
            <w:col w:w="2960"/>
          </w:cols>
          <w:pgMar w:left="240" w:top="544" w:right="359" w:bottom="63" w:gutter="0" w:footer="0" w:header="0"/>
          <w:type w:val="continuous"/>
        </w:sectPr>
      </w:pPr>
    </w:p>
    <w:p>
      <w:pPr>
        <w:ind w:left="1100"/>
        <w:spacing w:after="0"/>
        <w:rPr>
          <w:sz w:val="20"/>
          <w:szCs w:val="20"/>
          <w:color w:val="auto"/>
        </w:rPr>
      </w:pPr>
      <w:r>
        <w:rPr>
          <w:rFonts w:ascii="Arial" w:cs="Arial" w:eastAsia="Arial" w:hAnsi="Arial"/>
          <w:sz w:val="17"/>
          <w:szCs w:val="17"/>
          <w:color w:val="auto"/>
        </w:rPr>
        <w:t>JURISDICTION OF</w:t>
      </w:r>
    </w:p>
    <w:p>
      <w:pPr>
        <w:spacing w:after="0" w:line="21" w:lineRule="exact"/>
        <w:rPr>
          <w:sz w:val="24"/>
          <w:szCs w:val="24"/>
          <w:color w:val="auto"/>
        </w:rPr>
      </w:pPr>
    </w:p>
    <w:p>
      <w:pPr>
        <w:ind w:left="1080"/>
        <w:spacing w:after="0"/>
        <w:rPr>
          <w:sz w:val="20"/>
          <w:szCs w:val="20"/>
          <w:color w:val="auto"/>
        </w:rPr>
      </w:pPr>
      <w:r>
        <w:rPr>
          <w:rFonts w:ascii="Arial" w:cs="Arial" w:eastAsia="Arial" w:hAnsi="Arial"/>
          <w:sz w:val="17"/>
          <w:szCs w:val="17"/>
          <w:color w:val="auto"/>
        </w:rPr>
        <w:t>INCORPORATION)</w:t>
      </w:r>
    </w:p>
    <w:p>
      <w:pPr>
        <w:sectPr>
          <w:pgSz w:w="11900" w:h="16838" w:orient="portrait"/>
          <w:cols w:equalWidth="0" w:num="1">
            <w:col w:w="11300"/>
          </w:cols>
          <w:pgMar w:left="240" w:top="544" w:right="359" w:bottom="63" w:gutter="0" w:footer="0" w:header="0"/>
          <w:type w:val="continuous"/>
        </w:sectPr>
      </w:pPr>
    </w:p>
    <w:p>
      <w:pPr>
        <w:spacing w:after="0" w:line="218" w:lineRule="exact"/>
        <w:rPr>
          <w:sz w:val="24"/>
          <w:szCs w:val="24"/>
          <w:color w:val="auto"/>
        </w:rPr>
      </w:pPr>
    </w:p>
    <w:p>
      <w:pPr>
        <w:jc w:val="center"/>
        <w:ind w:right="1820"/>
        <w:spacing w:after="0"/>
        <w:rPr>
          <w:sz w:val="20"/>
          <w:szCs w:val="20"/>
          <w:color w:val="auto"/>
        </w:rPr>
      </w:pPr>
      <w:r>
        <w:rPr>
          <w:rFonts w:ascii="Arial" w:cs="Arial" w:eastAsia="Arial" w:hAnsi="Arial"/>
          <w:sz w:val="18"/>
          <w:szCs w:val="18"/>
          <w:b w:val="1"/>
          <w:bCs w:val="1"/>
          <w:color w:val="auto"/>
        </w:rPr>
        <w:t>420 Lexington Avenue</w:t>
      </w:r>
    </w:p>
    <w:p>
      <w:pPr>
        <w:spacing w:after="0" w:line="27" w:lineRule="exact"/>
        <w:rPr>
          <w:sz w:val="24"/>
          <w:szCs w:val="24"/>
          <w:color w:val="auto"/>
        </w:rPr>
      </w:pPr>
    </w:p>
    <w:p>
      <w:pPr>
        <w:jc w:val="center"/>
        <w:ind w:right="1820"/>
        <w:spacing w:after="0"/>
        <w:rPr>
          <w:sz w:val="20"/>
          <w:szCs w:val="20"/>
          <w:color w:val="auto"/>
        </w:rPr>
      </w:pPr>
      <w:r>
        <w:rPr>
          <w:rFonts w:ascii="Arial" w:cs="Arial" w:eastAsia="Arial" w:hAnsi="Arial"/>
          <w:sz w:val="18"/>
          <w:szCs w:val="18"/>
          <w:b w:val="1"/>
          <w:bCs w:val="1"/>
          <w:color w:val="auto"/>
        </w:rPr>
        <w:t>New York, New York</w:t>
      </w:r>
    </w:p>
    <w:p>
      <w:pPr>
        <w:spacing w:after="0" w:line="9" w:lineRule="exact"/>
        <w:rPr>
          <w:sz w:val="24"/>
          <w:szCs w:val="24"/>
          <w:color w:val="auto"/>
        </w:rPr>
      </w:pPr>
    </w:p>
    <w:p>
      <w:pPr>
        <w:jc w:val="center"/>
        <w:ind w:right="1820"/>
        <w:spacing w:after="0"/>
        <w:rPr>
          <w:sz w:val="20"/>
          <w:szCs w:val="20"/>
          <w:color w:val="auto"/>
        </w:rPr>
      </w:pPr>
      <w:r>
        <w:rPr>
          <w:rFonts w:ascii="Arial" w:cs="Arial" w:eastAsia="Arial" w:hAnsi="Arial"/>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4" w:lineRule="exact"/>
        <w:rPr>
          <w:sz w:val="24"/>
          <w:szCs w:val="24"/>
          <w:color w:val="auto"/>
        </w:rPr>
      </w:pPr>
    </w:p>
    <w:p>
      <w:pPr>
        <w:jc w:val="center"/>
        <w:ind w:right="2220"/>
        <w:spacing w:after="0"/>
        <w:rPr>
          <w:sz w:val="20"/>
          <w:szCs w:val="20"/>
          <w:color w:val="auto"/>
        </w:rPr>
      </w:pPr>
      <w:r>
        <w:rPr>
          <w:rFonts w:ascii="Arial" w:cs="Arial" w:eastAsia="Arial" w:hAnsi="Arial"/>
          <w:sz w:val="18"/>
          <w:szCs w:val="18"/>
          <w:b w:val="1"/>
          <w:bCs w:val="1"/>
          <w:color w:val="auto"/>
        </w:rPr>
        <w:t>10170</w:t>
      </w:r>
    </w:p>
    <w:p>
      <w:pPr>
        <w:spacing w:after="0" w:line="27" w:lineRule="exact"/>
        <w:rPr>
          <w:sz w:val="24"/>
          <w:szCs w:val="24"/>
          <w:color w:val="auto"/>
        </w:rPr>
      </w:pPr>
    </w:p>
    <w:p>
      <w:pPr>
        <w:jc w:val="center"/>
        <w:ind w:right="2220"/>
        <w:spacing w:after="0"/>
        <w:rPr>
          <w:sz w:val="20"/>
          <w:szCs w:val="20"/>
          <w:color w:val="auto"/>
        </w:rPr>
      </w:pPr>
      <w:r>
        <w:rPr>
          <w:rFonts w:ascii="Arial" w:cs="Arial" w:eastAsia="Arial" w:hAnsi="Arial"/>
          <w:sz w:val="17"/>
          <w:szCs w:val="17"/>
          <w:color w:val="auto"/>
        </w:rPr>
        <w:t>(ZIP CODE)</w:t>
      </w:r>
    </w:p>
    <w:p>
      <w:pPr>
        <w:spacing w:after="0" w:line="200" w:lineRule="exact"/>
        <w:rPr>
          <w:sz w:val="24"/>
          <w:szCs w:val="24"/>
          <w:color w:val="auto"/>
        </w:rPr>
      </w:pPr>
    </w:p>
    <w:p>
      <w:pPr>
        <w:sectPr>
          <w:pgSz w:w="11900" w:h="16838" w:orient="portrait"/>
          <w:cols w:equalWidth="0" w:num="2">
            <w:col w:w="7440" w:space="720"/>
            <w:col w:w="3140"/>
          </w:cols>
          <w:pgMar w:left="240" w:top="544" w:right="359" w:bottom="63" w:gutter="0" w:footer="0" w:header="0"/>
          <w:type w:val="continuous"/>
        </w:sectPr>
      </w:pPr>
    </w:p>
    <w:p>
      <w:pPr>
        <w:spacing w:after="0" w:line="18"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(212) 594-2700</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3.00% Exchangeable Senior Notes due 2017 — Exchange Period</w:t>
      </w:r>
    </w:p>
    <w:p>
      <w:pPr>
        <w:spacing w:after="0" w:line="229" w:lineRule="exact"/>
        <w:rPr>
          <w:sz w:val="24"/>
          <w:szCs w:val="24"/>
          <w:color w:val="auto"/>
        </w:rPr>
      </w:pPr>
    </w:p>
    <w:p>
      <w:pPr>
        <w:ind w:right="20"/>
        <w:spacing w:after="0" w:line="257" w:lineRule="auto"/>
        <w:rPr>
          <w:sz w:val="20"/>
          <w:szCs w:val="20"/>
          <w:color w:val="auto"/>
        </w:rPr>
      </w:pPr>
      <w:r>
        <w:rPr>
          <w:rFonts w:ascii="Arial" w:cs="Arial" w:eastAsia="Arial" w:hAnsi="Arial"/>
          <w:sz w:val="18"/>
          <w:szCs w:val="18"/>
          <w:color w:val="auto"/>
        </w:rPr>
        <w:t>The 3.00% Exchangeable Senior Notes due 2017 (the “Notes”) issued by SL Green Operating Partnership, L.P. (the “Issuer”) and guaranteed by Reckson Operating Partnership, L.P. (the “Guarantor”) are exchangeable, at the option of the holders, during the calendar quarter commencing October 1, 2016 and will remain exchangeable through December 30, 2016, the last trading day of the current calendar quarter, as provided for in the Indenture governing the Notes dated as of October 12, 2010 (the “Indenture”) entered into between the Issuer, the Guarantor, SL Green Realty Corp. (the “Company”) and The Bank of New York Mellon.</w:t>
      </w:r>
    </w:p>
    <w:p>
      <w:pPr>
        <w:sectPr>
          <w:pgSz w:w="11900" w:h="16838" w:orient="portrait"/>
          <w:cols w:equalWidth="0" w:num="1">
            <w:col w:w="11300"/>
          </w:cols>
          <w:pgMar w:left="240" w:top="544" w:right="359" w:bottom="63" w:gutter="0" w:footer="0" w:header="0"/>
          <w:type w:val="continuous"/>
        </w:sectPr>
      </w:pPr>
    </w:p>
    <w:bookmarkStart w:id="1" w:name="page2"/>
    <w:bookmarkEnd w:id="1"/>
    <w:p>
      <w:pPr>
        <w:ind w:right="160"/>
        <w:spacing w:after="0" w:line="259" w:lineRule="auto"/>
        <w:rPr>
          <w:sz w:val="20"/>
          <w:szCs w:val="20"/>
          <w:color w:val="auto"/>
        </w:rPr>
      </w:pPr>
      <w:r>
        <w:rPr>
          <w:rFonts w:ascii="Arial" w:cs="Arial" w:eastAsia="Arial" w:hAnsi="Arial"/>
          <w:sz w:val="18"/>
          <w:szCs w:val="18"/>
          <w:color w:val="auto"/>
        </w:rPr>
        <w:t>The Notes are exchangeable as the Company’s common stock closed at or above 130% of the Exchange Price (as defined in the Indenture) for at least 20 Trading Days (as defined in the Indenture) in the period of 30 consecutive Trading Days ending on September 30, 2016 (being the last Trading Day of the calendar quarter). As a result, holders of the Notes may, if they elect, surrender their Notes for exchange upon the terms, and pursuant to the procedure, provided for in the Indenture.</w:t>
      </w:r>
    </w:p>
    <w:p>
      <w:pPr>
        <w:spacing w:after="0" w:line="187"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In addition, the Company declared a dividend on its common stock that requires an adjustment to the Exchange Rate for the Notes. Effective as of September 28, 2016, the Exchange Rate is 12.5697 shares of Common Stock per $1,000 principal amount of Notes.</w:t>
      </w:r>
    </w:p>
    <w:p>
      <w:pPr>
        <w:spacing w:after="0" w:line="17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registrants have duly caused this report to be signed on their behalf by the undersigned hereunto duly authorized.</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SL GREEN REALTY CORP.</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Matthew J. DiLiberto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1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Matthew J. DiLiberto</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SL GREEN OPERATING PARTNERSHIP, L.P.</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SL GREEN REALTY CORP., its general partner</w:t>
      </w:r>
    </w:p>
    <w:p>
      <w:pPr>
        <w:spacing w:after="0" w:line="200" w:lineRule="exact"/>
        <w:rPr>
          <w:sz w:val="20"/>
          <w:szCs w:val="20"/>
          <w:color w:val="auto"/>
        </w:rPr>
      </w:pPr>
    </w:p>
    <w:p>
      <w:pPr>
        <w:spacing w:after="0" w:line="2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Matthew J. DiLiberto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1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Matthew J. DiLiberto</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RECKSON OPERATING PARTNERSHIP, L.P.</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WYOMING ACQUISITION GP LLC, its general partner</w:t>
      </w:r>
    </w:p>
    <w:p>
      <w:pPr>
        <w:spacing w:after="0" w:line="200" w:lineRule="exact"/>
        <w:rPr>
          <w:sz w:val="20"/>
          <w:szCs w:val="20"/>
          <w:color w:val="auto"/>
        </w:rPr>
      </w:pPr>
    </w:p>
    <w:p>
      <w:pPr>
        <w:spacing w:after="0" w:line="2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Matthew J. DiLiberto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1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Matthew J. DiLiberto</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Treasurer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 October 3, 2016</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260"/>
      </w:cols>
      <w:pgMar w:left="240" w:top="125"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2019-12-06T17:29:37Z</dcterms:created>
  <dcterms:modified xsi:type="dcterms:W3CDTF">2019-12-06T17:29:37Z</dcterms:modified>
</cp:coreProperties>
</file>